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B4A" w:rsidRDefault="00F57F65">
      <w:pPr>
        <w:pStyle w:val="ja"/>
      </w:pPr>
      <w:r>
        <w:t>民間資金等の活用による公共施設等の整備等の促進に関する法律</w:t>
      </w:r>
    </w:p>
    <w:p w:rsidR="00503B4A" w:rsidRDefault="00503B4A"/>
    <w:p w:rsidR="00503B4A" w:rsidRDefault="00F57F65">
      <w:pPr>
        <w:pStyle w:val="jaf"/>
      </w:pPr>
      <w:r>
        <w:t>（平成十一年七月三十日法律第百十七号）</w:t>
      </w:r>
    </w:p>
    <w:p w:rsidR="00503B4A" w:rsidRDefault="00503B4A"/>
    <w:p w:rsidR="00503B4A" w:rsidRDefault="00F57F65">
      <w:pPr>
        <w:pStyle w:val="jaa"/>
      </w:pPr>
      <w:r>
        <w:t>（目的）</w:t>
      </w:r>
    </w:p>
    <w:p w:rsidR="00503B4A" w:rsidRDefault="00F57F65">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503B4A" w:rsidRDefault="00503B4A"/>
    <w:p w:rsidR="00503B4A" w:rsidRDefault="00F57F65">
      <w:pPr>
        <w:pStyle w:val="jaa"/>
      </w:pPr>
      <w:r>
        <w:t>（定義）</w:t>
      </w:r>
    </w:p>
    <w:p w:rsidR="00503B4A" w:rsidRDefault="00F57F65">
      <w:pPr>
        <w:pStyle w:val="jaf3"/>
      </w:pPr>
      <w:r>
        <w:t>第二条　この法律において「公共施設等」とは、次の各号に掲げる施設（設備を含む。）をいう。</w:t>
      </w:r>
    </w:p>
    <w:p w:rsidR="00503B4A" w:rsidRDefault="00F57F65">
      <w:pPr>
        <w:pStyle w:val="jaf6"/>
      </w:pPr>
      <w:r>
        <w:t>一　道路、鉄道、港湾、空港、河川、公園、水道、下水道、工業用水道等の公共施設</w:t>
      </w:r>
    </w:p>
    <w:p w:rsidR="00503B4A" w:rsidRDefault="00F57F65">
      <w:pPr>
        <w:pStyle w:val="jaf6"/>
      </w:pPr>
      <w:r>
        <w:t>二　庁舎、宿舎等の公用施設</w:t>
      </w:r>
    </w:p>
    <w:p w:rsidR="00503B4A" w:rsidRDefault="00F57F65">
      <w:pPr>
        <w:pStyle w:val="jaf6"/>
      </w:pPr>
      <w:r>
        <w:t>三　公営住宅及び教育文化施</w:t>
      </w:r>
      <w:r>
        <w:t>設、廃棄物処理施設、医療施設、社会福祉施設、更生保護施設、駐車場、地下街等の公益的施設</w:t>
      </w:r>
    </w:p>
    <w:p w:rsidR="00503B4A" w:rsidRDefault="00F57F65">
      <w:pPr>
        <w:pStyle w:val="jaf6"/>
      </w:pPr>
      <w:r>
        <w:t>四　情報通信施設、熱供給施設、新エネルギー施設、リサイクル施設（廃棄物処理施設を除く。）、観光施設及び研究施設</w:t>
      </w:r>
    </w:p>
    <w:p w:rsidR="00503B4A" w:rsidRDefault="00F57F65">
      <w:pPr>
        <w:pStyle w:val="jaf6"/>
      </w:pPr>
      <w:r>
        <w:t>五　前各号に掲げる施設に準ずる施設として政令で定めるもの</w:t>
      </w:r>
    </w:p>
    <w:p w:rsidR="00503B4A" w:rsidRDefault="00F57F65">
      <w:pPr>
        <w:pStyle w:val="jaf4"/>
      </w:pPr>
      <w:r>
        <w:t>２　この法律において「特定事業」とは、公共施設等の整備等（公共施設等の建設、改修、維持管理若しくは運営又はこれらに関する企画をいい、国民に対するサービスの提供を含む。以下同じ。）に関する事業（市街地再開発事業、土地区画整理事業その他の市街地開発事業を含む</w:t>
      </w:r>
      <w:r>
        <w:t>。）であって、民間の資金、経営能力及び技術的能力を活用することにより効率的かつ効果的に実施されるものをいう。</w:t>
      </w:r>
    </w:p>
    <w:p w:rsidR="00503B4A" w:rsidRDefault="00F57F65">
      <w:pPr>
        <w:pStyle w:val="jaf4"/>
      </w:pPr>
      <w:r>
        <w:t>３　この法律において「公共施設等の管理者等」とは、次の各号に掲げる者をいう。</w:t>
      </w:r>
    </w:p>
    <w:p w:rsidR="00503B4A" w:rsidRDefault="00F57F65">
      <w:pPr>
        <w:pStyle w:val="jaf6"/>
      </w:pPr>
      <w:r>
        <w:t>一　公共施設等の管理者である各省各庁の長（衆議院議長、参議院議長、最高裁判所長官、会計検査院長及び大臣をいう。以下同じ。）又は特定事業を所管する大臣</w:t>
      </w:r>
    </w:p>
    <w:p w:rsidR="00503B4A" w:rsidRDefault="00F57F65">
      <w:pPr>
        <w:pStyle w:val="jaf6"/>
      </w:pPr>
      <w:r>
        <w:t>二　公共施設等の管理者である地方公共団体の長又は特定事業を実施しようとする地方公共団体の長</w:t>
      </w:r>
    </w:p>
    <w:p w:rsidR="00503B4A" w:rsidRDefault="00F57F65">
      <w:pPr>
        <w:pStyle w:val="jaf6"/>
      </w:pPr>
      <w:r>
        <w:t>三　公共施設等の整備等を行う独立行政法人、特殊法人その他の公共法人（市街地再開発事</w:t>
      </w:r>
      <w:r>
        <w:t>業、土地区画整理事業その他の市街地開発事業を施行する組合を含む。以下「公共法人」という。）</w:t>
      </w:r>
    </w:p>
    <w:p w:rsidR="00503B4A" w:rsidRDefault="00F57F65">
      <w:pPr>
        <w:pStyle w:val="jaf4"/>
      </w:pPr>
      <w:r>
        <w:t>４　この法律において「選定事業」とは、第六条の規定により選定された特定事業をいう。</w:t>
      </w:r>
    </w:p>
    <w:p w:rsidR="00503B4A" w:rsidRDefault="00F57F65">
      <w:pPr>
        <w:pStyle w:val="jaf4"/>
      </w:pPr>
      <w:r>
        <w:t>５　この法律において「選定事業者」とは、第七条第一項の規定により選定事業を実施する者として選定された者をいう。</w:t>
      </w:r>
    </w:p>
    <w:p w:rsidR="00503B4A" w:rsidRDefault="00503B4A"/>
    <w:p w:rsidR="00503B4A" w:rsidRDefault="00F57F65">
      <w:pPr>
        <w:pStyle w:val="jaa"/>
      </w:pPr>
      <w:r>
        <w:t>（基本理念）</w:t>
      </w:r>
    </w:p>
    <w:p w:rsidR="00503B4A" w:rsidRDefault="00F57F65">
      <w:pPr>
        <w:pStyle w:val="jaf3"/>
      </w:pPr>
      <w:r>
        <w:lastRenderedPageBreak/>
        <w:t>第三条　公共施設等の整備等に関する事業は、国及び地方公共団体（これらに係る公共法人を含む。以下この条及び第十八条において同じ。）と民間事業者との適切な役割分担並びに財政資金の効率的使用の観点を踏まえつつ、行政</w:t>
      </w:r>
      <w:r>
        <w:t>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は、できる限りその実施を民間事業者にゆだねるものとする。</w:t>
      </w:r>
    </w:p>
    <w:p w:rsidR="00503B4A" w:rsidRDefault="00F57F65">
      <w:pPr>
        <w:pStyle w:val="jaf4"/>
      </w:pPr>
      <w:r>
        <w:t>２　特定事業は、国及び地方公共団体と民間事業者との責任分担の明確化を図りつつ、収益性を確保するとともに、国及び地方公共団体の民間事業者に対する関与を必要最小限のものとすることにより民間事業者の有する技術及び経営資源、その創意工夫等が十分に発揮され、低廉かつ良好な</w:t>
      </w:r>
      <w:r>
        <w:t>サービスが国民に対して提供されることを旨として行われなければならない。</w:t>
      </w:r>
    </w:p>
    <w:p w:rsidR="00503B4A" w:rsidRDefault="00503B4A"/>
    <w:p w:rsidR="00503B4A" w:rsidRDefault="00F57F65">
      <w:pPr>
        <w:pStyle w:val="jaa"/>
      </w:pPr>
      <w:r>
        <w:t>（基本方針等）</w:t>
      </w:r>
    </w:p>
    <w:p w:rsidR="00503B4A" w:rsidRDefault="00F57F65">
      <w:pPr>
        <w:pStyle w:val="jaf3"/>
      </w:pPr>
      <w:r>
        <w:t>第四条　内閣総理大臣は、基本理念にのっとり、特定事業の実施に関する基本的な方針（以下「基本方針」という。）を定めなければならない。</w:t>
      </w:r>
    </w:p>
    <w:p w:rsidR="00503B4A" w:rsidRDefault="00F57F65">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503B4A" w:rsidRDefault="00F57F65">
      <w:pPr>
        <w:pStyle w:val="jaf6"/>
      </w:pPr>
      <w:r>
        <w:t>一　民間事業者の発案による特定事業の選定その他特定事業の選定に関する基本的な事項</w:t>
      </w:r>
    </w:p>
    <w:p w:rsidR="00503B4A" w:rsidRDefault="00F57F65">
      <w:pPr>
        <w:pStyle w:val="jaf6"/>
      </w:pPr>
      <w:r>
        <w:t>二　民間事業者の募集及び選定に関する基本的な事項</w:t>
      </w:r>
    </w:p>
    <w:p w:rsidR="00503B4A" w:rsidRDefault="00F57F65">
      <w:pPr>
        <w:pStyle w:val="jaf6"/>
      </w:pPr>
      <w:r>
        <w:t>三　民間事業者の責任の明確化等事業の適正かつ確実な実施の確保に関する基本的な事項</w:t>
      </w:r>
    </w:p>
    <w:p w:rsidR="00503B4A" w:rsidRDefault="00F57F65">
      <w:pPr>
        <w:pStyle w:val="jaf6"/>
      </w:pPr>
      <w:r>
        <w:t>四　法制上及び税制上の措置並びに財政上及び金融上の支援に関する基本的な事項</w:t>
      </w:r>
    </w:p>
    <w:p w:rsidR="00503B4A" w:rsidRDefault="00F57F65">
      <w:pPr>
        <w:pStyle w:val="jaf6"/>
      </w:pPr>
      <w:r>
        <w:t>五　その他特定事業の実施に関する基本的な事</w:t>
      </w:r>
      <w:r>
        <w:t>項</w:t>
      </w:r>
    </w:p>
    <w:p w:rsidR="00503B4A" w:rsidRDefault="00F57F65">
      <w:pPr>
        <w:pStyle w:val="jaf4"/>
      </w:pPr>
      <w:r>
        <w:t>３　基本方針は、次に掲げる事項に配慮して定められなければならない。</w:t>
      </w:r>
    </w:p>
    <w:p w:rsidR="00503B4A" w:rsidRDefault="00F57F65">
      <w:pPr>
        <w:pStyle w:val="jaf6"/>
      </w:pPr>
      <w:r>
        <w:t>一　特定事業の選定については、公共施設等の整備等における公共性及び安全性を確保しつつ、事業に要する費用の縮減等資金の効率的使用、国民に対するサービスの提供における行政のかかわり方の改革、民間の事業機会の創出その他の成果がもたらされるようにするとともに、民間事業者の自主性を尊重すること。</w:t>
      </w:r>
    </w:p>
    <w:p w:rsidR="00503B4A" w:rsidRDefault="00F57F65">
      <w:pPr>
        <w:pStyle w:val="jaf6"/>
      </w:pPr>
      <w:r>
        <w:t>二　民間事業者の選定については、公開の競争により選定を行う等その過程の透明化を図るとともに、民間事業者の創意工夫を尊重すること。</w:t>
      </w:r>
    </w:p>
    <w:p w:rsidR="00503B4A" w:rsidRDefault="00F57F65">
      <w:pPr>
        <w:pStyle w:val="jaf6"/>
      </w:pPr>
      <w:r>
        <w:t>三　財政上の支援につい</w:t>
      </w:r>
      <w:r>
        <w:t>ては、現行の制度に基づく方策を基本とし、又はこれに準ずるものとすること。</w:t>
      </w:r>
    </w:p>
    <w:p w:rsidR="00503B4A" w:rsidRDefault="00F57F65">
      <w:pPr>
        <w:pStyle w:val="jaf4"/>
      </w:pPr>
      <w:r>
        <w:t>４　内閣総理大臣は、基本方針を定めようとするときは、あらかじめ、各省各庁の長に協議するとともに、民間資金等活用事業推進委員会の議を経なければならない。</w:t>
      </w:r>
    </w:p>
    <w:p w:rsidR="00503B4A" w:rsidRDefault="00F57F65">
      <w:pPr>
        <w:pStyle w:val="jaf4"/>
      </w:pPr>
      <w:r>
        <w:t>５　内閣総理大臣は、基本方針を定めたときは、遅滞なく、これを公表するとともに、各省各庁の長に送付しなければならない。</w:t>
      </w:r>
    </w:p>
    <w:p w:rsidR="00503B4A" w:rsidRDefault="00F57F65">
      <w:pPr>
        <w:pStyle w:val="jaf4"/>
      </w:pPr>
      <w:r>
        <w:t>６　前二項の規定は、基本方針の変更について準用する。</w:t>
      </w:r>
    </w:p>
    <w:p w:rsidR="00503B4A" w:rsidRDefault="00F57F65">
      <w:pPr>
        <w:pStyle w:val="jaf4"/>
      </w:pPr>
      <w:r>
        <w:t>７　地方公共団体は、基本理念にのっとり、基本方針を勘案した上で、第三項各号に掲げる事項に配慮して、地域における創意</w:t>
      </w:r>
      <w:r>
        <w:t>工夫を生かしつつ、特定事業が円滑に実施さ</w:t>
      </w:r>
      <w:r>
        <w:lastRenderedPageBreak/>
        <w:t>れるよう必要な措置を講ずるものとする。</w:t>
      </w:r>
    </w:p>
    <w:p w:rsidR="00503B4A" w:rsidRDefault="00503B4A"/>
    <w:p w:rsidR="00503B4A" w:rsidRDefault="00F57F65">
      <w:pPr>
        <w:pStyle w:val="jaa"/>
      </w:pPr>
      <w:r>
        <w:t>（実施方針）</w:t>
      </w:r>
    </w:p>
    <w:p w:rsidR="00503B4A" w:rsidRDefault="00F57F65">
      <w:pPr>
        <w:pStyle w:val="jaf3"/>
      </w:pPr>
      <w:r>
        <w:t>第五条　公共施設等の管理者等は、次条の特定事業の選定及び第七条第一項の民間事業者の選定を行おうとするときは、基本方針にのっとり、特定事業の実施に関する方針（以下「実施方針」という。）を定めるものとする。</w:t>
      </w:r>
    </w:p>
    <w:p w:rsidR="00503B4A" w:rsidRDefault="00F57F65">
      <w:pPr>
        <w:pStyle w:val="jaf4"/>
      </w:pPr>
      <w:r>
        <w:t>２　実施方針は、特定事業について、次に掲げる事項を具体的に定めるものとする。</w:t>
      </w:r>
    </w:p>
    <w:p w:rsidR="00503B4A" w:rsidRDefault="00F57F65">
      <w:pPr>
        <w:pStyle w:val="jaf6"/>
      </w:pPr>
      <w:r>
        <w:t>一　特定事業の選定に関する事項</w:t>
      </w:r>
    </w:p>
    <w:p w:rsidR="00503B4A" w:rsidRDefault="00F57F65">
      <w:pPr>
        <w:pStyle w:val="jaf6"/>
      </w:pPr>
      <w:r>
        <w:t>二　民間事業者の募集及び選定に関する事項</w:t>
      </w:r>
    </w:p>
    <w:p w:rsidR="00503B4A" w:rsidRDefault="00F57F65">
      <w:pPr>
        <w:pStyle w:val="jaf6"/>
      </w:pPr>
      <w:r>
        <w:t>三　民間事業者の責任の明確化等事業の適正かつ確実な実施の確保</w:t>
      </w:r>
      <w:r>
        <w:t>に関する事項</w:t>
      </w:r>
    </w:p>
    <w:p w:rsidR="00503B4A" w:rsidRDefault="00F57F65">
      <w:pPr>
        <w:pStyle w:val="jaf6"/>
      </w:pPr>
      <w:r>
        <w:t>四　公共施設等の立地並びに規模及び配置に関する事項</w:t>
      </w:r>
    </w:p>
    <w:p w:rsidR="00503B4A" w:rsidRDefault="00F57F65">
      <w:pPr>
        <w:pStyle w:val="jaf6"/>
      </w:pPr>
      <w:r>
        <w:t>五　第十条第一項に規定する事業計画又は協定の解釈について疑義が生じた場合における措置に関する事項</w:t>
      </w:r>
    </w:p>
    <w:p w:rsidR="00503B4A" w:rsidRDefault="00F57F65">
      <w:pPr>
        <w:pStyle w:val="jaf6"/>
      </w:pPr>
      <w:r>
        <w:t>六　事業の継続が困難となった場合における措置に関する事項</w:t>
      </w:r>
    </w:p>
    <w:p w:rsidR="00503B4A" w:rsidRDefault="00F57F65">
      <w:pPr>
        <w:pStyle w:val="jaf6"/>
      </w:pPr>
      <w:r>
        <w:t>七　法制上及び税制上の措置並びに財政上及び金融上の支援に関する事項</w:t>
      </w:r>
    </w:p>
    <w:p w:rsidR="00503B4A" w:rsidRDefault="00F57F65">
      <w:pPr>
        <w:pStyle w:val="jaf6"/>
      </w:pPr>
      <w:r>
        <w:t>八　その他特定事業の実施に関し必要な事項</w:t>
      </w:r>
    </w:p>
    <w:p w:rsidR="00503B4A" w:rsidRDefault="00F57F65">
      <w:pPr>
        <w:pStyle w:val="jaf4"/>
      </w:pPr>
      <w:r>
        <w:t>３　公共施設等の管理者等は、実施方針を定めたときは、遅滞なく、これを公表しなければならない。</w:t>
      </w:r>
    </w:p>
    <w:p w:rsidR="00503B4A" w:rsidRDefault="00F57F65">
      <w:pPr>
        <w:pStyle w:val="jaf4"/>
      </w:pPr>
      <w:r>
        <w:t>４　前項の規定は、実施方針の変更について準用する。</w:t>
      </w:r>
    </w:p>
    <w:p w:rsidR="00503B4A" w:rsidRDefault="00503B4A"/>
    <w:p w:rsidR="00503B4A" w:rsidRDefault="00F57F65">
      <w:pPr>
        <w:pStyle w:val="jaa"/>
      </w:pPr>
      <w:r>
        <w:t>（特定事業の選定）</w:t>
      </w:r>
    </w:p>
    <w:p w:rsidR="00503B4A" w:rsidRDefault="00F57F65">
      <w:pPr>
        <w:pStyle w:val="jaf3"/>
      </w:pPr>
      <w:r>
        <w:t>第六条　公共施設等の管理者等は、基本方針及び実施方針に基づき、実施することが適切であると認める特定事業を選定することができる。</w:t>
      </w:r>
    </w:p>
    <w:p w:rsidR="00503B4A" w:rsidRDefault="00503B4A"/>
    <w:p w:rsidR="00503B4A" w:rsidRDefault="00F57F65">
      <w:pPr>
        <w:pStyle w:val="jaa"/>
      </w:pPr>
      <w:r>
        <w:t>（民間事業者の選定等）</w:t>
      </w:r>
    </w:p>
    <w:p w:rsidR="00503B4A" w:rsidRDefault="00F57F65">
      <w:pPr>
        <w:pStyle w:val="jaf3"/>
      </w:pPr>
      <w:r>
        <w:t>第七条　公共施設等の管理者等は、前条の規定により特定事業を選定したときは、当該特定事業を実施する民間事業者を公募の方法等により選定するものとする。</w:t>
      </w:r>
    </w:p>
    <w:p w:rsidR="00503B4A" w:rsidRDefault="00F57F65">
      <w:pPr>
        <w:pStyle w:val="jaf4"/>
      </w:pPr>
      <w:r>
        <w:t>２　前項の規定により選定された民間事業者は、本来同項の公共施設等の管理者等が行う事業のうち、第十条第一項に規定する事業計画又は協定において当該民間事業者が行うこととされた公共施設等の整備等を</w:t>
      </w:r>
      <w:r>
        <w:t>行うことができる。</w:t>
      </w:r>
    </w:p>
    <w:p w:rsidR="00503B4A" w:rsidRDefault="00503B4A"/>
    <w:p w:rsidR="00503B4A" w:rsidRDefault="00F57F65">
      <w:pPr>
        <w:pStyle w:val="jaa"/>
      </w:pPr>
      <w:r>
        <w:t>（客観的な評価）</w:t>
      </w:r>
    </w:p>
    <w:p w:rsidR="00503B4A" w:rsidRDefault="00F57F65">
      <w:pPr>
        <w:pStyle w:val="jaf3"/>
      </w:pPr>
      <w:r>
        <w:t>第八条　公共施設等の管理者等は、第六条の特定事業の選定及び前条第一項の民間事業者の選定を行うに当たっては、客観的な評価（当該特定事業の効果及び効率性に関する評価を含む。）を行い、その結果を公表しなければならない。</w:t>
      </w:r>
    </w:p>
    <w:p w:rsidR="00503B4A" w:rsidRDefault="00F57F65">
      <w:pPr>
        <w:pStyle w:val="jaf4"/>
      </w:pPr>
      <w:r>
        <w:t>２　公共施設等の管理者等は、前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w:t>
      </w:r>
      <w:r>
        <w:t>り評価を行うものとする。</w:t>
      </w:r>
    </w:p>
    <w:p w:rsidR="00503B4A" w:rsidRDefault="00503B4A"/>
    <w:p w:rsidR="00503B4A" w:rsidRDefault="00F57F65">
      <w:pPr>
        <w:pStyle w:val="jaa"/>
      </w:pPr>
      <w:r>
        <w:t>（地方公共団体の議会の議決）</w:t>
      </w:r>
    </w:p>
    <w:p w:rsidR="00503B4A" w:rsidRDefault="00F57F65">
      <w:pPr>
        <w:pStyle w:val="jaf3"/>
      </w:pPr>
      <w:r>
        <w:t>第九条　地方公共団体は、特定事業に係る契約でその種類及び金額について政令で定める基準に該当するものを締結する場合には、あらかじめ、議会の議決を経なければならない。</w:t>
      </w:r>
    </w:p>
    <w:p w:rsidR="00503B4A" w:rsidRDefault="00503B4A"/>
    <w:p w:rsidR="00503B4A" w:rsidRDefault="00F57F65">
      <w:pPr>
        <w:pStyle w:val="jaa"/>
      </w:pPr>
      <w:r>
        <w:t>（指定管理者の指定に当たっての配慮等）</w:t>
      </w:r>
    </w:p>
    <w:p w:rsidR="00503B4A" w:rsidRDefault="00F57F65">
      <w:pPr>
        <w:pStyle w:val="jaf3"/>
      </w:pPr>
      <w:r>
        <w:t>第九条の二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w:t>
      </w:r>
      <w:r>
        <w:t>進されるよう適切な配慮をするとともに、同条第十一項の規定に該当する場合における選定事業の取扱いについて、あらかじめ明らかにするよう努めるものとする。</w:t>
      </w:r>
    </w:p>
    <w:p w:rsidR="00503B4A" w:rsidRDefault="00503B4A"/>
    <w:p w:rsidR="00503B4A" w:rsidRDefault="00F57F65">
      <w:pPr>
        <w:pStyle w:val="jaa"/>
      </w:pPr>
      <w:r>
        <w:t>（選定事業の実施）</w:t>
      </w:r>
    </w:p>
    <w:p w:rsidR="00503B4A" w:rsidRDefault="00F57F65">
      <w:pPr>
        <w:pStyle w:val="jaf3"/>
      </w:pPr>
      <w:r>
        <w:t>第十条　選定事業は、基本方針及び実施方針に基づき、公共施設等の管理者等及び選定事業者が策定した事業計画若しくは協定又は選定事業者（当該施設の管理者である場合を含む。）が策定した事業計画に従って実施されるものとする。</w:t>
      </w:r>
    </w:p>
    <w:p w:rsidR="00503B4A" w:rsidRDefault="00F57F65">
      <w:pPr>
        <w:pStyle w:val="jaf4"/>
      </w:pPr>
      <w:r>
        <w:t>２　選定事業者が国又は地方公共団体の出資又は拠出に係る法人（当該法人の出資又は拠出に係る法人を含む。）である場合には、当該選</w:t>
      </w:r>
      <w:r>
        <w:t>定事業者の責任が不明確とならないよう特に留意して、前項の事業計画又は協定において公共施設等の管理者等との責任分担が明記されなければならない。</w:t>
      </w:r>
    </w:p>
    <w:p w:rsidR="00503B4A" w:rsidRDefault="00503B4A"/>
    <w:p w:rsidR="00503B4A" w:rsidRDefault="00F57F65">
      <w:pPr>
        <w:pStyle w:val="jaa"/>
      </w:pPr>
      <w:r>
        <w:t>（国の債務負担）</w:t>
      </w:r>
    </w:p>
    <w:p w:rsidR="00503B4A" w:rsidRDefault="00F57F65">
      <w:pPr>
        <w:pStyle w:val="jaf3"/>
      </w:pPr>
      <w:r>
        <w:t>第十一条　国が選定事業について債務を負担する場合には、当該債務を負担する行為により支出すべき年限は、当該会計年度以降三十箇年度以内とする。</w:t>
      </w:r>
    </w:p>
    <w:p w:rsidR="00503B4A" w:rsidRDefault="00503B4A"/>
    <w:p w:rsidR="00503B4A" w:rsidRDefault="00F57F65">
      <w:pPr>
        <w:pStyle w:val="jaa"/>
      </w:pPr>
      <w:r>
        <w:t>（行政財産の貸付け）</w:t>
      </w:r>
    </w:p>
    <w:p w:rsidR="00503B4A" w:rsidRDefault="00F57F65">
      <w:pPr>
        <w:pStyle w:val="jaf3"/>
      </w:pPr>
      <w:r>
        <w:t>第十一条の二　国は、必要があると認めるときは、国有財産法（昭和二十三年法律第七十三号）第十八条第一項の規定にかかわらず、選定事業の用に供するため、行政財産（同法第三条第二項に規定する行政</w:t>
      </w:r>
      <w:r>
        <w:t>財産をいう。次項から第五項まで及び次条第一項から第四項までにおいて同じ。）を選定事業者に貸し付けることができる。</w:t>
      </w:r>
    </w:p>
    <w:p w:rsidR="00503B4A" w:rsidRDefault="00F57F65">
      <w:pPr>
        <w:pStyle w:val="jaf4"/>
      </w:pPr>
      <w:r>
        <w:t>２　前項に定めるもののほか、国は、選定事業者が一棟の建物の一部が当該選定事業に係る公共施設等である当該建物（以下この条において「特定建物」という。）の全部又は一部を所有しよ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503B4A" w:rsidRDefault="00F57F65">
      <w:pPr>
        <w:pStyle w:val="jaf4"/>
      </w:pPr>
      <w:r>
        <w:t>３　前二項に定めるもののほか、国は、前項の規定により行政財産である土地の貸付けを受けた者が特定建物のうち選定事業に係る公共施設等の部分以外の部分（以下この条において「特定民間施設」という。）を選定事業の終了（当該選定事業を行うため締結した契約の解除による終了を含む。以下この条及び次条において同じ。）の後においても引き続き所有しようとする場合において、必要があると認めるときは、国有財産法第十八条第一項の規定にかかわらず、当該行政財産である土地を、その用途又は目的を妨げない限度において、その者（当該選定事業を行</w:t>
      </w:r>
      <w:r>
        <w:t>うため締結した契約の解除による終了の場合にあっては、当該特定民間施設であった施設に係る公共施設等の管理者等が当該公共施設等の管理に関し適当と認める者に限る。第八項において同じ。）に貸し付けることができる。</w:t>
      </w:r>
    </w:p>
    <w:p w:rsidR="00503B4A" w:rsidRDefault="00F57F65">
      <w:pPr>
        <w:pStyle w:val="jaf4"/>
      </w:pPr>
      <w:r>
        <w:t>４　前三項に定めるもののほか、国は、第二項の規定により行政財産である土地の貸付けを受けた選定事業者が特定民間施設を譲渡しようとする場合において、必要があると認めるときは、国有財産法第十八条第一項の規定にかかわらず、当該行政財産である土地を、その用途又は目的を妨げない限度において、当該特定民間施設を譲り受け</w:t>
      </w:r>
      <w:r>
        <w:t>ようとする者（当該公共施設等の管理者等が当該公共施設等の管理に関し適当と認める者に限る。）に貸し付けることができる。</w:t>
      </w:r>
    </w:p>
    <w:p w:rsidR="00503B4A" w:rsidRDefault="00F57F65">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w:t>
      </w:r>
      <w:r>
        <w:t>設であった施設に係る公共施設等の管理者等）」と読み替えるものとする。</w:t>
      </w:r>
    </w:p>
    <w:p w:rsidR="00503B4A" w:rsidRDefault="00F57F65">
      <w:pPr>
        <w:pStyle w:val="jaf4"/>
      </w:pPr>
      <w:r>
        <w:t>６　地方公共団体は、必要があると認めるときは、地方自治法第二百三十八条の四第一項の規定にかかわらず、選定事業の用に供するため、行政財産（同法第二百三十八条第三項に規定する行政財産をいう。次項から第十項まで及び次条第五項から第八項までにおいて同じ。）を選定事業者に貸し付けることができる。</w:t>
      </w:r>
    </w:p>
    <w:p w:rsidR="00503B4A" w:rsidRDefault="00F57F65">
      <w:pPr>
        <w:pStyle w:val="jaf4"/>
      </w:pPr>
      <w:r>
        <w:t>７　前項に定めるもののほか、地方公共団体は、選定事業者が特定建物の全部又は一部を所有しようとする場合において、必要があると認めるときは、地方自治法第二百三</w:t>
      </w:r>
      <w:r>
        <w:t>十八条の四第一項の規定にかかわらず、行政財産である土地を、その用途又は目的を妨げない限度において、当該選定事業者に貸し付けることができる。</w:t>
      </w:r>
    </w:p>
    <w:p w:rsidR="00503B4A" w:rsidRDefault="00F57F65">
      <w:pPr>
        <w:pStyle w:val="jaf4"/>
      </w:pPr>
      <w:r>
        <w:t>８　前二項に定めるもののほか、地方公共団体は、前項の規定により行政財産である土地の貸付けを受けた者が特定民間施設を選定事業の終了の後においても引き続き所有しようとする場合において、必要があると認めるときは、地方自治法第二百三十八条の四第一項の規定にかかわらず、当該行政財産である土地を、その用途又は目的を妨げない限度において、その者に貸し付けることができる。</w:t>
      </w:r>
    </w:p>
    <w:p w:rsidR="00503B4A" w:rsidRDefault="00F57F65">
      <w:pPr>
        <w:pStyle w:val="jaf4"/>
      </w:pPr>
      <w:r>
        <w:t>９　前三項に</w:t>
      </w:r>
      <w:r>
        <w:t>定めるもののほか、地方公共団体は、第七項の規定により行政財産である土地の貸付けを受けた選定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503B4A" w:rsidRDefault="00F57F65">
      <w:pPr>
        <w:pStyle w:val="jaf4"/>
      </w:pPr>
      <w:r>
        <w:t>１０　前項の規定は、第八項又は前項（この項において準用する場合を含む。）の規定に</w:t>
      </w:r>
      <w:r>
        <w:t>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503B4A" w:rsidRDefault="00F57F65">
      <w:pPr>
        <w:pStyle w:val="jaf4"/>
      </w:pPr>
      <w:r>
        <w:t>１１　前各項の規定による貸付けについては、民法（明治二十九年法律第八十九号）第六百四条並びに借地借家法（平成三年法律第九十号）</w:t>
      </w:r>
      <w:r>
        <w:t>第三条及び第四条の規定は、適用しない。</w:t>
      </w:r>
    </w:p>
    <w:p w:rsidR="00503B4A" w:rsidRDefault="00F57F65">
      <w:pPr>
        <w:pStyle w:val="jaf4"/>
      </w:pPr>
      <w:r>
        <w:t>１２　国有財産法第二十一条及び第二十三条から第二十五条までの規定は第一項から第五項までの規定による貸付けについて、地方自治法第二百三十八条の二第二項及び第二百三十八条の五第三項から第五項までの規定は第六項から第十項までの規定による貸付けについて、それぞれ準用する。</w:t>
      </w:r>
    </w:p>
    <w:p w:rsidR="00503B4A" w:rsidRDefault="00503B4A"/>
    <w:p w:rsidR="00503B4A" w:rsidRDefault="00F57F65">
      <w:pPr>
        <w:pStyle w:val="jaf3"/>
      </w:pPr>
      <w:r>
        <w:t>第十一条の三　前条第一項から第五項までに定めるもののほか、国は、必要があると認めるときは、国有財産法第十八条第一項の規定にかかわらず、特定施設（第二条第一項第三号及び第四号に掲げる施設（公営住宅を除く。以</w:t>
      </w:r>
      <w:r>
        <w:t>下この項において「第三号及び第四号施設」という。）並びに同条第一項第五号の政令で定める施設のうち第三号及び第四号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ことができる。</w:t>
      </w:r>
    </w:p>
    <w:p w:rsidR="00503B4A" w:rsidRDefault="00F57F65">
      <w:pPr>
        <w:pStyle w:val="jaf4"/>
      </w:pPr>
      <w:r>
        <w:t>２　前項に定めるもののほか、国は、同項の規定により行政財産の貸付けを受けた者が特定民間事業に</w:t>
      </w:r>
      <w:r>
        <w:t>係る特定施設を選定事業の終了の後においても引き続き所有し、又は利用しようとする場合において、必要があると認めるときは、国有財産法第十八条第一項の規定にかかわらず、当該行政財産を、その用途又は目的を妨げない限度において、その者（当該選定事業を行うため締結した契約の解除による終了の場合にあっては、当該選定事業に係る公共施設等であった施設に係る公共施設等の管理者等が当該公共施設等の管理に関し適当と認める者に限る。第六項において同じ。）に貸し付けることができる。</w:t>
      </w:r>
    </w:p>
    <w:p w:rsidR="00503B4A" w:rsidRDefault="00F57F65">
      <w:pPr>
        <w:pStyle w:val="jaf4"/>
      </w:pPr>
      <w:r>
        <w:t>３　前二項に定めるもののほか、国は、第一項の規定によ</w:t>
      </w:r>
      <w:r>
        <w:t>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503B4A" w:rsidRDefault="00F57F65">
      <w:pPr>
        <w:pStyle w:val="jaf4"/>
      </w:pPr>
      <w:r>
        <w:t>４　前項の規定は、第二項又は前項（この項において準用する場合を含む。）の規定に</w:t>
      </w:r>
      <w:r>
        <w:t>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503B4A" w:rsidRDefault="00F57F65">
      <w:pPr>
        <w:pStyle w:val="jaf4"/>
      </w:pPr>
      <w:r>
        <w:t>５　前条第六項から第十項までに定めるもののほか、地方公共団体は、必要があると認めるときは、地方自治法第二百三十八条の四第一項の規定にかかわらず、</w:t>
      </w:r>
      <w:r>
        <w:t>特定民間事業の用に供するため、行政財産を、その用途又は目的を妨げない限度において、当該特定民間事業を行う選定事業者に貸し付けることができる。</w:t>
      </w:r>
    </w:p>
    <w:p w:rsidR="00503B4A" w:rsidRDefault="00F57F65">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めるときは、地方自治法第二百三十八条の四第一項の規定にかかわらず、当該行政財産を、その用途又は目的を妨げない限度において、その者に貸し付けることができる。</w:t>
      </w:r>
    </w:p>
    <w:p w:rsidR="00503B4A" w:rsidRDefault="00F57F65">
      <w:pPr>
        <w:pStyle w:val="jaf4"/>
      </w:pPr>
      <w:r>
        <w:t>７　前</w:t>
      </w:r>
      <w:r>
        <w:t>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において、必要があると認めるときは、地方自治法第二百三十八条の四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503B4A" w:rsidRDefault="00F57F65">
      <w:pPr>
        <w:pStyle w:val="jaf4"/>
      </w:pPr>
      <w:r>
        <w:t>８　前項の規</w:t>
      </w:r>
      <w:r>
        <w:t>定は、第六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503B4A" w:rsidRDefault="00F57F65">
      <w:pPr>
        <w:pStyle w:val="jaf4"/>
      </w:pPr>
      <w:r>
        <w:t>９　前条第十一項及び第十二項の規定は、前各項の規定による貸付けについて準用する</w:t>
      </w:r>
      <w:r>
        <w:t>。この場合において、同条第十二項中「第一項から第五項まで」とあるのは「第十一条の三第一項から第四項まで」と、「第六項から第十項まで」とあるのは「第十一条の三第五項から第八項まで」と読み替えるものとする。</w:t>
      </w:r>
    </w:p>
    <w:p w:rsidR="00503B4A" w:rsidRDefault="00503B4A"/>
    <w:p w:rsidR="00503B4A" w:rsidRDefault="00F57F65">
      <w:pPr>
        <w:pStyle w:val="jaa"/>
      </w:pPr>
      <w:r>
        <w:t>（国有財産の無償使用等）</w:t>
      </w:r>
    </w:p>
    <w:p w:rsidR="00503B4A" w:rsidRDefault="00F57F65">
      <w:pPr>
        <w:pStyle w:val="jaf3"/>
      </w:pPr>
      <w:r>
        <w:t>第十二条　国は、必要があると認めるときは、選定事業の用に供する間、国有財産（国有財産法第二条第一項に規定する国有財産をいう。）を無償又は時価より低い対価で選定事業者に使用させることができる。</w:t>
      </w:r>
    </w:p>
    <w:p w:rsidR="00503B4A" w:rsidRDefault="00F57F65">
      <w:pPr>
        <w:pStyle w:val="jaf4"/>
      </w:pPr>
      <w:r>
        <w:t>２　地方公共団体は、必要があると認めるときは、選定事業の用に供する間、公有財産（地方自治</w:t>
      </w:r>
      <w:r>
        <w:t>法第二百三十八条第一項に規定する公有財産をいう。）を無償又は時価より低い対価で選定事業者に使用させることができる。</w:t>
      </w:r>
    </w:p>
    <w:p w:rsidR="00503B4A" w:rsidRDefault="00503B4A"/>
    <w:p w:rsidR="00503B4A" w:rsidRDefault="00F57F65">
      <w:pPr>
        <w:pStyle w:val="jaa"/>
      </w:pPr>
      <w:r>
        <w:t>（無利子貸付け）</w:t>
      </w:r>
    </w:p>
    <w:p w:rsidR="00503B4A" w:rsidRDefault="00F57F65">
      <w:pPr>
        <w:pStyle w:val="jaf3"/>
      </w:pPr>
      <w:r>
        <w:t>第十三条　国は、予算の範囲内において、選定事業者に対し、選定事業のうち特に公共性が高いと認めるものに係る資金について無利子で貸付けを行うことができる。</w:t>
      </w:r>
    </w:p>
    <w:p w:rsidR="00503B4A" w:rsidRDefault="00F57F65">
      <w:pPr>
        <w:pStyle w:val="jaf4"/>
      </w:pPr>
      <w:r>
        <w:t>２　国は、前項の規定により無利子で貸付けを行う場合には、日本政策投資銀行、沖縄振興開発金融公庫その他の政府系金融機関等の審査機能又は貸付け機能を活用することができる。</w:t>
      </w:r>
    </w:p>
    <w:p w:rsidR="00503B4A" w:rsidRDefault="00503B4A"/>
    <w:p w:rsidR="00503B4A" w:rsidRDefault="00F57F65">
      <w:pPr>
        <w:pStyle w:val="jaa"/>
      </w:pPr>
      <w:r>
        <w:t>（資金の確保等及び地方債についての配慮）</w:t>
      </w:r>
    </w:p>
    <w:p w:rsidR="00503B4A" w:rsidRDefault="00F57F65">
      <w:pPr>
        <w:pStyle w:val="jaf3"/>
      </w:pPr>
      <w:r>
        <w:t>第十四条　国又は地方公共団体は、選定事業の実施のために必要な資金の確保若しくはその融通のあっせん又は法令の範囲内における地方債についての特別の配慮に努めるものとする。</w:t>
      </w:r>
    </w:p>
    <w:p w:rsidR="00503B4A" w:rsidRDefault="00503B4A"/>
    <w:p w:rsidR="00503B4A" w:rsidRDefault="00F57F65">
      <w:pPr>
        <w:pStyle w:val="jaa"/>
      </w:pPr>
      <w:r>
        <w:t>（土地の取得等についての配慮）</w:t>
      </w:r>
    </w:p>
    <w:p w:rsidR="00503B4A" w:rsidRDefault="00F57F65">
      <w:pPr>
        <w:pStyle w:val="jaf3"/>
      </w:pPr>
      <w:r>
        <w:t>第十五条　選定事業の用に供する土地等については、選定事業者が円滑に取得し、又は使用することができるよう、土地収用法（昭和二十六年法律第二百十九号）に基づく収用その他関係法令に基づく許可等の処分について適切な配慮が行われるものとする。</w:t>
      </w:r>
    </w:p>
    <w:p w:rsidR="00503B4A" w:rsidRDefault="00503B4A"/>
    <w:p w:rsidR="00503B4A" w:rsidRDefault="00F57F65">
      <w:pPr>
        <w:pStyle w:val="jaa"/>
      </w:pPr>
      <w:r>
        <w:t>（支援等）</w:t>
      </w:r>
    </w:p>
    <w:p w:rsidR="00503B4A" w:rsidRDefault="00F57F65">
      <w:pPr>
        <w:pStyle w:val="jaf3"/>
      </w:pPr>
      <w:r>
        <w:t>第十六条　第十一条の二から前条までに規定するもののほか、国及び地方公共団体は、特定事業の実施を促進するため、基本方針及び実施方針に照らして、必要な法制上及び税制上の措置を講ずるとともに、選定事業者に対し、必要な財政上及び金融上の支援を行うものとする。</w:t>
      </w:r>
    </w:p>
    <w:p w:rsidR="00503B4A" w:rsidRDefault="00F57F65">
      <w:pPr>
        <w:pStyle w:val="jaf4"/>
      </w:pPr>
      <w:r>
        <w:t>２　前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503B4A" w:rsidRDefault="00503B4A"/>
    <w:p w:rsidR="00503B4A" w:rsidRDefault="00F57F65">
      <w:pPr>
        <w:pStyle w:val="jaa"/>
      </w:pPr>
      <w:r>
        <w:t>（規制緩和）</w:t>
      </w:r>
    </w:p>
    <w:p w:rsidR="00503B4A" w:rsidRDefault="00F57F65">
      <w:pPr>
        <w:pStyle w:val="jaf3"/>
      </w:pPr>
      <w:r>
        <w:t>第十七条　国及び地方公共団体は、特定事業の実施を</w:t>
      </w:r>
      <w:r>
        <w:t>促進するため、民間事業者の技術の活用及び創意工夫の十分な発揮を妨げるような規制の撤廃又は緩和を速やかに推進するものとする。</w:t>
      </w:r>
    </w:p>
    <w:p w:rsidR="00503B4A" w:rsidRDefault="00503B4A"/>
    <w:p w:rsidR="00503B4A" w:rsidRDefault="00F57F65">
      <w:pPr>
        <w:pStyle w:val="jaa"/>
      </w:pPr>
      <w:r>
        <w:t>（協力）</w:t>
      </w:r>
    </w:p>
    <w:p w:rsidR="00503B4A" w:rsidRDefault="00F57F65">
      <w:pPr>
        <w:pStyle w:val="jaf3"/>
      </w:pPr>
      <w:r>
        <w:t>第十八条　国及び地方公共団体並びに民間事業者は、特定事業の円滑な実施が促進されるよう、協力体制を整備すること等により相互に協力しなければならない。</w:t>
      </w:r>
    </w:p>
    <w:p w:rsidR="00503B4A" w:rsidRDefault="00503B4A"/>
    <w:p w:rsidR="00503B4A" w:rsidRDefault="00F57F65">
      <w:pPr>
        <w:pStyle w:val="jaa"/>
      </w:pPr>
      <w:r>
        <w:t>（啓発活動等及び技術的援助等）</w:t>
      </w:r>
    </w:p>
    <w:p w:rsidR="00503B4A" w:rsidRDefault="00F57F65">
      <w:pPr>
        <w:pStyle w:val="jaf3"/>
      </w:pPr>
      <w:r>
        <w:t>第十九条　国及び地方公共団体は、特定事業の実施について、知識の普及、情報の提供等を行うとともに、住民の理解、同意及び協力を得るための啓発活動を推進するものとする。</w:t>
      </w:r>
    </w:p>
    <w:p w:rsidR="00503B4A" w:rsidRDefault="00F57F65">
      <w:pPr>
        <w:pStyle w:val="jaf4"/>
      </w:pPr>
      <w:r>
        <w:t>２　国及び地方公共団体は、特定</w:t>
      </w:r>
      <w:r>
        <w:t>事業の円滑かつ効率的な遂行を図るため、民間事業者に対する技術的な援助について必要な配慮をするとともに、特許等の技術の利用の調整その他民間事業者の有する技術の活用について特別の配慮をするものとする。</w:t>
      </w:r>
    </w:p>
    <w:p w:rsidR="00503B4A" w:rsidRDefault="00503B4A"/>
    <w:p w:rsidR="00503B4A" w:rsidRDefault="00F57F65">
      <w:pPr>
        <w:pStyle w:val="jaa"/>
      </w:pPr>
      <w:r>
        <w:t>（担保不動産の活用等）</w:t>
      </w:r>
    </w:p>
    <w:p w:rsidR="00503B4A" w:rsidRDefault="00F57F65">
      <w:pPr>
        <w:pStyle w:val="jaf3"/>
      </w:pPr>
      <w:r>
        <w:t>第二十条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会社に損失が生じたときは、当該会社は、当該損失に相当する額を、当該</w:t>
      </w:r>
      <w:r>
        <w:t>事業年度の決算期において、貸借対照表の資産の部に計上し、繰延資産として整理することができる。この場合には、当該決算期から十年以内に、毎決算期に均等額以上の償却をしなければならない。</w:t>
      </w:r>
    </w:p>
    <w:p w:rsidR="00503B4A" w:rsidRDefault="00F57F65">
      <w:pPr>
        <w:pStyle w:val="jaf4"/>
      </w:pPr>
      <w:r>
        <w:t>２　前項の規定の適用がある場合における会社法（平成十七年法律第八十七号）第四百六十一条第二項の規定の適用については、同項中「の合計額を減じて得た」とあるのは、「及び内閣府令で定める場合における民間資金等の活用による公共施設等の整備等の促進に関する法律第二十条第一項の規定により貸借対照表の資産の部に計上した金額中内閣府令で定める金</w:t>
      </w:r>
      <w:r>
        <w:t>額の合計額を減じて得た」とする。</w:t>
      </w:r>
    </w:p>
    <w:p w:rsidR="00503B4A" w:rsidRDefault="00503B4A"/>
    <w:p w:rsidR="00503B4A" w:rsidRDefault="00F57F65">
      <w:pPr>
        <w:pStyle w:val="jaa"/>
      </w:pPr>
      <w:r>
        <w:t>（民間資金等活用事業推進委員会）</w:t>
      </w:r>
    </w:p>
    <w:p w:rsidR="00503B4A" w:rsidRDefault="00F57F65">
      <w:pPr>
        <w:pStyle w:val="jaf3"/>
      </w:pPr>
      <w:r>
        <w:t>第二十一条　内閣府に、民間資金等活用事業推進委員会（以下「委員会」という。）を置く。</w:t>
      </w:r>
    </w:p>
    <w:p w:rsidR="00503B4A" w:rsidRDefault="00F57F65">
      <w:pPr>
        <w:pStyle w:val="jaf4"/>
      </w:pPr>
      <w:r>
        <w:t>２　委員会は、この法律の規定によりその権限に属させられた事項を調査審議するほか、実施方針の策定状況、特定事業の選定状況、特定事業の客観的な評価状況その他民間資金等の活用による国の公共施設等の整備等の実施状況を調査審議する。</w:t>
      </w:r>
    </w:p>
    <w:p w:rsidR="00503B4A" w:rsidRDefault="00F57F65">
      <w:pPr>
        <w:pStyle w:val="jaf4"/>
      </w:pPr>
      <w:r>
        <w:t>３　民間事業者等は、委員会に対し、民間資金等の活用による国の公共施設等の整備等に関する意見を提出することができる。</w:t>
      </w:r>
    </w:p>
    <w:p w:rsidR="00503B4A" w:rsidRDefault="00F57F65">
      <w:pPr>
        <w:pStyle w:val="jaf4"/>
      </w:pPr>
      <w:r>
        <w:t>４　委員会は、前二項の場合において必要があると認めるときは、民間資金等の活用による国の公共施設等の整備等の促進及び総合調整を図るため、内閣総理大臣又は関係行政機関の長に意見を述べることができる。</w:t>
      </w:r>
    </w:p>
    <w:p w:rsidR="00503B4A" w:rsidRDefault="00F57F65">
      <w:pPr>
        <w:pStyle w:val="jaf4"/>
      </w:pPr>
      <w:r>
        <w:t>５　内閣総理大臣又は関係行政機関の長は、前項の意見を受けてとった措置について、委員会に報告しなければならない。</w:t>
      </w:r>
    </w:p>
    <w:p w:rsidR="00503B4A" w:rsidRDefault="00F57F65">
      <w:pPr>
        <w:pStyle w:val="jaf4"/>
      </w:pPr>
      <w:r>
        <w:t>６　委員会は、その所掌事務を遂行するため必要があると認めるときは、関係行政機関の長、関係</w:t>
      </w:r>
      <w:r>
        <w:t>地方公共団体の長又は関係団体に対し、資料の提出、意見の開陳、説明その他必要な協力を求めることができる。この場合において、委員会は、提出を受けた資料その他所掌事務を遂行するために収集した資料の公表に関し必要な措置を講ずるものとする。</w:t>
      </w:r>
    </w:p>
    <w:p w:rsidR="00503B4A" w:rsidRDefault="00503B4A"/>
    <w:p w:rsidR="00503B4A" w:rsidRDefault="00F57F65">
      <w:pPr>
        <w:pStyle w:val="jaa"/>
      </w:pPr>
      <w:r>
        <w:t>（委員会の組織）</w:t>
      </w:r>
    </w:p>
    <w:p w:rsidR="00503B4A" w:rsidRDefault="00F57F65">
      <w:pPr>
        <w:pStyle w:val="jaf3"/>
      </w:pPr>
      <w:r>
        <w:t>第二十二条　委員会は、学識経験者のうちから、内閣総理大臣が任命する委員九人で組織する。</w:t>
      </w:r>
    </w:p>
    <w:p w:rsidR="00503B4A" w:rsidRDefault="00F57F65">
      <w:pPr>
        <w:pStyle w:val="jaf4"/>
      </w:pPr>
      <w:r>
        <w:t>２　専門の事項を調査審議させる必要があるときは、委員会に専門委員を置くことができる。</w:t>
      </w:r>
    </w:p>
    <w:p w:rsidR="00503B4A" w:rsidRDefault="00F57F65">
      <w:pPr>
        <w:pStyle w:val="jaf4"/>
      </w:pPr>
      <w:r>
        <w:t>３　委員会に、必要に応じ、部会を置くことができる。</w:t>
      </w:r>
    </w:p>
    <w:p w:rsidR="00503B4A" w:rsidRDefault="00F57F65">
      <w:pPr>
        <w:pStyle w:val="jaf4"/>
      </w:pPr>
      <w:r>
        <w:t>４　前三項に定めるもののほか、委員</w:t>
      </w:r>
      <w:r>
        <w:t>会の組織及び運営に関し必要な事項は、政令で定める。</w:t>
      </w:r>
    </w:p>
    <w:p w:rsidR="00503B4A" w:rsidRDefault="00503B4A"/>
    <w:p w:rsidR="00503B4A" w:rsidRDefault="00F57F65">
      <w:pPr>
        <w:pStyle w:val="jaa"/>
      </w:pPr>
      <w:r>
        <w:t>（政令への委任）</w:t>
      </w:r>
    </w:p>
    <w:p w:rsidR="00503B4A" w:rsidRDefault="00F57F65">
      <w:pPr>
        <w:pStyle w:val="jaf3"/>
      </w:pPr>
      <w:r>
        <w:t>第二十三条　この法律に定めるもののほか、この法律の実施のため必要な事項は、政令で定める。</w:t>
      </w:r>
    </w:p>
    <w:sectPr w:rsidR="00503B4A" w:rsidSect="00503B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B4A" w:rsidRDefault="00503B4A" w:rsidP="00503B4A">
      <w:r>
        <w:separator/>
      </w:r>
    </w:p>
  </w:endnote>
  <w:endnote w:type="continuationSeparator" w:id="0">
    <w:p w:rsidR="00503B4A" w:rsidRDefault="00503B4A" w:rsidP="0050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B4A" w:rsidRDefault="00503B4A">
    <w:pPr>
      <w:pStyle w:val="a3"/>
    </w:pPr>
    <w:r>
      <w:fldChar w:fldCharType="begin"/>
    </w:r>
    <w:r>
      <w:instrText xml:space="preserve"> PAGE  \* MERGEFORMAT </w:instrText>
    </w:r>
    <w:r>
      <w:fldChar w:fldCharType="separate"/>
    </w:r>
    <w:r w:rsidR="00F57F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B4A" w:rsidRDefault="00503B4A" w:rsidP="00503B4A">
      <w:r>
        <w:separator/>
      </w:r>
    </w:p>
  </w:footnote>
  <w:footnote w:type="continuationSeparator" w:id="0">
    <w:p w:rsidR="00503B4A" w:rsidRDefault="00503B4A" w:rsidP="0050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E40"/>
    <w:multiLevelType w:val="multilevel"/>
    <w:tmpl w:val="F288D6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7C0F7E"/>
    <w:multiLevelType w:val="multilevel"/>
    <w:tmpl w:val="EBA496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FB57A2"/>
    <w:multiLevelType w:val="multilevel"/>
    <w:tmpl w:val="60DC41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F3695"/>
    <w:multiLevelType w:val="multilevel"/>
    <w:tmpl w:val="7F984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16959"/>
    <w:multiLevelType w:val="multilevel"/>
    <w:tmpl w:val="83E45A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F75B24"/>
    <w:multiLevelType w:val="multilevel"/>
    <w:tmpl w:val="66A408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537C91"/>
    <w:multiLevelType w:val="multilevel"/>
    <w:tmpl w:val="0EE269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BC21DC"/>
    <w:multiLevelType w:val="multilevel"/>
    <w:tmpl w:val="773493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355699"/>
    <w:multiLevelType w:val="multilevel"/>
    <w:tmpl w:val="ED5680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174D79"/>
    <w:multiLevelType w:val="multilevel"/>
    <w:tmpl w:val="D408E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60024F"/>
    <w:multiLevelType w:val="multilevel"/>
    <w:tmpl w:val="A24A9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93D676E"/>
    <w:multiLevelType w:val="multilevel"/>
    <w:tmpl w:val="7EBEBA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447E81"/>
    <w:multiLevelType w:val="multilevel"/>
    <w:tmpl w:val="DC203F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5"/>
  </w:num>
  <w:num w:numId="4">
    <w:abstractNumId w:val="9"/>
  </w:num>
  <w:num w:numId="5">
    <w:abstractNumId w:val="12"/>
  </w:num>
  <w:num w:numId="6">
    <w:abstractNumId w:val="2"/>
  </w:num>
  <w:num w:numId="7">
    <w:abstractNumId w:val="8"/>
  </w:num>
  <w:num w:numId="8">
    <w:abstractNumId w:val="4"/>
  </w:num>
  <w:num w:numId="9">
    <w:abstractNumId w:val="11"/>
  </w:num>
  <w:num w:numId="10">
    <w:abstractNumId w:val="10"/>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3B4A"/>
    <w:rsid w:val="00503B4A"/>
    <w:rsid w:val="00F57F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3B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3B4A"/>
    <w:rPr>
      <w:rFonts w:ascii="Century" w:eastAsia="Century" w:hAnsi="Century"/>
    </w:rPr>
  </w:style>
  <w:style w:type="paragraph" w:customStyle="1" w:styleId="ja0">
    <w:name w:val="款（ja）"/>
    <w:basedOn w:val="a"/>
    <w:rsid w:val="00503B4A"/>
    <w:pPr>
      <w:widowControl w:val="0"/>
      <w:ind w:left="1321" w:hanging="221"/>
    </w:pPr>
    <w:rPr>
      <w:rFonts w:ascii="ＭＳ 明朝" w:eastAsia="ＭＳ 明朝" w:hAnsi="ＭＳ 明朝" w:cs="ＭＳ 明朝"/>
      <w:b/>
    </w:rPr>
  </w:style>
  <w:style w:type="paragraph" w:customStyle="1" w:styleId="en0">
    <w:name w:val="款（en）"/>
    <w:basedOn w:val="ja0"/>
    <w:rsid w:val="00503B4A"/>
    <w:rPr>
      <w:rFonts w:ascii="Century" w:eastAsia="Century" w:hAnsi="Century" w:cs="Century"/>
    </w:rPr>
  </w:style>
  <w:style w:type="paragraph" w:customStyle="1" w:styleId="ja1">
    <w:name w:val="前文（ja）"/>
    <w:basedOn w:val="a"/>
    <w:rsid w:val="00503B4A"/>
    <w:pPr>
      <w:widowControl w:val="0"/>
      <w:ind w:firstLine="219"/>
    </w:pPr>
    <w:rPr>
      <w:rFonts w:ascii="ＭＳ 明朝" w:eastAsia="ＭＳ 明朝" w:hAnsi="ＭＳ 明朝" w:cs="ＭＳ 明朝"/>
    </w:rPr>
  </w:style>
  <w:style w:type="paragraph" w:customStyle="1" w:styleId="en1">
    <w:name w:val="前文（en）"/>
    <w:basedOn w:val="ja1"/>
    <w:rsid w:val="00503B4A"/>
    <w:rPr>
      <w:rFonts w:ascii="Century" w:eastAsia="Century" w:hAnsi="Century" w:cs="Century"/>
    </w:rPr>
  </w:style>
  <w:style w:type="paragraph" w:customStyle="1" w:styleId="ja2">
    <w:name w:val="附則（ja）"/>
    <w:basedOn w:val="a"/>
    <w:rsid w:val="00503B4A"/>
    <w:pPr>
      <w:widowControl w:val="0"/>
      <w:ind w:left="881" w:hanging="221"/>
    </w:pPr>
    <w:rPr>
      <w:rFonts w:ascii="ＭＳ 明朝" w:eastAsia="ＭＳ 明朝" w:hAnsi="ＭＳ 明朝" w:cs="ＭＳ 明朝"/>
      <w:b/>
    </w:rPr>
  </w:style>
  <w:style w:type="paragraph" w:customStyle="1" w:styleId="en2">
    <w:name w:val="附則（en）"/>
    <w:basedOn w:val="ja2"/>
    <w:rsid w:val="00503B4A"/>
    <w:rPr>
      <w:rFonts w:ascii="Century" w:hAnsi="Century" w:cs="Century"/>
    </w:rPr>
  </w:style>
  <w:style w:type="paragraph" w:customStyle="1" w:styleId="ja3">
    <w:name w:val="章（ja）"/>
    <w:basedOn w:val="a"/>
    <w:rsid w:val="00503B4A"/>
    <w:pPr>
      <w:widowControl w:val="0"/>
      <w:ind w:left="881" w:hanging="221"/>
    </w:pPr>
    <w:rPr>
      <w:rFonts w:ascii="ＭＳ 明朝" w:eastAsia="ＭＳ 明朝" w:hAnsi="ＭＳ 明朝" w:cs="ＭＳ 明朝"/>
      <w:b/>
    </w:rPr>
  </w:style>
  <w:style w:type="paragraph" w:customStyle="1" w:styleId="en3">
    <w:name w:val="章（en）"/>
    <w:basedOn w:val="ja3"/>
    <w:rsid w:val="00503B4A"/>
    <w:rPr>
      <w:rFonts w:ascii="Century" w:eastAsia="Century" w:hAnsi="Century" w:cs="Century"/>
    </w:rPr>
  </w:style>
  <w:style w:type="paragraph" w:customStyle="1" w:styleId="ja4">
    <w:name w:val="目次編（ja）"/>
    <w:basedOn w:val="a"/>
    <w:rsid w:val="00503B4A"/>
    <w:pPr>
      <w:widowControl w:val="0"/>
      <w:ind w:left="219" w:hanging="219"/>
    </w:pPr>
    <w:rPr>
      <w:rFonts w:ascii="ＭＳ 明朝" w:eastAsia="ＭＳ 明朝" w:hAnsi="ＭＳ 明朝"/>
    </w:rPr>
  </w:style>
  <w:style w:type="paragraph" w:customStyle="1" w:styleId="en4">
    <w:name w:val="目次編（en）"/>
    <w:basedOn w:val="ja4"/>
    <w:rsid w:val="00503B4A"/>
    <w:rPr>
      <w:rFonts w:ascii="Century" w:eastAsia="Century" w:hAnsi="Century"/>
    </w:rPr>
  </w:style>
  <w:style w:type="paragraph" w:customStyle="1" w:styleId="ja5">
    <w:name w:val="目次章（ja）"/>
    <w:basedOn w:val="a"/>
    <w:rsid w:val="00503B4A"/>
    <w:pPr>
      <w:widowControl w:val="0"/>
      <w:ind w:left="439" w:hanging="219"/>
    </w:pPr>
    <w:rPr>
      <w:rFonts w:ascii="ＭＳ 明朝" w:eastAsia="ＭＳ 明朝" w:hAnsi="ＭＳ 明朝"/>
    </w:rPr>
  </w:style>
  <w:style w:type="paragraph" w:customStyle="1" w:styleId="en5">
    <w:name w:val="目次章（en）"/>
    <w:basedOn w:val="ja5"/>
    <w:rsid w:val="00503B4A"/>
    <w:rPr>
      <w:rFonts w:ascii="Century" w:eastAsia="Century" w:hAnsi="Century"/>
    </w:rPr>
  </w:style>
  <w:style w:type="paragraph" w:customStyle="1" w:styleId="ja6">
    <w:name w:val="目次節（ja）"/>
    <w:basedOn w:val="a"/>
    <w:rsid w:val="00503B4A"/>
    <w:pPr>
      <w:widowControl w:val="0"/>
      <w:ind w:left="659" w:hanging="219"/>
    </w:pPr>
    <w:rPr>
      <w:rFonts w:ascii="ＭＳ 明朝" w:eastAsia="ＭＳ 明朝" w:hAnsi="ＭＳ 明朝"/>
    </w:rPr>
  </w:style>
  <w:style w:type="paragraph" w:customStyle="1" w:styleId="en6">
    <w:name w:val="目次節（en）"/>
    <w:basedOn w:val="ja6"/>
    <w:rsid w:val="00503B4A"/>
    <w:rPr>
      <w:rFonts w:ascii="Century" w:eastAsia="Century" w:hAnsi="Century"/>
    </w:rPr>
  </w:style>
  <w:style w:type="paragraph" w:customStyle="1" w:styleId="ja7">
    <w:name w:val="目次款（ja）"/>
    <w:basedOn w:val="a"/>
    <w:rsid w:val="00503B4A"/>
    <w:pPr>
      <w:widowControl w:val="0"/>
      <w:ind w:left="879" w:hanging="219"/>
    </w:pPr>
    <w:rPr>
      <w:rFonts w:ascii="ＭＳ 明朝" w:eastAsia="ＭＳ 明朝" w:hAnsi="ＭＳ 明朝" w:cs="Kochi Mincho"/>
    </w:rPr>
  </w:style>
  <w:style w:type="paragraph" w:customStyle="1" w:styleId="en7">
    <w:name w:val="目次款（en）"/>
    <w:basedOn w:val="ja7"/>
    <w:rsid w:val="00503B4A"/>
    <w:rPr>
      <w:rFonts w:ascii="Century" w:eastAsia="Century" w:hAnsi="Century"/>
    </w:rPr>
  </w:style>
  <w:style w:type="paragraph" w:customStyle="1" w:styleId="ja8">
    <w:name w:val="別表名（ja）"/>
    <w:basedOn w:val="a"/>
    <w:rsid w:val="00503B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3B4A"/>
    <w:rPr>
      <w:rFonts w:ascii="Century" w:eastAsia="Century" w:hAnsi="Century" w:cs="Century"/>
    </w:rPr>
  </w:style>
  <w:style w:type="paragraph" w:customStyle="1" w:styleId="ja9">
    <w:name w:val="目（ja）"/>
    <w:basedOn w:val="a"/>
    <w:rsid w:val="00503B4A"/>
    <w:pPr>
      <w:widowControl w:val="0"/>
      <w:ind w:left="1541" w:hanging="221"/>
    </w:pPr>
    <w:rPr>
      <w:rFonts w:ascii="ＭＳ 明朝" w:eastAsia="ＭＳ 明朝" w:hAnsi="ＭＳ 明朝" w:cs="ＭＳ 明朝"/>
      <w:b/>
    </w:rPr>
  </w:style>
  <w:style w:type="paragraph" w:customStyle="1" w:styleId="en9">
    <w:name w:val="目（en）"/>
    <w:basedOn w:val="ja9"/>
    <w:rsid w:val="00503B4A"/>
    <w:rPr>
      <w:rFonts w:ascii="Century" w:eastAsia="Century" w:hAnsi="Century" w:cs="Century"/>
    </w:rPr>
  </w:style>
  <w:style w:type="paragraph" w:customStyle="1" w:styleId="jaa">
    <w:name w:val="見出し（ja）"/>
    <w:basedOn w:val="a"/>
    <w:rsid w:val="00503B4A"/>
    <w:pPr>
      <w:widowControl w:val="0"/>
      <w:ind w:left="439" w:hanging="219"/>
    </w:pPr>
    <w:rPr>
      <w:rFonts w:ascii="ＭＳ 明朝" w:eastAsia="ＭＳ 明朝" w:hAnsi="ＭＳ 明朝" w:cs="ＭＳ 明朝"/>
    </w:rPr>
  </w:style>
  <w:style w:type="paragraph" w:customStyle="1" w:styleId="ena">
    <w:name w:val="見出し（en）"/>
    <w:basedOn w:val="jaa"/>
    <w:rsid w:val="00503B4A"/>
    <w:rPr>
      <w:rFonts w:ascii="Century" w:eastAsia="Century" w:hAnsi="Century" w:cs="Century"/>
    </w:rPr>
  </w:style>
  <w:style w:type="paragraph" w:styleId="a3">
    <w:name w:val="footer"/>
    <w:basedOn w:val="a"/>
    <w:rsid w:val="00503B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3B4A"/>
    <w:pPr>
      <w:widowControl w:val="0"/>
      <w:ind w:left="1099" w:hanging="219"/>
    </w:pPr>
    <w:rPr>
      <w:rFonts w:ascii="ＭＳ 明朝" w:eastAsia="ＭＳ 明朝" w:hAnsi="ＭＳ 明朝" w:cs="Kochi Mincho"/>
    </w:rPr>
  </w:style>
  <w:style w:type="paragraph" w:customStyle="1" w:styleId="enb">
    <w:name w:val="目次目（en）"/>
    <w:basedOn w:val="jab"/>
    <w:rsid w:val="00503B4A"/>
    <w:rPr>
      <w:rFonts w:ascii="Century" w:eastAsia="Century" w:hAnsi="Century"/>
    </w:rPr>
  </w:style>
  <w:style w:type="paragraph" w:customStyle="1" w:styleId="jac">
    <w:name w:val="目次附則（ja）"/>
    <w:basedOn w:val="a"/>
    <w:rsid w:val="00503B4A"/>
    <w:pPr>
      <w:widowControl w:val="0"/>
      <w:ind w:left="439" w:hanging="219"/>
    </w:pPr>
    <w:rPr>
      <w:rFonts w:ascii="ＭＳ 明朝" w:eastAsia="ＭＳ 明朝" w:hAnsi="ＭＳ 明朝" w:cs="Kochi Mincho"/>
    </w:rPr>
  </w:style>
  <w:style w:type="paragraph" w:customStyle="1" w:styleId="enc">
    <w:name w:val="目次附則（en）"/>
    <w:basedOn w:val="jac"/>
    <w:rsid w:val="00503B4A"/>
    <w:rPr>
      <w:rFonts w:ascii="Century" w:eastAsia="Century" w:hAnsi="Century" w:cs="Century"/>
    </w:rPr>
  </w:style>
  <w:style w:type="paragraph" w:customStyle="1" w:styleId="jad">
    <w:name w:val="目次前文（ja）"/>
    <w:basedOn w:val="jac"/>
    <w:rsid w:val="00503B4A"/>
  </w:style>
  <w:style w:type="paragraph" w:customStyle="1" w:styleId="end">
    <w:name w:val="目次前文（en）"/>
    <w:basedOn w:val="enc"/>
    <w:rsid w:val="00503B4A"/>
  </w:style>
  <w:style w:type="paragraph" w:customStyle="1" w:styleId="jae">
    <w:name w:val="制定文（ja）"/>
    <w:basedOn w:val="a"/>
    <w:rsid w:val="00503B4A"/>
    <w:pPr>
      <w:widowControl w:val="0"/>
      <w:ind w:firstLine="219"/>
    </w:pPr>
    <w:rPr>
      <w:rFonts w:ascii="ＭＳ 明朝" w:eastAsia="ＭＳ 明朝" w:hAnsi="ＭＳ 明朝" w:cs="ＭＳ 明朝"/>
    </w:rPr>
  </w:style>
  <w:style w:type="paragraph" w:customStyle="1" w:styleId="ene">
    <w:name w:val="制定文（en）"/>
    <w:basedOn w:val="jae"/>
    <w:rsid w:val="00503B4A"/>
    <w:rPr>
      <w:rFonts w:ascii="Century" w:eastAsia="Century" w:hAnsi="Century" w:cs="Century"/>
    </w:rPr>
  </w:style>
  <w:style w:type="paragraph" w:customStyle="1" w:styleId="jaf">
    <w:name w:val="法令番号（ja）"/>
    <w:basedOn w:val="a"/>
    <w:rsid w:val="00503B4A"/>
    <w:pPr>
      <w:widowControl w:val="0"/>
      <w:jc w:val="right"/>
    </w:pPr>
    <w:rPr>
      <w:rFonts w:ascii="ＭＳ 明朝" w:eastAsia="ＭＳ 明朝" w:hAnsi="ＭＳ 明朝" w:cs="Kochi Mincho"/>
    </w:rPr>
  </w:style>
  <w:style w:type="paragraph" w:customStyle="1" w:styleId="enf">
    <w:name w:val="法令番号（en）"/>
    <w:basedOn w:val="jaf"/>
    <w:rsid w:val="00503B4A"/>
    <w:rPr>
      <w:rFonts w:ascii="Century" w:eastAsia="Century" w:hAnsi="Century" w:cs="Century"/>
    </w:rPr>
  </w:style>
  <w:style w:type="paragraph" w:customStyle="1" w:styleId="jaf0">
    <w:name w:val="目次（ja）"/>
    <w:basedOn w:val="a"/>
    <w:rsid w:val="00503B4A"/>
    <w:rPr>
      <w:rFonts w:ascii="ＭＳ 明朝" w:eastAsia="ＭＳ 明朝" w:hAnsi="ＭＳ 明朝"/>
    </w:rPr>
  </w:style>
  <w:style w:type="paragraph" w:customStyle="1" w:styleId="enf0">
    <w:name w:val="目次（en）"/>
    <w:basedOn w:val="jaf0"/>
    <w:rsid w:val="00503B4A"/>
    <w:rPr>
      <w:rFonts w:ascii="Century" w:eastAsia="Century" w:hAnsi="Century"/>
    </w:rPr>
  </w:style>
  <w:style w:type="paragraph" w:customStyle="1" w:styleId="jaf1">
    <w:name w:val="編（ja）"/>
    <w:basedOn w:val="a"/>
    <w:rsid w:val="00503B4A"/>
    <w:pPr>
      <w:widowControl w:val="0"/>
      <w:ind w:left="661" w:hanging="221"/>
    </w:pPr>
    <w:rPr>
      <w:rFonts w:ascii="ＭＳ 明朝" w:eastAsia="ＭＳ 明朝" w:hAnsi="ＭＳ 明朝" w:cs="ＭＳ 明朝"/>
      <w:b/>
    </w:rPr>
  </w:style>
  <w:style w:type="paragraph" w:customStyle="1" w:styleId="enf1">
    <w:name w:val="編（en）"/>
    <w:basedOn w:val="jaf1"/>
    <w:rsid w:val="00503B4A"/>
    <w:rPr>
      <w:rFonts w:ascii="Century" w:eastAsia="Century" w:hAnsi="Century" w:cs="Century"/>
    </w:rPr>
  </w:style>
  <w:style w:type="paragraph" w:customStyle="1" w:styleId="jaf2">
    <w:name w:val="節（ja）"/>
    <w:basedOn w:val="a"/>
    <w:rsid w:val="00503B4A"/>
    <w:pPr>
      <w:widowControl w:val="0"/>
      <w:ind w:left="1101" w:hanging="221"/>
    </w:pPr>
    <w:rPr>
      <w:rFonts w:ascii="ＭＳ 明朝" w:eastAsia="ＭＳ 明朝" w:hAnsi="ＭＳ 明朝" w:cs="ＭＳ 明朝"/>
      <w:b/>
    </w:rPr>
  </w:style>
  <w:style w:type="paragraph" w:customStyle="1" w:styleId="enf2">
    <w:name w:val="節（en）"/>
    <w:basedOn w:val="jaf2"/>
    <w:rsid w:val="00503B4A"/>
    <w:rPr>
      <w:rFonts w:ascii="Century" w:eastAsia="Century" w:hAnsi="Century" w:cs="Century"/>
    </w:rPr>
  </w:style>
  <w:style w:type="paragraph" w:customStyle="1" w:styleId="jaf3">
    <w:name w:val="条（ja）"/>
    <w:basedOn w:val="a"/>
    <w:rsid w:val="00503B4A"/>
    <w:pPr>
      <w:widowControl w:val="0"/>
      <w:ind w:left="219" w:hanging="219"/>
    </w:pPr>
    <w:rPr>
      <w:rFonts w:ascii="ＭＳ 明朝" w:eastAsia="ＭＳ 明朝" w:hAnsi="ＭＳ 明朝" w:cs="ＭＳ 明朝"/>
    </w:rPr>
  </w:style>
  <w:style w:type="paragraph" w:customStyle="1" w:styleId="enf3">
    <w:name w:val="条（en）"/>
    <w:basedOn w:val="jaf3"/>
    <w:rsid w:val="00503B4A"/>
    <w:rPr>
      <w:rFonts w:ascii="Century" w:eastAsia="Century" w:hAnsi="Century" w:cs="Century"/>
    </w:rPr>
  </w:style>
  <w:style w:type="paragraph" w:customStyle="1" w:styleId="jaf4">
    <w:name w:val="項（ja）"/>
    <w:basedOn w:val="a"/>
    <w:rsid w:val="00503B4A"/>
    <w:pPr>
      <w:widowControl w:val="0"/>
      <w:ind w:left="219" w:hanging="219"/>
    </w:pPr>
    <w:rPr>
      <w:rFonts w:ascii="ＭＳ 明朝" w:eastAsia="ＭＳ 明朝" w:hAnsi="ＭＳ 明朝" w:cs="ＭＳ 明朝"/>
    </w:rPr>
  </w:style>
  <w:style w:type="paragraph" w:customStyle="1" w:styleId="enf4">
    <w:name w:val="項（en）"/>
    <w:basedOn w:val="jaf4"/>
    <w:rsid w:val="00503B4A"/>
    <w:rPr>
      <w:rFonts w:ascii="Century" w:eastAsia="Century" w:hAnsi="Century" w:cs="Century"/>
    </w:rPr>
  </w:style>
  <w:style w:type="paragraph" w:customStyle="1" w:styleId="jaf5">
    <w:name w:val="項　番号なし（ja）"/>
    <w:basedOn w:val="a"/>
    <w:rsid w:val="00503B4A"/>
    <w:pPr>
      <w:widowControl w:val="0"/>
      <w:ind w:firstLine="221"/>
    </w:pPr>
    <w:rPr>
      <w:rFonts w:ascii="ＭＳ 明朝" w:eastAsia="ＭＳ 明朝" w:hAnsi="ＭＳ 明朝" w:cs="ＭＳ 明朝"/>
    </w:rPr>
  </w:style>
  <w:style w:type="paragraph" w:customStyle="1" w:styleId="enf5">
    <w:name w:val="項　番号なし（en）"/>
    <w:basedOn w:val="jaf5"/>
    <w:rsid w:val="00503B4A"/>
    <w:rPr>
      <w:rFonts w:ascii="Century" w:eastAsia="Century" w:hAnsi="Century" w:cs="Century"/>
    </w:rPr>
  </w:style>
  <w:style w:type="paragraph" w:customStyle="1" w:styleId="jaf6">
    <w:name w:val="号（ja）"/>
    <w:basedOn w:val="a"/>
    <w:rsid w:val="00503B4A"/>
    <w:pPr>
      <w:widowControl w:val="0"/>
      <w:ind w:left="439" w:hanging="219"/>
    </w:pPr>
    <w:rPr>
      <w:rFonts w:ascii="ＭＳ 明朝" w:eastAsia="ＭＳ 明朝" w:hAnsi="ＭＳ 明朝" w:cs="ＭＳ 明朝"/>
    </w:rPr>
  </w:style>
  <w:style w:type="paragraph" w:customStyle="1" w:styleId="enf6">
    <w:name w:val="号（en）"/>
    <w:basedOn w:val="jaf6"/>
    <w:rsid w:val="00503B4A"/>
    <w:rPr>
      <w:rFonts w:ascii="Century" w:eastAsia="Century" w:hAnsi="Century" w:cs="Century"/>
    </w:rPr>
  </w:style>
  <w:style w:type="paragraph" w:customStyle="1" w:styleId="jaf7">
    <w:name w:val="号　番号なし（ja）"/>
    <w:basedOn w:val="a"/>
    <w:rsid w:val="00503B4A"/>
    <w:pPr>
      <w:widowControl w:val="0"/>
      <w:ind w:left="221" w:firstLine="221"/>
    </w:pPr>
    <w:rPr>
      <w:rFonts w:ascii="ＭＳ 明朝" w:eastAsia="ＭＳ 明朝" w:hAnsi="ＭＳ 明朝" w:cs="ＭＳ 明朝"/>
    </w:rPr>
  </w:style>
  <w:style w:type="paragraph" w:customStyle="1" w:styleId="enf7">
    <w:name w:val="号　番号なし（en）"/>
    <w:basedOn w:val="jaf7"/>
    <w:rsid w:val="00503B4A"/>
    <w:rPr>
      <w:rFonts w:ascii="Century" w:eastAsia="Century" w:hAnsi="Century" w:cs="Century"/>
    </w:rPr>
  </w:style>
  <w:style w:type="paragraph" w:customStyle="1" w:styleId="jaf8">
    <w:name w:val="備考号（ja）"/>
    <w:basedOn w:val="a"/>
    <w:rsid w:val="00503B4A"/>
    <w:pPr>
      <w:widowControl w:val="0"/>
      <w:ind w:left="659" w:hanging="219"/>
    </w:pPr>
    <w:rPr>
      <w:rFonts w:ascii="ＭＳ 明朝" w:eastAsia="ＭＳ 明朝" w:hAnsi="ＭＳ 明朝" w:cs="ＭＳ 明朝"/>
    </w:rPr>
  </w:style>
  <w:style w:type="paragraph" w:customStyle="1" w:styleId="enf8">
    <w:name w:val="備考号（en）"/>
    <w:basedOn w:val="jaf8"/>
    <w:rsid w:val="00503B4A"/>
    <w:rPr>
      <w:rFonts w:ascii="Century" w:eastAsia="Century" w:hAnsi="Century" w:cs="Century"/>
    </w:rPr>
  </w:style>
  <w:style w:type="paragraph" w:customStyle="1" w:styleId="jaf9">
    <w:name w:val="号細分（ja）"/>
    <w:basedOn w:val="a"/>
    <w:rsid w:val="00503B4A"/>
    <w:pPr>
      <w:widowControl w:val="0"/>
      <w:ind w:left="659" w:hanging="219"/>
    </w:pPr>
    <w:rPr>
      <w:rFonts w:ascii="ＭＳ 明朝" w:eastAsia="ＭＳ 明朝" w:hAnsi="ＭＳ 明朝" w:cs="ＭＳ 明朝"/>
    </w:rPr>
  </w:style>
  <w:style w:type="paragraph" w:customStyle="1" w:styleId="enf9">
    <w:name w:val="号細分（en）"/>
    <w:basedOn w:val="jaf9"/>
    <w:rsid w:val="00503B4A"/>
    <w:rPr>
      <w:rFonts w:ascii="Century" w:eastAsia="Century" w:hAnsi="Century" w:cs="Century"/>
    </w:rPr>
  </w:style>
  <w:style w:type="paragraph" w:customStyle="1" w:styleId="jafa">
    <w:name w:val="号細分　番号なし（ja）"/>
    <w:basedOn w:val="a"/>
    <w:rsid w:val="00503B4A"/>
    <w:pPr>
      <w:widowControl w:val="0"/>
      <w:ind w:left="439"/>
    </w:pPr>
    <w:rPr>
      <w:rFonts w:ascii="ＭＳ 明朝" w:eastAsia="ＭＳ 明朝" w:hAnsi="ＭＳ 明朝" w:cs="ＭＳ 明朝"/>
    </w:rPr>
  </w:style>
  <w:style w:type="paragraph" w:customStyle="1" w:styleId="enfa">
    <w:name w:val="号細分　番号なし（en）"/>
    <w:basedOn w:val="jafa"/>
    <w:rsid w:val="00503B4A"/>
    <w:rPr>
      <w:rFonts w:ascii="Century" w:eastAsia="Century" w:hAnsi="Century" w:cs="Century"/>
    </w:rPr>
  </w:style>
  <w:style w:type="paragraph" w:customStyle="1" w:styleId="jafb">
    <w:name w:val="備考号細分（ja）"/>
    <w:basedOn w:val="a"/>
    <w:rsid w:val="00503B4A"/>
    <w:pPr>
      <w:widowControl w:val="0"/>
      <w:ind w:left="1099" w:hanging="439"/>
    </w:pPr>
    <w:rPr>
      <w:rFonts w:ascii="ＭＳ 明朝" w:eastAsia="ＭＳ 明朝" w:hAnsi="ＭＳ 明朝" w:cs="ＭＳ 明朝"/>
    </w:rPr>
  </w:style>
  <w:style w:type="paragraph" w:customStyle="1" w:styleId="enfb">
    <w:name w:val="備考号細分（en）"/>
    <w:basedOn w:val="jafb"/>
    <w:rsid w:val="00503B4A"/>
    <w:rPr>
      <w:rFonts w:ascii="Century" w:eastAsia="Century" w:hAnsi="Century" w:cs="Century"/>
    </w:rPr>
  </w:style>
  <w:style w:type="paragraph" w:customStyle="1" w:styleId="jafc">
    <w:name w:val="号細細分（ja）"/>
    <w:basedOn w:val="a"/>
    <w:rsid w:val="00503B4A"/>
    <w:pPr>
      <w:widowControl w:val="0"/>
      <w:ind w:left="1099" w:hanging="439"/>
    </w:pPr>
    <w:rPr>
      <w:rFonts w:ascii="ＭＳ 明朝" w:eastAsia="ＭＳ 明朝" w:hAnsi="ＭＳ 明朝" w:cs="ＭＳ 明朝"/>
    </w:rPr>
  </w:style>
  <w:style w:type="paragraph" w:customStyle="1" w:styleId="enfc">
    <w:name w:val="号細細分（en）"/>
    <w:basedOn w:val="jafc"/>
    <w:rsid w:val="00503B4A"/>
    <w:rPr>
      <w:rFonts w:ascii="Century" w:eastAsia="Century" w:hAnsi="Century" w:cs="Century"/>
    </w:rPr>
  </w:style>
  <w:style w:type="paragraph" w:customStyle="1" w:styleId="jafd">
    <w:name w:val="号細細分　番号なし（ja）"/>
    <w:basedOn w:val="a"/>
    <w:rsid w:val="00503B4A"/>
    <w:pPr>
      <w:widowControl w:val="0"/>
      <w:ind w:left="659"/>
    </w:pPr>
    <w:rPr>
      <w:rFonts w:ascii="ＭＳ 明朝" w:eastAsia="ＭＳ 明朝" w:hAnsi="ＭＳ 明朝" w:cs="ＭＳ 明朝"/>
    </w:rPr>
  </w:style>
  <w:style w:type="paragraph" w:customStyle="1" w:styleId="enfd">
    <w:name w:val="号細細分　番号なし（en）"/>
    <w:basedOn w:val="jafd"/>
    <w:rsid w:val="00503B4A"/>
    <w:rPr>
      <w:rFonts w:ascii="Century" w:eastAsia="Century" w:hAnsi="Century" w:cs="Century"/>
    </w:rPr>
  </w:style>
  <w:style w:type="paragraph" w:customStyle="1" w:styleId="jafe">
    <w:name w:val="備考号細細分（ja）"/>
    <w:basedOn w:val="a"/>
    <w:rsid w:val="00503B4A"/>
    <w:pPr>
      <w:widowControl w:val="0"/>
      <w:ind w:left="1319" w:hanging="439"/>
    </w:pPr>
    <w:rPr>
      <w:rFonts w:ascii="ＭＳ 明朝" w:eastAsia="ＭＳ 明朝" w:hAnsi="ＭＳ 明朝" w:cs="ＭＳ 明朝"/>
    </w:rPr>
  </w:style>
  <w:style w:type="paragraph" w:customStyle="1" w:styleId="enfe">
    <w:name w:val="備考号細細分（en）"/>
    <w:basedOn w:val="jafe"/>
    <w:rsid w:val="00503B4A"/>
    <w:rPr>
      <w:rFonts w:ascii="Century" w:eastAsia="Century" w:hAnsi="Century" w:cs="Century"/>
    </w:rPr>
  </w:style>
  <w:style w:type="paragraph" w:customStyle="1" w:styleId="jaff">
    <w:name w:val="号細細細分（ja）"/>
    <w:basedOn w:val="a"/>
    <w:rsid w:val="00503B4A"/>
    <w:pPr>
      <w:widowControl w:val="0"/>
      <w:ind w:left="1319" w:hanging="439"/>
    </w:pPr>
    <w:rPr>
      <w:rFonts w:ascii="ＭＳ 明朝" w:eastAsia="ＭＳ 明朝" w:hAnsi="ＭＳ 明朝" w:cs="ＭＳ 明朝"/>
    </w:rPr>
  </w:style>
  <w:style w:type="paragraph" w:customStyle="1" w:styleId="enff">
    <w:name w:val="号細細細分（en）"/>
    <w:basedOn w:val="jaff"/>
    <w:rsid w:val="00503B4A"/>
    <w:rPr>
      <w:rFonts w:ascii="Century" w:eastAsia="Century" w:hAnsi="Century" w:cs="Century"/>
    </w:rPr>
  </w:style>
  <w:style w:type="paragraph" w:customStyle="1" w:styleId="jaff0">
    <w:name w:val="号細細細分　番号なし（ja）"/>
    <w:basedOn w:val="a"/>
    <w:rsid w:val="00503B4A"/>
    <w:pPr>
      <w:widowControl w:val="0"/>
      <w:ind w:left="879"/>
    </w:pPr>
    <w:rPr>
      <w:rFonts w:ascii="ＭＳ 明朝" w:eastAsia="ＭＳ 明朝" w:hAnsi="ＭＳ 明朝" w:cs="ＭＳ 明朝"/>
    </w:rPr>
  </w:style>
  <w:style w:type="paragraph" w:customStyle="1" w:styleId="enff0">
    <w:name w:val="号細細細分　番号なし（en）"/>
    <w:basedOn w:val="jaff0"/>
    <w:rsid w:val="00503B4A"/>
    <w:rPr>
      <w:rFonts w:ascii="Century" w:eastAsia="Century" w:hAnsi="Century" w:cs="Century"/>
    </w:rPr>
  </w:style>
  <w:style w:type="paragraph" w:customStyle="1" w:styleId="jaff1">
    <w:name w:val="備考号細細細分（ja）"/>
    <w:basedOn w:val="a"/>
    <w:rsid w:val="00503B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3B4A"/>
    <w:rPr>
      <w:rFonts w:ascii="Century" w:eastAsia="Century" w:hAnsi="Century" w:cs="Century"/>
    </w:rPr>
  </w:style>
  <w:style w:type="paragraph" w:customStyle="1" w:styleId="jaff2">
    <w:name w:val="類（ja）"/>
    <w:basedOn w:val="a"/>
    <w:rsid w:val="00503B4A"/>
    <w:pPr>
      <w:widowControl w:val="0"/>
      <w:ind w:left="439" w:hanging="219"/>
    </w:pPr>
    <w:rPr>
      <w:rFonts w:ascii="ＭＳ 明朝" w:eastAsia="ＭＳ 明朝" w:hAnsi="ＭＳ 明朝" w:cs="ＭＳ 明朝"/>
    </w:rPr>
  </w:style>
  <w:style w:type="paragraph" w:customStyle="1" w:styleId="enff2">
    <w:name w:val="類（en）"/>
    <w:basedOn w:val="jaff2"/>
    <w:rsid w:val="00503B4A"/>
    <w:rPr>
      <w:rFonts w:ascii="Century" w:eastAsia="Century" w:hAnsi="Century" w:cs="Century"/>
    </w:rPr>
  </w:style>
  <w:style w:type="paragraph" w:customStyle="1" w:styleId="jaff3">
    <w:name w:val="公布文（ja）"/>
    <w:basedOn w:val="a"/>
    <w:rsid w:val="00503B4A"/>
    <w:pPr>
      <w:widowControl w:val="0"/>
      <w:ind w:firstLine="219"/>
    </w:pPr>
    <w:rPr>
      <w:rFonts w:ascii="ＭＳ 明朝" w:eastAsia="ＭＳ 明朝" w:hAnsi="ＭＳ 明朝" w:cs="ＭＳ 明朝"/>
    </w:rPr>
  </w:style>
  <w:style w:type="paragraph" w:customStyle="1" w:styleId="enff3">
    <w:name w:val="公布文（en）"/>
    <w:basedOn w:val="jaff3"/>
    <w:rsid w:val="00503B4A"/>
    <w:rPr>
      <w:rFonts w:ascii="Century" w:eastAsia="Century" w:hAnsi="Century" w:cs="Century"/>
    </w:rPr>
  </w:style>
  <w:style w:type="paragraph" w:customStyle="1" w:styleId="jaen">
    <w:name w:val="表（ja：en）"/>
    <w:basedOn w:val="a"/>
    <w:rsid w:val="00503B4A"/>
    <w:pPr>
      <w:widowControl w:val="0"/>
      <w:snapToGrid w:val="0"/>
    </w:pPr>
    <w:rPr>
      <w:rFonts w:ascii="Century" w:eastAsia="ＭＳ 明朝" w:hAnsi="Century"/>
    </w:rPr>
  </w:style>
  <w:style w:type="paragraph" w:customStyle="1" w:styleId="jaff4">
    <w:name w:val="備考（ja）"/>
    <w:basedOn w:val="a"/>
    <w:rsid w:val="00503B4A"/>
    <w:pPr>
      <w:widowControl w:val="0"/>
      <w:ind w:left="439" w:hanging="219"/>
    </w:pPr>
    <w:rPr>
      <w:rFonts w:ascii="ＭＳ 明朝" w:eastAsia="ＭＳ 明朝" w:hAnsi="ＭＳ 明朝" w:cs="ＭＳ 明朝"/>
    </w:rPr>
  </w:style>
  <w:style w:type="paragraph" w:customStyle="1" w:styleId="enff4">
    <w:name w:val="備考（en）"/>
    <w:basedOn w:val="jaff4"/>
    <w:rsid w:val="00503B4A"/>
    <w:rPr>
      <w:rFonts w:ascii="Century" w:eastAsia="Century" w:hAnsi="Century" w:cs="Century"/>
    </w:rPr>
  </w:style>
  <w:style w:type="paragraph" w:customStyle="1" w:styleId="jaff5">
    <w:name w:val="表タイトル（ja）"/>
    <w:basedOn w:val="a"/>
    <w:rsid w:val="00503B4A"/>
    <w:pPr>
      <w:widowControl w:val="0"/>
      <w:ind w:left="219"/>
    </w:pPr>
    <w:rPr>
      <w:rFonts w:ascii="ＭＳ 明朝" w:eastAsia="ＭＳ 明朝" w:hAnsi="ＭＳ 明朝" w:cs="ＭＳ 明朝"/>
    </w:rPr>
  </w:style>
  <w:style w:type="paragraph" w:customStyle="1" w:styleId="enff5">
    <w:name w:val="表タイトル（en）"/>
    <w:basedOn w:val="jaff5"/>
    <w:rsid w:val="00503B4A"/>
    <w:rPr>
      <w:rFonts w:ascii="Century" w:eastAsia="Century" w:hAnsi="Century" w:cs="Century"/>
    </w:rPr>
  </w:style>
  <w:style w:type="paragraph" w:customStyle="1" w:styleId="jaff6">
    <w:name w:val="改正規定文（ja）"/>
    <w:basedOn w:val="a"/>
    <w:rsid w:val="00503B4A"/>
    <w:pPr>
      <w:widowControl w:val="0"/>
      <w:ind w:left="219" w:firstLine="219"/>
    </w:pPr>
    <w:rPr>
      <w:rFonts w:ascii="ＭＳ 明朝" w:eastAsia="ＭＳ 明朝" w:hAnsi="ＭＳ 明朝" w:cs="ＭＳ 明朝"/>
    </w:rPr>
  </w:style>
  <w:style w:type="paragraph" w:customStyle="1" w:styleId="enff6">
    <w:name w:val="改正規定文（en）"/>
    <w:basedOn w:val="jaff6"/>
    <w:rsid w:val="00503B4A"/>
    <w:rPr>
      <w:rFonts w:ascii="Century" w:eastAsia="Century" w:hAnsi="Century" w:cs="Century"/>
    </w:rPr>
  </w:style>
  <w:style w:type="paragraph" w:customStyle="1" w:styleId="jaff7">
    <w:name w:val="付記（ja）"/>
    <w:basedOn w:val="a"/>
    <w:rsid w:val="00503B4A"/>
    <w:pPr>
      <w:widowControl w:val="0"/>
      <w:ind w:left="219" w:firstLine="219"/>
    </w:pPr>
    <w:rPr>
      <w:rFonts w:ascii="ＭＳ 明朝" w:eastAsia="ＭＳ 明朝" w:hAnsi="ＭＳ 明朝" w:cs="ＭＳ 明朝"/>
    </w:rPr>
  </w:style>
  <w:style w:type="paragraph" w:customStyle="1" w:styleId="enff7">
    <w:name w:val="付記（en）"/>
    <w:basedOn w:val="jaff7"/>
    <w:rsid w:val="00503B4A"/>
    <w:rPr>
      <w:rFonts w:ascii="Century" w:eastAsia="Century" w:hAnsi="Century" w:cs="Century"/>
    </w:rPr>
  </w:style>
  <w:style w:type="paragraph" w:customStyle="1" w:styleId="jaff8">
    <w:name w:val="様式名（ja）"/>
    <w:basedOn w:val="a"/>
    <w:rsid w:val="00503B4A"/>
    <w:pPr>
      <w:widowControl w:val="0"/>
      <w:ind w:left="439" w:hanging="219"/>
    </w:pPr>
    <w:rPr>
      <w:rFonts w:ascii="ＭＳ 明朝" w:eastAsia="ＭＳ 明朝" w:hAnsi="ＭＳ 明朝" w:cs="ＭＳ 明朝"/>
    </w:rPr>
  </w:style>
  <w:style w:type="paragraph" w:customStyle="1" w:styleId="enff8">
    <w:name w:val="様式名（en）"/>
    <w:basedOn w:val="jaff8"/>
    <w:rsid w:val="00503B4A"/>
    <w:rPr>
      <w:rFonts w:ascii="Century" w:eastAsia="Century" w:hAnsi="Century" w:cs="Century"/>
    </w:rPr>
  </w:style>
  <w:style w:type="paragraph" w:customStyle="1" w:styleId="jaff9">
    <w:name w:val="様式項目（ja）"/>
    <w:basedOn w:val="a"/>
    <w:rsid w:val="00503B4A"/>
    <w:pPr>
      <w:widowControl w:val="0"/>
      <w:ind w:left="221" w:firstLine="221"/>
    </w:pPr>
    <w:rPr>
      <w:rFonts w:ascii="ＭＳ 明朝" w:eastAsia="ＭＳ 明朝" w:hAnsi="ＭＳ 明朝" w:cs="ＭＳ 明朝"/>
    </w:rPr>
  </w:style>
  <w:style w:type="paragraph" w:customStyle="1" w:styleId="enff9">
    <w:name w:val="様式項目（en）"/>
    <w:basedOn w:val="jaff9"/>
    <w:rsid w:val="00503B4A"/>
    <w:rPr>
      <w:rFonts w:ascii="Century" w:eastAsia="Century" w:hAnsi="Century" w:cs="Century"/>
    </w:rPr>
  </w:style>
  <w:style w:type="table" w:customStyle="1" w:styleId="1">
    <w:name w:val="表1"/>
    <w:rsid w:val="00503B4A"/>
    <w:tblPr>
      <w:tblInd w:w="340" w:type="dxa"/>
      <w:tblCellMar>
        <w:top w:w="0" w:type="dxa"/>
        <w:left w:w="0" w:type="dxa"/>
        <w:bottom w:w="0" w:type="dxa"/>
        <w:right w:w="0" w:type="dxa"/>
      </w:tblCellMar>
    </w:tblPr>
  </w:style>
  <w:style w:type="numbering" w:customStyle="1" w:styleId="WW8Num1">
    <w:name w:val="WW8Num1"/>
    <w:rsid w:val="00503B4A"/>
    <w:pPr>
      <w:numPr>
        <w:numId w:val="2"/>
      </w:numPr>
    </w:pPr>
  </w:style>
  <w:style w:type="numbering" w:customStyle="1" w:styleId="WW8Num2">
    <w:name w:val="WW8Num2"/>
    <w:rsid w:val="00503B4A"/>
    <w:pPr>
      <w:numPr>
        <w:numId w:val="3"/>
      </w:numPr>
    </w:pPr>
  </w:style>
  <w:style w:type="numbering" w:customStyle="1" w:styleId="WW8Num3">
    <w:name w:val="WW8Num3"/>
    <w:rsid w:val="00503B4A"/>
    <w:pPr>
      <w:numPr>
        <w:numId w:val="4"/>
      </w:numPr>
    </w:pPr>
  </w:style>
  <w:style w:type="numbering" w:customStyle="1" w:styleId="WW8Num4">
    <w:name w:val="WW8Num4"/>
    <w:rsid w:val="00503B4A"/>
    <w:pPr>
      <w:numPr>
        <w:numId w:val="5"/>
      </w:numPr>
    </w:pPr>
  </w:style>
  <w:style w:type="numbering" w:customStyle="1" w:styleId="WW8Num5">
    <w:name w:val="WW8Num5"/>
    <w:rsid w:val="00503B4A"/>
    <w:pPr>
      <w:numPr>
        <w:numId w:val="6"/>
      </w:numPr>
    </w:pPr>
  </w:style>
  <w:style w:type="numbering" w:customStyle="1" w:styleId="WW8Num6">
    <w:name w:val="WW8Num6"/>
    <w:rsid w:val="00503B4A"/>
    <w:pPr>
      <w:numPr>
        <w:numId w:val="7"/>
      </w:numPr>
    </w:pPr>
  </w:style>
  <w:style w:type="numbering" w:customStyle="1" w:styleId="WW8Num7">
    <w:name w:val="WW8Num7"/>
    <w:rsid w:val="00503B4A"/>
    <w:pPr>
      <w:numPr>
        <w:numId w:val="8"/>
      </w:numPr>
    </w:pPr>
  </w:style>
  <w:style w:type="numbering" w:customStyle="1" w:styleId="WW8Num8">
    <w:name w:val="WW8Num8"/>
    <w:rsid w:val="00503B4A"/>
    <w:pPr>
      <w:numPr>
        <w:numId w:val="9"/>
      </w:numPr>
    </w:pPr>
  </w:style>
  <w:style w:type="numbering" w:customStyle="1" w:styleId="WW8Num9">
    <w:name w:val="WW8Num9"/>
    <w:rsid w:val="00503B4A"/>
    <w:pPr>
      <w:numPr>
        <w:numId w:val="10"/>
      </w:numPr>
    </w:pPr>
  </w:style>
  <w:style w:type="numbering" w:customStyle="1" w:styleId="WW8Num10">
    <w:name w:val="WW8Num10"/>
    <w:rsid w:val="00503B4A"/>
    <w:pPr>
      <w:numPr>
        <w:numId w:val="11"/>
      </w:numPr>
    </w:pPr>
  </w:style>
  <w:style w:type="numbering" w:customStyle="1" w:styleId="WW8Num11">
    <w:name w:val="WW8Num11"/>
    <w:rsid w:val="00503B4A"/>
    <w:pPr>
      <w:numPr>
        <w:numId w:val="12"/>
      </w:numPr>
    </w:pPr>
  </w:style>
  <w:style w:type="numbering" w:customStyle="1" w:styleId="WW8Num12">
    <w:name w:val="WW8Num12"/>
    <w:rsid w:val="00503B4A"/>
    <w:pPr>
      <w:numPr>
        <w:numId w:val="13"/>
      </w:numPr>
    </w:pPr>
  </w:style>
  <w:style w:type="paragraph" w:styleId="a4">
    <w:name w:val="header"/>
    <w:basedOn w:val="a"/>
    <w:link w:val="a5"/>
    <w:uiPriority w:val="99"/>
    <w:unhideWhenUsed/>
    <w:rsid w:val="00F57F65"/>
    <w:pPr>
      <w:tabs>
        <w:tab w:val="center" w:pos="4252"/>
        <w:tab w:val="right" w:pos="8504"/>
      </w:tabs>
      <w:snapToGrid w:val="0"/>
    </w:pPr>
  </w:style>
  <w:style w:type="character" w:customStyle="1" w:styleId="a5">
    <w:name w:val="ヘッダー (文字)"/>
    <w:basedOn w:val="a0"/>
    <w:link w:val="a4"/>
    <w:uiPriority w:val="99"/>
    <w:rsid w:val="00F57F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