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36E" w:rsidRDefault="00D605AA">
      <w:pPr>
        <w:pStyle w:val="ja"/>
      </w:pPr>
      <w:r>
        <w:t>不正競争防止法</w:t>
      </w:r>
    </w:p>
    <w:p w:rsidR="00EB036E" w:rsidRDefault="00EB036E"/>
    <w:p w:rsidR="00EB036E" w:rsidRDefault="00D605AA">
      <w:pPr>
        <w:pStyle w:val="jaf"/>
      </w:pPr>
      <w:r>
        <w:t>（平成五年五月十九日法律第四十七号）</w:t>
      </w:r>
    </w:p>
    <w:p w:rsidR="00EB036E" w:rsidRDefault="00EB036E"/>
    <w:p w:rsidR="00EB036E" w:rsidRDefault="00D605AA">
      <w:pPr>
        <w:pStyle w:val="jaf0"/>
      </w:pPr>
      <w:r>
        <w:t>目次</w:t>
      </w:r>
    </w:p>
    <w:p w:rsidR="00EB036E" w:rsidRDefault="00D605AA">
      <w:pPr>
        <w:pStyle w:val="ja5"/>
      </w:pPr>
      <w:r>
        <w:t>第一章　総則（第一条・第二条）</w:t>
      </w:r>
    </w:p>
    <w:p w:rsidR="00EB036E" w:rsidRDefault="00D605AA">
      <w:pPr>
        <w:pStyle w:val="ja5"/>
      </w:pPr>
      <w:r>
        <w:t>第二章　差止請求、損害賠償等（第三条</w:t>
      </w:r>
      <w:r>
        <w:t>―</w:t>
      </w:r>
      <w:r>
        <w:t>第十五条）</w:t>
      </w:r>
    </w:p>
    <w:p w:rsidR="00EB036E" w:rsidRDefault="00D605AA">
      <w:pPr>
        <w:pStyle w:val="ja5"/>
      </w:pPr>
      <w:r>
        <w:t>第三章　国際約束に基づく禁止行為（第十六条</w:t>
      </w:r>
      <w:r>
        <w:t>―</w:t>
      </w:r>
      <w:r>
        <w:t>第十八条）</w:t>
      </w:r>
    </w:p>
    <w:p w:rsidR="00EB036E" w:rsidRDefault="00D605AA">
      <w:pPr>
        <w:pStyle w:val="ja5"/>
      </w:pPr>
      <w:r>
        <w:t>第四章　雑則（第十九条・第二十条）</w:t>
      </w:r>
    </w:p>
    <w:p w:rsidR="00EB036E" w:rsidRDefault="00D605AA">
      <w:pPr>
        <w:pStyle w:val="ja5"/>
      </w:pPr>
      <w:r>
        <w:t>第五章　罰則（第二十一条・第二十二条）</w:t>
      </w:r>
    </w:p>
    <w:p w:rsidR="00EB036E" w:rsidRDefault="00D605AA">
      <w:pPr>
        <w:pStyle w:val="ja5"/>
      </w:pPr>
      <w:r>
        <w:t>第六章　刑事訴訟手続の特例（第二十三条</w:t>
      </w:r>
      <w:r>
        <w:t>―</w:t>
      </w:r>
      <w:r>
        <w:t>第三十一条）</w:t>
      </w:r>
    </w:p>
    <w:p w:rsidR="00EB036E" w:rsidRDefault="00D605AA">
      <w:pPr>
        <w:pStyle w:val="jac"/>
      </w:pPr>
      <w:r>
        <w:t>附則</w:t>
      </w:r>
    </w:p>
    <w:p w:rsidR="00EB036E" w:rsidRDefault="00EB036E"/>
    <w:p w:rsidR="00EB036E" w:rsidRDefault="00D605AA">
      <w:pPr>
        <w:pStyle w:val="ja3"/>
      </w:pPr>
      <w:r>
        <w:t>第一章　総則</w:t>
      </w:r>
    </w:p>
    <w:p w:rsidR="00EB036E" w:rsidRDefault="00EB036E"/>
    <w:p w:rsidR="00EB036E" w:rsidRDefault="00D605AA">
      <w:pPr>
        <w:pStyle w:val="jaa"/>
      </w:pPr>
      <w:r>
        <w:t>（目的）</w:t>
      </w:r>
    </w:p>
    <w:p w:rsidR="00EB036E" w:rsidRDefault="00D605AA">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EB036E" w:rsidRDefault="00EB036E"/>
    <w:p w:rsidR="00EB036E" w:rsidRDefault="00D605AA">
      <w:pPr>
        <w:pStyle w:val="jaa"/>
      </w:pPr>
      <w:r>
        <w:t>（定義）</w:t>
      </w:r>
    </w:p>
    <w:p w:rsidR="00EB036E" w:rsidRDefault="00D605AA">
      <w:pPr>
        <w:pStyle w:val="jaf3"/>
      </w:pPr>
      <w:r>
        <w:t>第二条　この法律において「不正競争」とは、次に掲げるものをいう。</w:t>
      </w:r>
    </w:p>
    <w:p w:rsidR="00EB036E" w:rsidRDefault="00D605AA">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w:t>
      </w:r>
      <w:r>
        <w:t>商品等表示を使用した商品を譲渡し、引き渡し、譲渡若しくは引渡しのために展示し、輸出し、輸入し、若しくは電気通信回線を通じて提供して、他人の商品又は営業と混同を生じさせる行為</w:t>
      </w:r>
    </w:p>
    <w:p w:rsidR="00EB036E" w:rsidRDefault="00D605AA">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rsidR="00EB036E" w:rsidRDefault="00D605AA">
      <w:pPr>
        <w:pStyle w:val="jaf6"/>
      </w:pPr>
      <w:r>
        <w:t>三　他人の商品の形態（当該商品の機能を確保するために不可欠な形態を除く。）を模倣した商品を譲渡し、貸し渡し、譲渡</w:t>
      </w:r>
      <w:r>
        <w:t>若しくは貸渡しのために展示し、輸出し、又は輸入する行為</w:t>
      </w:r>
    </w:p>
    <w:p w:rsidR="00EB036E" w:rsidRDefault="00D605AA">
      <w:pPr>
        <w:pStyle w:val="jaf6"/>
      </w:pPr>
      <w:r>
        <w:t>四　窃取、詐欺、強迫その他の不正の手段により営業秘密を取得する行為（以下「不正取得行為」という。）又は不正取得行為により取得した営業秘密を使用し、若しくは開示する行為（秘密を保持しつつ特定の者に示すことを含む。以下同じ。）</w:t>
      </w:r>
    </w:p>
    <w:p w:rsidR="00EB036E" w:rsidRDefault="00D605AA">
      <w:pPr>
        <w:pStyle w:val="jaf6"/>
      </w:pPr>
      <w:r>
        <w:t>五　その営業秘密について不正取得行為が介在したことを知って、若しくは重大な過失により知らないで営業秘密を取得し、又はその取得した営業秘密を使用し、若しくは開示する行為</w:t>
      </w:r>
    </w:p>
    <w:p w:rsidR="00EB036E" w:rsidRDefault="00D605AA">
      <w:pPr>
        <w:pStyle w:val="jaf6"/>
      </w:pPr>
      <w:r>
        <w:lastRenderedPageBreak/>
        <w:t>六　その取得した後にその営業秘密について不正取得行為が介在したこ</w:t>
      </w:r>
      <w:r>
        <w:t>とを知って、又は重大な過失により知らないでその取得した営業秘密を使用し、又は開示する行為</w:t>
      </w:r>
    </w:p>
    <w:p w:rsidR="00EB036E" w:rsidRDefault="00D605AA">
      <w:pPr>
        <w:pStyle w:val="jaf6"/>
      </w:pPr>
      <w:r>
        <w:t>七　営業秘密を保有する事業者（以下「保有者」という。）からその営業秘密を示された場合において、不正の利益を得る目的で、又はその保有者に損害を加える目的で、その営業秘密を使用し、又は開示する行為</w:t>
      </w:r>
    </w:p>
    <w:p w:rsidR="00EB036E" w:rsidRDefault="00D605AA">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で営業秘密を取得し、又はその取得した営業秘密を使用し、若しくは開示する行為</w:t>
      </w:r>
    </w:p>
    <w:p w:rsidR="00EB036E" w:rsidRDefault="00D605AA">
      <w:pPr>
        <w:pStyle w:val="jaf6"/>
      </w:pPr>
      <w:r>
        <w:t>九　その取得した後にその営業秘密について不正開示行為があったこと若しくはその営業秘密について不正開示行為が介在したことを知って、又は重大な</w:t>
      </w:r>
      <w:r>
        <w:t>過失により知らないでその取得した営業秘密を使用し、又は開示する行為</w:t>
      </w:r>
    </w:p>
    <w:p w:rsidR="00EB036E" w:rsidRDefault="00D605AA">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該装置を組み込んだ機器及び当該装置の部品</w:t>
      </w:r>
      <w:r>
        <w:t>一式であって容易に組み立てることができるものを含む。）若しくは当該機能を有するプログラム（当該プログラムが他のプログラムと組み合わされたものを含む。）を記録した記録媒体若しくは記憶した機器を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w:t>
      </w:r>
    </w:p>
    <w:p w:rsidR="00EB036E" w:rsidRDefault="00D605AA">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若しくは当該機能を有するプログラム（当該プ</w:t>
      </w:r>
      <w:r>
        <w:t>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w:t>
      </w:r>
    </w:p>
    <w:p w:rsidR="00EB036E" w:rsidRDefault="00D605AA">
      <w:pPr>
        <w:pStyle w:val="jaf6"/>
      </w:pPr>
      <w:r>
        <w:t>十二　不正の利益を得る目的で、又は他人に損害を加える目的で、他人の特定商品</w:t>
      </w:r>
      <w:r>
        <w:t>等</w:t>
      </w:r>
      <w:r>
        <w:lastRenderedPageBreak/>
        <w:t>表示（人の業務に係る氏名、商号、商標、標章その他の商品又は役務を表示するものをいう。）と同一若しくは類似のドメイン名を使用する権利を取得し、若しくは保有し、又はそのドメイン名を使用する行為</w:t>
      </w:r>
    </w:p>
    <w:p w:rsidR="00EB036E" w:rsidRDefault="00D605AA">
      <w:pPr>
        <w:pStyle w:val="jaf6"/>
      </w:pPr>
      <w:r>
        <w:t>十三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w:t>
      </w:r>
      <w:r>
        <w:t>線を通じて提供し、若しくはその表示をして役務を提供する行為</w:t>
      </w:r>
    </w:p>
    <w:p w:rsidR="00EB036E" w:rsidRDefault="00D605AA">
      <w:pPr>
        <w:pStyle w:val="jaf6"/>
      </w:pPr>
      <w:r>
        <w:t>十四　競争関係にある他人の営業上の信用を害する虚偽の事実を告知し、又は流布する行為</w:t>
      </w:r>
    </w:p>
    <w:p w:rsidR="00EB036E" w:rsidRDefault="00D605AA">
      <w:pPr>
        <w:pStyle w:val="jaf6"/>
      </w:pPr>
      <w:r>
        <w:t>十五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w:t>
      </w:r>
      <w:r>
        <w:t>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EB036E" w:rsidRDefault="00D605AA">
      <w:pPr>
        <w:pStyle w:val="jaf4"/>
      </w:pPr>
      <w:r>
        <w:t>２　この法律において「商標」とは、商標法第二条第一項に規定する商標をいう。</w:t>
      </w:r>
    </w:p>
    <w:p w:rsidR="00EB036E" w:rsidRDefault="00D605AA">
      <w:pPr>
        <w:pStyle w:val="jaf4"/>
      </w:pPr>
      <w:r>
        <w:t>３　この法律において「標章」とは、</w:t>
      </w:r>
      <w:r>
        <w:t>商標法第二条第一項に規定する標章をいう。</w:t>
      </w:r>
    </w:p>
    <w:p w:rsidR="00EB036E" w:rsidRDefault="00D605AA">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EB036E" w:rsidRDefault="00D605AA">
      <w:pPr>
        <w:pStyle w:val="jaf4"/>
      </w:pPr>
      <w:r>
        <w:t>５　この法律において「模倣する」とは、他人の商品の形態に依拠して、これと実質的に同一の形態の商品を作り出すことをいう。</w:t>
      </w:r>
    </w:p>
    <w:p w:rsidR="00EB036E" w:rsidRDefault="00D605AA">
      <w:pPr>
        <w:pStyle w:val="jaf4"/>
      </w:pPr>
      <w:r>
        <w:t>６　この法律において「営業秘密」とは、秘密として管理されている生産方法、販売方法その他の事業活動に有用な技術上又は営業上の情報であって、公然と知られていないも</w:t>
      </w:r>
      <w:r>
        <w:t>のをいう。</w:t>
      </w:r>
    </w:p>
    <w:p w:rsidR="00EB036E" w:rsidRDefault="00D605AA">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ために用いられる機器をいう。以下同じ。）が特定の反応をする信号を影像、音若しくはプログラムとともに記録媒体に記録し、若しくは送信する方式又は視聴等機器が特定の</w:t>
      </w:r>
      <w:r>
        <w:t>変換を必要とするよう影像、音若しくはプログラムを変換して記録媒体に記録し、若しくは送信する方式によるものをいう。</w:t>
      </w:r>
    </w:p>
    <w:p w:rsidR="00EB036E" w:rsidRDefault="00D605AA">
      <w:pPr>
        <w:pStyle w:val="jaf4"/>
      </w:pPr>
      <w:r>
        <w:t>８　この法律において「プログラム」とは、電子計算機に対する指令であって、一の結果を得ることができるように組み合わされたものをいう。</w:t>
      </w:r>
    </w:p>
    <w:p w:rsidR="00EB036E" w:rsidRDefault="00D605AA">
      <w:pPr>
        <w:pStyle w:val="jaf4"/>
      </w:pPr>
      <w:r>
        <w:t>９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EB036E" w:rsidRDefault="00D605AA">
      <w:pPr>
        <w:pStyle w:val="jaf4"/>
      </w:pPr>
      <w:r>
        <w:t>１０　この法律にいう「物」には、プログラムを含むものとする。</w:t>
      </w:r>
    </w:p>
    <w:p w:rsidR="00EB036E" w:rsidRDefault="00EB036E"/>
    <w:p w:rsidR="00EB036E" w:rsidRDefault="00D605AA">
      <w:pPr>
        <w:pStyle w:val="ja3"/>
      </w:pPr>
      <w:r>
        <w:t>第</w:t>
      </w:r>
      <w:r>
        <w:t>二章　差止請求、損害賠償等</w:t>
      </w:r>
    </w:p>
    <w:p w:rsidR="00EB036E" w:rsidRDefault="00EB036E"/>
    <w:p w:rsidR="00EB036E" w:rsidRDefault="00D605AA">
      <w:pPr>
        <w:pStyle w:val="jaa"/>
      </w:pPr>
      <w:r>
        <w:t>（差止請求権）</w:t>
      </w:r>
    </w:p>
    <w:p w:rsidR="00EB036E" w:rsidRDefault="00D605AA">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EB036E" w:rsidRDefault="00D605AA">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行為に供した設備の除却その他の侵害の停止又は予防に必要な行為を請求す</w:t>
      </w:r>
      <w:r>
        <w:t>ることができる。</w:t>
      </w:r>
    </w:p>
    <w:p w:rsidR="00EB036E" w:rsidRDefault="00EB036E"/>
    <w:p w:rsidR="00EB036E" w:rsidRDefault="00D605AA">
      <w:pPr>
        <w:pStyle w:val="jaa"/>
      </w:pPr>
      <w:r>
        <w:t>（損害賠償）</w:t>
      </w:r>
    </w:p>
    <w:p w:rsidR="00EB036E" w:rsidRDefault="00D605AA">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EB036E" w:rsidRDefault="00EB036E"/>
    <w:p w:rsidR="00EB036E" w:rsidRDefault="00D605AA">
      <w:pPr>
        <w:pStyle w:val="jaa"/>
      </w:pPr>
      <w:r>
        <w:t>（損害の額の推定等）</w:t>
      </w:r>
    </w:p>
    <w:p w:rsidR="00EB036E" w:rsidRDefault="00D605AA">
      <w:pPr>
        <w:pStyle w:val="jaf3"/>
      </w:pPr>
      <w:r>
        <w:t>第五条　第二条第一項第一号から第九号まで又は第十五号に掲げる不正競争（同項第四号から第九号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w:t>
      </w:r>
      <w:r>
        <w:t>譲渡した物の数量（以下この項において「譲渡数量」という。）に、被侵害者が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EB036E" w:rsidRDefault="00D605AA">
      <w:pPr>
        <w:pStyle w:val="jaf4"/>
      </w:pPr>
      <w:r>
        <w:t>２　不正競争によって営業上の利益を侵害された者が故意又は過失により</w:t>
      </w:r>
      <w:r>
        <w:t>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EB036E" w:rsidRDefault="00D605AA">
      <w:pPr>
        <w:pStyle w:val="jaf4"/>
      </w:pPr>
      <w:r>
        <w:t>３　第二条第一項第一号から第九号まで、第十二号又は第十五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w:t>
      </w:r>
      <w:r>
        <w:t>の額としてその賠償を請求することができる。</w:t>
      </w:r>
    </w:p>
    <w:p w:rsidR="00EB036E" w:rsidRDefault="00D605AA">
      <w:pPr>
        <w:pStyle w:val="jaf6"/>
      </w:pPr>
      <w:r>
        <w:t>一　第二条第一項第一号又は第二号に掲げる不正競争</w:t>
      </w:r>
    </w:p>
    <w:p w:rsidR="00EB036E" w:rsidRDefault="00D605AA">
      <w:pPr>
        <w:pStyle w:val="jaf6"/>
      </w:pPr>
      <w:r>
        <w:t>二　第二条第一項第三号に掲げる不正競争</w:t>
      </w:r>
    </w:p>
    <w:p w:rsidR="00EB036E" w:rsidRDefault="00D605AA">
      <w:pPr>
        <w:pStyle w:val="jaf6"/>
      </w:pPr>
      <w:r>
        <w:t>三　第二条第一項第四号から第九号までに掲げる不正競争</w:t>
      </w:r>
    </w:p>
    <w:p w:rsidR="00EB036E" w:rsidRDefault="00D605AA">
      <w:pPr>
        <w:pStyle w:val="jaf6"/>
      </w:pPr>
      <w:r>
        <w:t>四　第二条第一項第十二号に掲げる不正競争</w:t>
      </w:r>
    </w:p>
    <w:p w:rsidR="00EB036E" w:rsidRDefault="00D605AA">
      <w:pPr>
        <w:pStyle w:val="jaf6"/>
      </w:pPr>
      <w:r>
        <w:t>五　第二条第一項第十五号に掲げる不正競争</w:t>
      </w:r>
    </w:p>
    <w:p w:rsidR="00EB036E" w:rsidRDefault="00D605AA">
      <w:pPr>
        <w:pStyle w:val="jaf4"/>
      </w:pPr>
      <w:r>
        <w:t>４　前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EB036E" w:rsidRDefault="00EB036E"/>
    <w:p w:rsidR="00EB036E" w:rsidRDefault="00D605AA">
      <w:pPr>
        <w:pStyle w:val="jaa"/>
      </w:pPr>
      <w:r>
        <w:t>（具体的態様の明示義務）</w:t>
      </w:r>
    </w:p>
    <w:p w:rsidR="00EB036E" w:rsidRDefault="00D605AA">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w:t>
      </w:r>
      <w:r>
        <w:t>かにしなければならない。ただし、相手方において明らかにすることができない相当の理由があるときは、この限りでない。</w:t>
      </w:r>
    </w:p>
    <w:p w:rsidR="00EB036E" w:rsidRDefault="00EB036E"/>
    <w:p w:rsidR="00EB036E" w:rsidRDefault="00D605AA">
      <w:pPr>
        <w:pStyle w:val="jaa"/>
      </w:pPr>
      <w:r>
        <w:t>（書類の提出等）</w:t>
      </w:r>
    </w:p>
    <w:p w:rsidR="00EB036E" w:rsidRDefault="00D605AA">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EB036E" w:rsidRDefault="00D605AA">
      <w:pPr>
        <w:pStyle w:val="jaf4"/>
      </w:pPr>
      <w:r>
        <w:t>２　裁判所は、前項ただし書に規定する正当な理由があるか</w:t>
      </w:r>
      <w:r>
        <w:t>どうかの判断をするため必要があると認めるときは、書類の所持者にその提示をさせることができる。この場合においては、何人も、その提示された書類の開示を求めることができない。</w:t>
      </w:r>
    </w:p>
    <w:p w:rsidR="00EB036E" w:rsidRDefault="00D605AA">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w:t>
      </w:r>
      <w:r>
        <w:t>書類を開示することができる。</w:t>
      </w:r>
    </w:p>
    <w:p w:rsidR="00EB036E" w:rsidRDefault="00D605AA">
      <w:pPr>
        <w:pStyle w:val="jaf4"/>
      </w:pPr>
      <w:r>
        <w:t>４　前三項の規定は、不正競争による営業上の利益の侵害に係る訴訟における当該侵害行為について立証するため必要な検証の目的の提示について準用する。</w:t>
      </w:r>
    </w:p>
    <w:p w:rsidR="00EB036E" w:rsidRDefault="00EB036E"/>
    <w:p w:rsidR="00EB036E" w:rsidRDefault="00D605AA">
      <w:pPr>
        <w:pStyle w:val="jaa"/>
      </w:pPr>
      <w:r>
        <w:t>（損害計算のための鑑定）</w:t>
      </w:r>
    </w:p>
    <w:p w:rsidR="00EB036E" w:rsidRDefault="00D605AA">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EB036E" w:rsidRDefault="00EB036E"/>
    <w:p w:rsidR="00EB036E" w:rsidRDefault="00D605AA">
      <w:pPr>
        <w:pStyle w:val="jaa"/>
      </w:pPr>
      <w:r>
        <w:t>（相当な損害額の認定）</w:t>
      </w:r>
    </w:p>
    <w:p w:rsidR="00EB036E" w:rsidRDefault="00D605AA">
      <w:pPr>
        <w:pStyle w:val="jaf3"/>
      </w:pPr>
      <w:r>
        <w:t>第九条　不正競争による営業上の</w:t>
      </w:r>
      <w:r>
        <w:t>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EB036E" w:rsidRDefault="00EB036E"/>
    <w:p w:rsidR="00EB036E" w:rsidRDefault="00D605AA">
      <w:pPr>
        <w:pStyle w:val="jaa"/>
      </w:pPr>
      <w:r>
        <w:t>（秘密保持命令）</w:t>
      </w:r>
    </w:p>
    <w:p w:rsidR="00EB036E" w:rsidRDefault="00D605AA">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w:t>
      </w:r>
      <w:r>
        <w:t>、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EB036E" w:rsidRDefault="00D605AA">
      <w:pPr>
        <w:pStyle w:val="jaf6"/>
      </w:pPr>
      <w:r>
        <w:t>一　既に提出され若しくは提出されるべき準備書面に当事者の保有する営業秘密が記載され、又は既に取り調べられ若しくは取り調べられるべき証拠（第</w:t>
      </w:r>
      <w:r>
        <w:t>七条第三項の規定により開示された書類又は第十三条第四項の規定により開示された書面を含む。）の内容に当事者の保有する営業秘密が含まれること。</w:t>
      </w:r>
    </w:p>
    <w:p w:rsidR="00EB036E" w:rsidRDefault="00D605AA">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EB036E" w:rsidRDefault="00D605AA">
      <w:pPr>
        <w:pStyle w:val="jaf4"/>
      </w:pPr>
      <w:r>
        <w:t>２　前項の規定による命令（以下「秘密保持命令」という。）の申立ては、次に掲げる事項を記載した書面でしなければならない。</w:t>
      </w:r>
    </w:p>
    <w:p w:rsidR="00EB036E" w:rsidRDefault="00D605AA">
      <w:pPr>
        <w:pStyle w:val="jaf6"/>
      </w:pPr>
      <w:r>
        <w:t>一　秘密保持命令を受けるべき者</w:t>
      </w:r>
    </w:p>
    <w:p w:rsidR="00EB036E" w:rsidRDefault="00D605AA">
      <w:pPr>
        <w:pStyle w:val="jaf6"/>
      </w:pPr>
      <w:r>
        <w:t>二　秘密保持命令の対象となるべき営業秘密を特定するに足りる事実</w:t>
      </w:r>
    </w:p>
    <w:p w:rsidR="00EB036E" w:rsidRDefault="00D605AA">
      <w:pPr>
        <w:pStyle w:val="jaf6"/>
      </w:pPr>
      <w:r>
        <w:t>三　前項各号に掲げる事由に該当する事実</w:t>
      </w:r>
    </w:p>
    <w:p w:rsidR="00EB036E" w:rsidRDefault="00D605AA">
      <w:pPr>
        <w:pStyle w:val="jaf4"/>
      </w:pPr>
      <w:r>
        <w:t>３　秘密保持命令が</w:t>
      </w:r>
      <w:r>
        <w:t>発せられた場合には、その決定書を秘密保持命令を受けた者に送達しなければならない。</w:t>
      </w:r>
    </w:p>
    <w:p w:rsidR="00EB036E" w:rsidRDefault="00D605AA">
      <w:pPr>
        <w:pStyle w:val="jaf4"/>
      </w:pPr>
      <w:r>
        <w:t>４　秘密保持命令は、秘密保持命令を受けた者に対する決定書の送達がされた時から、効力を生ずる。</w:t>
      </w:r>
    </w:p>
    <w:p w:rsidR="00EB036E" w:rsidRDefault="00D605AA">
      <w:pPr>
        <w:pStyle w:val="jaf4"/>
      </w:pPr>
      <w:r>
        <w:t>５　秘密保持命令の申立てを却下した裁判に対しては、即時抗告をすることができる。</w:t>
      </w:r>
    </w:p>
    <w:p w:rsidR="00EB036E" w:rsidRDefault="00EB036E"/>
    <w:p w:rsidR="00EB036E" w:rsidRDefault="00D605AA">
      <w:pPr>
        <w:pStyle w:val="jaa"/>
      </w:pPr>
      <w:r>
        <w:t>（秘密保持命令の取消し）</w:t>
      </w:r>
    </w:p>
    <w:p w:rsidR="00EB036E" w:rsidRDefault="00D605AA">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w:t>
      </w:r>
      <w:r>
        <w:t>ことを理由として、秘密保持命令の取消しの申立てをすることができる。</w:t>
      </w:r>
    </w:p>
    <w:p w:rsidR="00EB036E" w:rsidRDefault="00D605AA">
      <w:pPr>
        <w:pStyle w:val="jaf4"/>
      </w:pPr>
      <w:r>
        <w:t>２　秘密保持命令の取消しの申立てについての裁判があった場合には、その決定書をその申立てをした者及び相手方に送達しなければならない。</w:t>
      </w:r>
    </w:p>
    <w:p w:rsidR="00EB036E" w:rsidRDefault="00D605AA">
      <w:pPr>
        <w:pStyle w:val="jaf4"/>
      </w:pPr>
      <w:r>
        <w:t>３　秘密保持命令の取消しの申立てについての裁判に対しては、即時抗告をすることができる。</w:t>
      </w:r>
    </w:p>
    <w:p w:rsidR="00EB036E" w:rsidRDefault="00D605AA">
      <w:pPr>
        <w:pStyle w:val="jaf4"/>
      </w:pPr>
      <w:r>
        <w:t>４　秘密保持命令を取り消す裁判は、確定しなければその効力を生じない。</w:t>
      </w:r>
    </w:p>
    <w:p w:rsidR="00EB036E" w:rsidRDefault="00D605AA">
      <w:pPr>
        <w:pStyle w:val="jaf4"/>
      </w:pPr>
      <w:r>
        <w:t>５　裁判所は、秘密保持命令を取り消す裁判をした場合において、秘密保持命令の取消しの申立てをした者又は相手方以外に当該秘密保持命令が発せられた訴訟において当</w:t>
      </w:r>
      <w:r>
        <w:t>該営業秘密に係る秘密保持命令を受けている者があるときは、その者に対し、直ちに、秘密保持命令を取り消す裁判をした旨を通知しなければならない。</w:t>
      </w:r>
    </w:p>
    <w:p w:rsidR="00EB036E" w:rsidRDefault="00EB036E"/>
    <w:p w:rsidR="00EB036E" w:rsidRDefault="00D605AA">
      <w:pPr>
        <w:pStyle w:val="jaa"/>
      </w:pPr>
      <w:r>
        <w:t>（訴訟記録の閲覧等の請求の通知等）</w:t>
      </w:r>
    </w:p>
    <w:p w:rsidR="00EB036E" w:rsidRDefault="00D605AA">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おいて、当事者から同項に規定する秘密記載部分の閲覧等の請求があり、かつ、その請求の手続を行った者が当該訴訟において秘密保持命令を受けていない者であるときは</w:t>
      </w:r>
      <w:r>
        <w:t>、裁判所書記官は、同項の申立てをした当事者（その請求をした者を除く。第三項において同じ。）に対し、その請求後直ちに、その請求があった旨を通知しなければならない。</w:t>
      </w:r>
    </w:p>
    <w:p w:rsidR="00EB036E" w:rsidRDefault="00D605AA">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EB036E" w:rsidRDefault="00D605AA">
      <w:pPr>
        <w:pStyle w:val="jaf4"/>
      </w:pPr>
      <w:r>
        <w:t>３　前二項の規定は、第一項の請求をした者に同項の秘</w:t>
      </w:r>
      <w:r>
        <w:t>密記載部分の閲覧等をさせることについて民事訴訟法第九十二条第一項の申立てをした当事者のすべての同意があるときは、適用しない。</w:t>
      </w:r>
    </w:p>
    <w:p w:rsidR="00EB036E" w:rsidRDefault="00EB036E"/>
    <w:p w:rsidR="00EB036E" w:rsidRDefault="00D605AA">
      <w:pPr>
        <w:pStyle w:val="jaa"/>
      </w:pPr>
      <w:r>
        <w:t>（当事者尋問等の公開停止）</w:t>
      </w:r>
    </w:p>
    <w:p w:rsidR="00EB036E" w:rsidRDefault="00D605AA">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w:t>
      </w:r>
      <w:r>
        <w:t>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EB036E" w:rsidRDefault="00D605AA">
      <w:pPr>
        <w:pStyle w:val="jaf4"/>
      </w:pPr>
      <w:r>
        <w:t>２　裁判所は、前項の決定をするに当たっては、あらかじめ、当事者等の意見を聴かなければならない。</w:t>
      </w:r>
    </w:p>
    <w:p w:rsidR="00EB036E" w:rsidRDefault="00D605AA">
      <w:pPr>
        <w:pStyle w:val="jaf4"/>
      </w:pPr>
      <w:r>
        <w:t>３　裁判所は、前項の場合において、必要があると認めるときは、当事者等にその陳</w:t>
      </w:r>
      <w:r>
        <w:t>述すべき事項の要領を記載した書面の提示をさせることができる。この場合においては、何人も、その提示された書面の開示を求めることができない。</w:t>
      </w:r>
    </w:p>
    <w:p w:rsidR="00EB036E" w:rsidRDefault="00D605AA">
      <w:pPr>
        <w:pStyle w:val="jaf4"/>
      </w:pPr>
      <w:r>
        <w:t>４　裁判所は、前項後段の書面を開示してその意見を聴くことが必要であると認めるときは、当事者等、訴訟代理人又は補佐人に対し、当該書面を開示することができる。</w:t>
      </w:r>
    </w:p>
    <w:p w:rsidR="00EB036E" w:rsidRDefault="00D605AA">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EB036E" w:rsidRDefault="00EB036E"/>
    <w:p w:rsidR="00EB036E" w:rsidRDefault="00D605AA">
      <w:pPr>
        <w:pStyle w:val="jaa"/>
      </w:pPr>
      <w:r>
        <w:t>（信用回復の措置）</w:t>
      </w:r>
    </w:p>
    <w:p w:rsidR="00EB036E" w:rsidRDefault="00D605AA">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EB036E" w:rsidRDefault="00EB036E"/>
    <w:p w:rsidR="00EB036E" w:rsidRDefault="00D605AA">
      <w:pPr>
        <w:pStyle w:val="jaa"/>
      </w:pPr>
      <w:r>
        <w:t>（消滅時効）</w:t>
      </w:r>
    </w:p>
    <w:p w:rsidR="00EB036E" w:rsidRDefault="00D605AA">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w:t>
      </w:r>
      <w:r>
        <w:t>益を侵害され、又は侵害されるおそれがある保有者がその事実及びその行為を行う者を知った時から三年間行わないときは、時効によって消滅する。その行為の開始の時から十年を経過したときも、同様とする。</w:t>
      </w:r>
    </w:p>
    <w:p w:rsidR="00EB036E" w:rsidRDefault="00EB036E"/>
    <w:p w:rsidR="00EB036E" w:rsidRDefault="00D605AA">
      <w:pPr>
        <w:pStyle w:val="ja3"/>
      </w:pPr>
      <w:r>
        <w:t>第三章　国際約束に基づく禁止行為</w:t>
      </w:r>
    </w:p>
    <w:p w:rsidR="00EB036E" w:rsidRDefault="00EB036E"/>
    <w:p w:rsidR="00EB036E" w:rsidRDefault="00D605AA">
      <w:pPr>
        <w:pStyle w:val="jaa"/>
      </w:pPr>
      <w:r>
        <w:t>（外国の国旗等の商業上の使用禁止）</w:t>
      </w:r>
    </w:p>
    <w:p w:rsidR="00EB036E" w:rsidRDefault="00D605AA">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w:t>
      </w:r>
      <w:r>
        <w:t>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EB036E" w:rsidRDefault="00D605AA">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EB036E" w:rsidRDefault="00D605AA">
      <w:pPr>
        <w:pStyle w:val="jaf4"/>
      </w:pPr>
      <w:r>
        <w:t>３　何人も、外国の政府若しくは地方公共団体の監督用若しくは証明用の印章若し</w:t>
      </w:r>
      <w:r>
        <w:t>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w:t>
      </w:r>
      <w:r>
        <w:t>可を行う権限を有する外国の官庁の許可を受けたときは、この限りでない。</w:t>
      </w:r>
    </w:p>
    <w:p w:rsidR="00EB036E" w:rsidRDefault="00EB036E"/>
    <w:p w:rsidR="00EB036E" w:rsidRDefault="00D605AA">
      <w:pPr>
        <w:pStyle w:val="jaa"/>
      </w:pPr>
      <w:r>
        <w:t>（国際機関の標章の商業上の使用禁止）</w:t>
      </w:r>
    </w:p>
    <w:p w:rsidR="00EB036E" w:rsidRDefault="00D605AA">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w:t>
      </w:r>
      <w:r>
        <w:t>し、輸出し、輸入し、若しくは電気通信回線を通じて提供し、若しくは国際機関類似標章を商標として使用して役務を提供してはならない。ただし、この国際機関の許可を受けたときは、この限りでない。</w:t>
      </w:r>
    </w:p>
    <w:p w:rsidR="00EB036E" w:rsidRDefault="00EB036E"/>
    <w:p w:rsidR="00EB036E" w:rsidRDefault="00D605AA">
      <w:pPr>
        <w:pStyle w:val="jaa"/>
      </w:pPr>
      <w:r>
        <w:t>（外国公務員等に対する不正の利益の供与等の禁止）</w:t>
      </w:r>
    </w:p>
    <w:p w:rsidR="00EB036E" w:rsidRDefault="00D605AA">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w:t>
      </w:r>
      <w:r>
        <w:t>として、金銭その他の利益を供与し、又はその申込み若しくは約束をしてはならない。</w:t>
      </w:r>
    </w:p>
    <w:p w:rsidR="00EB036E" w:rsidRDefault="00D605AA">
      <w:pPr>
        <w:pStyle w:val="jaf4"/>
      </w:pPr>
      <w:r>
        <w:t>２　前項において「外国公務員等」とは、次に掲げる者をいう。</w:t>
      </w:r>
    </w:p>
    <w:p w:rsidR="00EB036E" w:rsidRDefault="00D605AA">
      <w:pPr>
        <w:pStyle w:val="jaf6"/>
      </w:pPr>
      <w:r>
        <w:t>一　外国の政府又は地方公共団体の公務に従事する者</w:t>
      </w:r>
    </w:p>
    <w:p w:rsidR="00EB036E" w:rsidRDefault="00D605AA">
      <w:pPr>
        <w:pStyle w:val="jaf6"/>
      </w:pPr>
      <w:r>
        <w:t>二　公共の利益に関する特定の事務を行うために外国の特別の法令により設立されたものの事務に従事する者</w:t>
      </w:r>
    </w:p>
    <w:p w:rsidR="00EB036E" w:rsidRDefault="00D605AA">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w:t>
      </w:r>
      <w:r>
        <w:t>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EB036E" w:rsidRDefault="00D605AA">
      <w:pPr>
        <w:pStyle w:val="jaf6"/>
      </w:pPr>
      <w:r>
        <w:t>四　国際機関（政府又は政府間の国際機関によって構成される国際機関をいう。次号において同じ。）の公務に従事する者</w:t>
      </w:r>
    </w:p>
    <w:p w:rsidR="00EB036E" w:rsidRDefault="00D605AA">
      <w:pPr>
        <w:pStyle w:val="jaf6"/>
      </w:pPr>
      <w:r>
        <w:t>五　外国の政府若しくは地方公共団体又は国際機関の権限に属する事務であって、これらの機関から委任されたものに従事する者</w:t>
      </w:r>
    </w:p>
    <w:p w:rsidR="00EB036E" w:rsidRDefault="00EB036E"/>
    <w:p w:rsidR="00EB036E" w:rsidRDefault="00D605AA">
      <w:pPr>
        <w:pStyle w:val="ja3"/>
      </w:pPr>
      <w:r>
        <w:t>第四章　雑則</w:t>
      </w:r>
    </w:p>
    <w:p w:rsidR="00EB036E" w:rsidRDefault="00EB036E"/>
    <w:p w:rsidR="00EB036E" w:rsidRDefault="00D605AA">
      <w:pPr>
        <w:pStyle w:val="jaa"/>
      </w:pPr>
      <w:r>
        <w:t>（適用除外等）</w:t>
      </w:r>
    </w:p>
    <w:p w:rsidR="00EB036E" w:rsidRDefault="00D605AA">
      <w:pPr>
        <w:pStyle w:val="jaf3"/>
      </w:pPr>
      <w:r>
        <w:t>第十九条　第三条から第十五条まで、第二十一条（第二項第七号に係る部分を除く。）及び第二十二条の規定は、次の各号に掲げる不正競争の区分に応じて当該各号に定める行為については、適用しない。</w:t>
      </w:r>
    </w:p>
    <w:p w:rsidR="00EB036E" w:rsidRDefault="00D605AA">
      <w:pPr>
        <w:pStyle w:val="jaf6"/>
      </w:pPr>
      <w:r>
        <w:t>一　第二条第一項第一号、第二号、第十三号及び第十五号に掲げる不正競争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w:t>
      </w:r>
      <w:r>
        <w:t>行為（同項第十三号及び第十五号に掲げる不正競争の場合にあっては、普通名称等を普通に用いられる方法で表示をし、又は使用して役務を提供する行為を含む。）</w:t>
      </w:r>
    </w:p>
    <w:p w:rsidR="00EB036E" w:rsidRDefault="00D605AA">
      <w:pPr>
        <w:pStyle w:val="jaf6"/>
      </w:pPr>
      <w:r>
        <w:t>二　第二条第一項第一号、第二号及び第十五号に掲げる不正競争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w:t>
      </w:r>
      <w:r>
        <w:t>にあっては、自己の氏名を不正の目的でなく使用して役務を提供する行為を含む。）</w:t>
      </w:r>
    </w:p>
    <w:p w:rsidR="00EB036E" w:rsidRDefault="00D605AA">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EB036E" w:rsidRDefault="00D605AA">
      <w:pPr>
        <w:pStyle w:val="jaf6"/>
      </w:pPr>
      <w:r>
        <w:t>四　第二条第一項第二号に掲げる不正競争</w:t>
      </w:r>
    </w:p>
    <w:p w:rsidR="00EB036E" w:rsidRDefault="00D605AA">
      <w:pPr>
        <w:pStyle w:val="jaf6"/>
      </w:pPr>
      <w:r>
        <w:t>五　第</w:t>
      </w:r>
      <w:r>
        <w:t>二条第一項第三号に掲げる不正競争</w:t>
      </w:r>
    </w:p>
    <w:p w:rsidR="00EB036E" w:rsidRDefault="00D605AA">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EB036E" w:rsidRDefault="00D605AA">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EB036E" w:rsidRDefault="00D605AA">
      <w:pPr>
        <w:pStyle w:val="jaf6"/>
      </w:pPr>
      <w:r>
        <w:t>六　第二条第一項第四号</w:t>
      </w:r>
      <w:r>
        <w:t>から第九号までに掲げる不正競争</w:t>
      </w:r>
    </w:p>
    <w:p w:rsidR="00EB036E" w:rsidRDefault="00D605AA">
      <w:pPr>
        <w:pStyle w:val="jaf6"/>
      </w:pPr>
      <w:r>
        <w:t>七　第二条第一項第十号及び第十一号に掲げる不正競争</w:t>
      </w:r>
    </w:p>
    <w:p w:rsidR="00EB036E" w:rsidRDefault="00D605AA">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EB036E" w:rsidRDefault="00D605AA">
      <w:pPr>
        <w:pStyle w:val="jaf6"/>
      </w:pPr>
      <w:r>
        <w:t>一　前項第二号に掲げる行為　自己の氏名を使用する者（自己の氏名を使用した商品を自ら譲渡し、引き渡し、譲渡若しくは引渡しのために展示し、輸出し、輸入し、又は電気通信回線を通じて提供する</w:t>
      </w:r>
      <w:r>
        <w:t>者を含む。）</w:t>
      </w:r>
    </w:p>
    <w:p w:rsidR="00EB036E" w:rsidRDefault="00D605AA">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EB036E" w:rsidRDefault="00EB036E"/>
    <w:p w:rsidR="00EB036E" w:rsidRDefault="00D605AA">
      <w:pPr>
        <w:pStyle w:val="jaa"/>
      </w:pPr>
      <w:r>
        <w:t>（経過措置）</w:t>
      </w:r>
    </w:p>
    <w:p w:rsidR="00EB036E" w:rsidRDefault="00D605AA">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w:t>
      </w:r>
      <w:r>
        <w:t>過措置を含む。）を定めることができる。</w:t>
      </w:r>
    </w:p>
    <w:p w:rsidR="00EB036E" w:rsidRDefault="00EB036E"/>
    <w:p w:rsidR="00EB036E" w:rsidRDefault="00D605AA">
      <w:pPr>
        <w:pStyle w:val="ja3"/>
      </w:pPr>
      <w:r>
        <w:t>第五章　罰則</w:t>
      </w:r>
    </w:p>
    <w:p w:rsidR="00EB036E" w:rsidRDefault="00EB036E"/>
    <w:p w:rsidR="00EB036E" w:rsidRDefault="00D605AA">
      <w:pPr>
        <w:pStyle w:val="jaa"/>
      </w:pPr>
      <w:r>
        <w:t>（罰則）</w:t>
      </w:r>
    </w:p>
    <w:p w:rsidR="00EB036E" w:rsidRDefault="00D605AA">
      <w:pPr>
        <w:pStyle w:val="jaf3"/>
      </w:pPr>
      <w:r>
        <w:t>第二十一条　次の各号のいずれかに該当する者は、十年以下の懲役若しくは千万円以下の罰金に処し、又はこれを併科する。</w:t>
      </w:r>
    </w:p>
    <w:p w:rsidR="00EB036E" w:rsidRDefault="00D605AA">
      <w:pPr>
        <w:pStyle w:val="jaf6"/>
      </w:pPr>
      <w:r>
        <w:t>一　不正の利益を得る目的で、又はその保有者に損害を加える目的で、詐欺等行為（人を欺き、人に暴行を加え、又は人を脅迫する行為をいう。以下この条において同じ。）又は管理侵害行為（財物の窃取、施設への侵入、不正アクセス行為（不正アクセス行為の禁止等に関する法律（平成十一年法律第百二十八号）第三条に規定する不正アクセス行為をいう。）その</w:t>
      </w:r>
      <w:r>
        <w:t>他の保有者の管理を害する行為をいう。以下この条において同じ。）により、営業秘密を取得した者</w:t>
      </w:r>
    </w:p>
    <w:p w:rsidR="00EB036E" w:rsidRDefault="00D605AA">
      <w:pPr>
        <w:pStyle w:val="jaf6"/>
      </w:pPr>
      <w:r>
        <w:t>二　詐欺等行為又は管理侵害行為により取得した営業秘密を、不正の利益を得る目的で、又はその保有者に損害を加える目的で、使用し、又は開示した者</w:t>
      </w:r>
    </w:p>
    <w:p w:rsidR="00EB036E" w:rsidRDefault="00D605AA">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EB036E" w:rsidRDefault="00D605AA">
      <w:pPr>
        <w:pStyle w:val="jaf9"/>
      </w:pPr>
      <w:r>
        <w:t>イ　営業秘密記録媒体等（営業秘密が記載され、又は記録された文書、図画又は記録媒体をいう。</w:t>
      </w:r>
      <w:r>
        <w:t>以下この号において同じ。）又は営業秘密が化体された物件を横領すること。</w:t>
      </w:r>
    </w:p>
    <w:p w:rsidR="00EB036E" w:rsidRDefault="00D605AA">
      <w:pPr>
        <w:pStyle w:val="jaf9"/>
      </w:pPr>
      <w:r>
        <w:t>ロ　営業秘密記録媒体等の記載若しくは記録について、又は営業秘密が化体された物件について、その複製を作成すること。</w:t>
      </w:r>
    </w:p>
    <w:p w:rsidR="00EB036E" w:rsidRDefault="00D605AA">
      <w:pPr>
        <w:pStyle w:val="jaf9"/>
      </w:pPr>
      <w:r>
        <w:t>ハ　営業秘密記録媒体等の記載又は記録であって、消去すべきものを消去せず、かつ、当該記載又は記録を消去したように仮装すること。</w:t>
      </w:r>
    </w:p>
    <w:p w:rsidR="00EB036E" w:rsidRDefault="00D605AA">
      <w:pPr>
        <w:pStyle w:val="jaf6"/>
      </w:pPr>
      <w:r>
        <w:t>四　営業秘密を保有者から示された者であって、その営業秘密の管理に係る任務に背いて前号イからハまでに掲げる方法により領得した営業秘密を、不正の利益を得る目的で、又はその保有者に損害を加える目的で、その営</w:t>
      </w:r>
      <w:r>
        <w:t>業秘密の管理に係る任務に背き、使用し、又は開示した者</w:t>
      </w:r>
    </w:p>
    <w:p w:rsidR="00EB036E" w:rsidRDefault="00D605AA">
      <w:pPr>
        <w:pStyle w:val="jaf6"/>
      </w:pPr>
      <w:r>
        <w:t>五　営業秘密を保有者から示されたその役員（理事、取締役、執行役、業務を執行する社員、監事若しくは監査役又はこれらに準ずる者をいう。次号において同じ。）又は従業者であって、不正の利益を得る目的で、又はその保有者に損害を加える目的で、その営業秘密の管理に係る任務に背き、その営業秘密を使用し、又は開示した者（前号に掲げる者を除く。）</w:t>
      </w:r>
    </w:p>
    <w:p w:rsidR="00EB036E" w:rsidRDefault="00D605AA">
      <w:pPr>
        <w:pStyle w:val="jaf6"/>
      </w:pPr>
      <w:r>
        <w:t>六　営業秘密を保有者から示されたその役員又は従業者であった者であって、不正の利益を得る目的で、又はその保有者に損害を加える目的で、その在職中に、その営業秘密の管理に係る任務に背いてそ</w:t>
      </w:r>
      <w:r>
        <w:t>の営業秘密の開示の申込みをし、又はその営業秘密の使用若しくは開示について請託を受けて、その営業秘密をその職を退いた後に使用し、又は開示した者（第四号に掲げる者を除く。）</w:t>
      </w:r>
    </w:p>
    <w:p w:rsidR="00EB036E" w:rsidRDefault="00D605AA">
      <w:pPr>
        <w:pStyle w:val="jaf6"/>
      </w:pPr>
      <w:r>
        <w:t>七　不正の利益を得る目的で、又はその保有者に損害を加える目的で、第二号又は前三号の罪に当たる開示によって営業秘密を取得して、その営業秘密を使用し、又は開示した者</w:t>
      </w:r>
    </w:p>
    <w:p w:rsidR="00EB036E" w:rsidRDefault="00D605AA">
      <w:pPr>
        <w:pStyle w:val="jaf4"/>
      </w:pPr>
      <w:r>
        <w:t>２　次の各号のいずれかに該当する者は、五年以下の懲役若しくは五百万円以下の罰金に処し、又はこれを併科する。</w:t>
      </w:r>
    </w:p>
    <w:p w:rsidR="00EB036E" w:rsidRDefault="00D605AA">
      <w:pPr>
        <w:pStyle w:val="jaf6"/>
      </w:pPr>
      <w:r>
        <w:t>一　不正の目的をもって第二条第一項第一号又は第十三号に掲げる不正競争を行</w:t>
      </w:r>
      <w:r>
        <w:t>った者</w:t>
      </w:r>
    </w:p>
    <w:p w:rsidR="00EB036E" w:rsidRDefault="00D605AA">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EB036E" w:rsidRDefault="00D605AA">
      <w:pPr>
        <w:pStyle w:val="jaf6"/>
      </w:pPr>
      <w:r>
        <w:t>三　不正の利益を得る目的で第二条第一項第三号に掲げる不正競争を行った者</w:t>
      </w:r>
    </w:p>
    <w:p w:rsidR="00EB036E" w:rsidRDefault="00D605AA">
      <w:pPr>
        <w:pStyle w:val="jaf6"/>
      </w:pPr>
      <w:r>
        <w:t>四　不正の利益を得る目的で、又は営業上技術的制限手段を用いている者に損害を加える目的で、第二条第一項第十号又は第十一号に掲げる不正競争を行った者</w:t>
      </w:r>
    </w:p>
    <w:p w:rsidR="00EB036E" w:rsidRDefault="00D605AA">
      <w:pPr>
        <w:pStyle w:val="jaf6"/>
      </w:pPr>
      <w:r>
        <w:t>五　商品若しくは役務若しくはその広告若しくは取引に用いる書類若しくは通信にその商品の原産地、品質、内容、製造方法、用途若</w:t>
      </w:r>
      <w:r>
        <w:t>しくは数量又はその役務の質、内容、用途若しくは数量について誤認させるような虚偽の表示をした者（第一号に掲げる者を除く。）</w:t>
      </w:r>
    </w:p>
    <w:p w:rsidR="00EB036E" w:rsidRDefault="00D605AA">
      <w:pPr>
        <w:pStyle w:val="jaf6"/>
      </w:pPr>
      <w:r>
        <w:t>六　秘密保持命令に違反した者</w:t>
      </w:r>
    </w:p>
    <w:p w:rsidR="00EB036E" w:rsidRDefault="00D605AA">
      <w:pPr>
        <w:pStyle w:val="jaf6"/>
      </w:pPr>
      <w:r>
        <w:t>七　第十六条、第十七条又は第十八条第一項の規定に違反した者</w:t>
      </w:r>
    </w:p>
    <w:p w:rsidR="00EB036E" w:rsidRDefault="00D605AA">
      <w:pPr>
        <w:pStyle w:val="jaf4"/>
      </w:pPr>
      <w:r>
        <w:t>３　第一項及び前項第六号の罪は、告訴がなければ公訴を提起することができない。</w:t>
      </w:r>
    </w:p>
    <w:p w:rsidR="00EB036E" w:rsidRDefault="00D605AA">
      <w:pPr>
        <w:pStyle w:val="jaf4"/>
      </w:pPr>
      <w:r>
        <w:t>４　第一項第二号又は第四号から第七号までの罪は、詐欺等行為若しくは管理侵害行為があった時又は保有者から示された時に日本国内において管理されていた営業秘密について、日本国外においてこれらの罪を犯した者にも適用する。</w:t>
      </w:r>
    </w:p>
    <w:p w:rsidR="00EB036E" w:rsidRDefault="00D605AA">
      <w:pPr>
        <w:pStyle w:val="jaf4"/>
      </w:pPr>
      <w:r>
        <w:t>５　第二項第六号の罪は、日本国外において同号の罪を犯した者にも適用する。</w:t>
      </w:r>
    </w:p>
    <w:p w:rsidR="00EB036E" w:rsidRDefault="00D605AA">
      <w:pPr>
        <w:pStyle w:val="jaf4"/>
      </w:pPr>
      <w:r>
        <w:t>６　第二項第七号（第十八条第一項に係る部分に限る。）の罪は、刑法（明治四十年法律第四十五号）第三条の例に従う。</w:t>
      </w:r>
    </w:p>
    <w:p w:rsidR="00EB036E" w:rsidRDefault="00D605AA">
      <w:pPr>
        <w:pStyle w:val="jaf4"/>
      </w:pPr>
      <w:r>
        <w:t>７　第一項及び第二項の規定は、刑法その他の罰則の適用を妨げない。</w:t>
      </w:r>
    </w:p>
    <w:p w:rsidR="00EB036E" w:rsidRDefault="00EB036E"/>
    <w:p w:rsidR="00EB036E" w:rsidRDefault="00D605AA">
      <w:pPr>
        <w:pStyle w:val="jaf3"/>
      </w:pPr>
      <w:r>
        <w:t>第二十二条　法人の代表者又は法人若しくは人の</w:t>
      </w:r>
      <w:r>
        <w:t>代理人、使用人その他の従業者が、その法人又は人の業務に関し、前条第一項第一号、第二号若しくは第七号又は第二項に掲げる規定の違反行為をしたときは、行為者を罰するほか、その法人に対して三億円以下の罰金刑を、その人に対して本条の罰金刑を科する。</w:t>
      </w:r>
    </w:p>
    <w:p w:rsidR="00EB036E" w:rsidRDefault="00D605AA">
      <w:pPr>
        <w:pStyle w:val="jaf4"/>
      </w:pPr>
      <w:r>
        <w:t>２　前項の場合において、当該行為者に対してした前条第一項第一号、第二号及び第七号並びに第二項第六号の罪に係る同条第三項の告訴は、その法人又は人に対しても効力を生じ、その法人又は人に対してした告訴は、当該行為者に対しても効力を生ずるものとする。</w:t>
      </w:r>
    </w:p>
    <w:p w:rsidR="00EB036E" w:rsidRDefault="00D605AA">
      <w:pPr>
        <w:pStyle w:val="jaf4"/>
      </w:pPr>
      <w:r>
        <w:t>３　第一項の規定により前条第</w:t>
      </w:r>
      <w:r>
        <w:t>一項第一号、第二号若しくは第七号又は第二項の違反行為につき法人又は人に罰金刑を科する場合における時効の期間は、これらの規定の罪についての時効の期間による。</w:t>
      </w:r>
    </w:p>
    <w:p w:rsidR="00EB036E" w:rsidRDefault="00EB036E"/>
    <w:p w:rsidR="00EB036E" w:rsidRDefault="00D605AA">
      <w:pPr>
        <w:pStyle w:val="ja3"/>
      </w:pPr>
      <w:r>
        <w:t>第六章　刑事訴訟手続の特例</w:t>
      </w:r>
    </w:p>
    <w:p w:rsidR="00EB036E" w:rsidRDefault="00EB036E"/>
    <w:p w:rsidR="00EB036E" w:rsidRDefault="00D605AA">
      <w:pPr>
        <w:pStyle w:val="jaa"/>
      </w:pPr>
      <w:r>
        <w:t>（営業秘密の秘匿決定等）</w:t>
      </w:r>
    </w:p>
    <w:p w:rsidR="00EB036E" w:rsidRDefault="00D605AA">
      <w:pPr>
        <w:pStyle w:val="jaf3"/>
      </w:pPr>
      <w:r>
        <w:t>第二十三条　裁判所は、第二十一条第一項の罪又は前条第一項（第二十一条第一項第一号、第二号及び第七号に係る部分に限る。）の罪に係る事件を取り扱う場合において、当該事件の被害者若しくは当該被害者の法定代理人又はこれらの者から委託を受けた弁護士から、当該事件に係る営業秘密を構成する情報の全部又は一部を特</w:t>
      </w:r>
      <w:r>
        <w:t>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EB036E" w:rsidRDefault="00D605AA">
      <w:pPr>
        <w:pStyle w:val="jaf4"/>
      </w:pPr>
      <w:r>
        <w:t>２　前項の申出は、あらかじめ、検察官にしなければならない。この場合において、検察官は、意見を付して、これを裁判所に通知するものとする。</w:t>
      </w:r>
    </w:p>
    <w:p w:rsidR="00EB036E" w:rsidRDefault="00D605AA">
      <w:pPr>
        <w:pStyle w:val="jaf4"/>
      </w:pPr>
      <w:r>
        <w:t>３　裁判所は、第一項に規定する事件を取り扱う場合において、検察官又は被告人若しくは弁護人から、被告人その他の者の保有する営業秘密を構成する情報の全部又は一部を特定さ</w:t>
      </w:r>
      <w:r>
        <w:t>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EB036E" w:rsidRDefault="00D605AA">
      <w:pPr>
        <w:pStyle w:val="jaf4"/>
      </w:pPr>
      <w:r>
        <w:t>４　裁判所は、第一項又は前項の決定（以下「秘匿決定」という。）をした場合において、必要があると認めるとき</w:t>
      </w:r>
      <w:r>
        <w:t>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EB036E" w:rsidRDefault="00D605AA">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EB036E" w:rsidRDefault="00EB036E"/>
    <w:p w:rsidR="00EB036E" w:rsidRDefault="00D605AA">
      <w:pPr>
        <w:pStyle w:val="jaa"/>
      </w:pPr>
      <w:r>
        <w:t>（起訴状の朗読方法の特例）</w:t>
      </w:r>
    </w:p>
    <w:p w:rsidR="00EB036E" w:rsidRDefault="00D605AA">
      <w:pPr>
        <w:pStyle w:val="jaf3"/>
      </w:pPr>
      <w:r>
        <w:t>第二十四条　秘匿決定があったときは、刑事訴訟法第二百九十一条第一</w:t>
      </w:r>
      <w:r>
        <w:t>項の起訴状の朗読は、営業秘密構成情報特定事項を明らかにしない方法でこれを行うものとする。この場合においては、検察官は、被告人に起訴状を示さなければならない。</w:t>
      </w:r>
    </w:p>
    <w:p w:rsidR="00EB036E" w:rsidRDefault="00EB036E"/>
    <w:p w:rsidR="00EB036E" w:rsidRDefault="00D605AA">
      <w:pPr>
        <w:pStyle w:val="jaa"/>
      </w:pPr>
      <w:r>
        <w:t>（尋問等の制限）</w:t>
      </w:r>
    </w:p>
    <w:p w:rsidR="00EB036E" w:rsidRDefault="00D605AA">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w:t>
      </w:r>
      <w:r>
        <w:t>る行為についても、同様とする。</w:t>
      </w:r>
    </w:p>
    <w:p w:rsidR="00EB036E" w:rsidRDefault="00D605AA">
      <w:pPr>
        <w:pStyle w:val="jaf4"/>
      </w:pPr>
      <w:r>
        <w:t>２　刑事訴訟法第二百九十五条第四項及び第五項の規定は、前項の規定による命令を受けた検察官又は弁護士である弁護人がこれに従わなかった場合について準用する。</w:t>
      </w:r>
    </w:p>
    <w:p w:rsidR="00EB036E" w:rsidRDefault="00EB036E"/>
    <w:p w:rsidR="00EB036E" w:rsidRDefault="00D605AA">
      <w:pPr>
        <w:pStyle w:val="jaa"/>
      </w:pPr>
      <w:r>
        <w:t>（公判期日外の証人尋問等）</w:t>
      </w:r>
    </w:p>
    <w:p w:rsidR="00EB036E" w:rsidRDefault="00D605AA">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w:t>
      </w:r>
      <w:r>
        <w:t>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EB036E" w:rsidRDefault="00D605AA">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w:t>
      </w:r>
      <w:r>
        <w:t>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w:t>
      </w:r>
      <w:r>
        <w:t>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EB036E" w:rsidRDefault="00EB036E"/>
    <w:p w:rsidR="00EB036E" w:rsidRDefault="00D605AA">
      <w:pPr>
        <w:pStyle w:val="jaa"/>
      </w:pPr>
      <w:r>
        <w:t>（尋問等に係る事項の要領を記載した書面の提示命令）</w:t>
      </w:r>
    </w:p>
    <w:p w:rsidR="00EB036E" w:rsidRDefault="00D605AA">
      <w:pPr>
        <w:pStyle w:val="jaf3"/>
      </w:pPr>
      <w:r>
        <w:t>第二十七条　裁判所は、呼称等の決定をし、又は前条第一項の規定により尋問若しくは被告人の供述を求める手続を公判期日外においてする旨を定めるに当たり、必要があると認める</w:t>
      </w:r>
      <w:r>
        <w:t>ときは、検察官及び被告人又は弁護人に対し、訴訟関係人のすべき尋問若しくは陳述又は被告人に対する供述を求める行為に係る事項の要領を記載した書面の提示を命ずることができる。</w:t>
      </w:r>
    </w:p>
    <w:p w:rsidR="00EB036E" w:rsidRDefault="00EB036E"/>
    <w:p w:rsidR="00EB036E" w:rsidRDefault="00D605AA">
      <w:pPr>
        <w:pStyle w:val="jaa"/>
      </w:pPr>
      <w:r>
        <w:t>（証拠書類の朗読方法の特例）</w:t>
      </w:r>
    </w:p>
    <w:p w:rsidR="00EB036E" w:rsidRDefault="00D605AA">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EB036E" w:rsidRDefault="00EB036E"/>
    <w:p w:rsidR="00EB036E" w:rsidRDefault="00D605AA">
      <w:pPr>
        <w:pStyle w:val="jaa"/>
      </w:pPr>
      <w:r>
        <w:t>（公判前整理手続等における決定）</w:t>
      </w:r>
    </w:p>
    <w:p w:rsidR="00EB036E" w:rsidRDefault="00D605AA">
      <w:pPr>
        <w:pStyle w:val="jaf3"/>
      </w:pPr>
      <w:r>
        <w:t>第二十九条　次に掲げる事項は、公判前整理手続及び期日間整理手続において行うことができる。</w:t>
      </w:r>
    </w:p>
    <w:p w:rsidR="00EB036E" w:rsidRDefault="00D605AA">
      <w:pPr>
        <w:pStyle w:val="jaf6"/>
      </w:pPr>
      <w:r>
        <w:t>一　秘匿決定</w:t>
      </w:r>
      <w:r>
        <w:t>若しくは呼称等の決定又はこれらの決定を取り消す決定をすること。</w:t>
      </w:r>
    </w:p>
    <w:p w:rsidR="00EB036E" w:rsidRDefault="00D605AA">
      <w:pPr>
        <w:pStyle w:val="jaf6"/>
      </w:pPr>
      <w:r>
        <w:t>二　第二十六条第一項の規定により尋問又は被告人の供述を求める手続を公判期日外においてする旨を定めること。</w:t>
      </w:r>
    </w:p>
    <w:p w:rsidR="00EB036E" w:rsidRDefault="00EB036E"/>
    <w:p w:rsidR="00EB036E" w:rsidRDefault="00D605AA">
      <w:pPr>
        <w:pStyle w:val="jaa"/>
      </w:pPr>
      <w:r>
        <w:t>（証拠開示の際の営業秘密の秘匿要請）</w:t>
      </w:r>
    </w:p>
    <w:p w:rsidR="00EB036E" w:rsidRDefault="00D605AA">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w:t>
      </w:r>
      <w:r>
        <w:t>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EB036E" w:rsidRDefault="00D605AA">
      <w:pPr>
        <w:pStyle w:val="jaf4"/>
      </w:pPr>
      <w:r>
        <w:t>２　前項の規定は、検察官又は弁護人が刑事訴訟法第二編第三章第二節第一款第二目（同法第三百十六条の二十八第二項において準用す</w:t>
      </w:r>
      <w:r>
        <w:t>る場合を含む。）の規定による証拠の開示をする場合について準用する。</w:t>
      </w:r>
    </w:p>
    <w:p w:rsidR="00EB036E" w:rsidRDefault="00EB036E"/>
    <w:p w:rsidR="00EB036E" w:rsidRDefault="00D605AA">
      <w:pPr>
        <w:pStyle w:val="jaa"/>
      </w:pPr>
      <w:r>
        <w:t>（最高裁判所規則への委任）</w:t>
      </w:r>
    </w:p>
    <w:p w:rsidR="00EB036E" w:rsidRDefault="00D605AA">
      <w:pPr>
        <w:pStyle w:val="jaf3"/>
      </w:pPr>
      <w:r>
        <w:t>第三十一条　この法律に定めるもののほか、第二十三条から前条までの規定の実施に関し必要な事項は、最高裁判所規則で定める。</w:t>
      </w:r>
    </w:p>
    <w:p w:rsidR="00EB036E" w:rsidRDefault="00EB036E"/>
    <w:p w:rsidR="00EB036E" w:rsidRDefault="00D605AA">
      <w:pPr>
        <w:pStyle w:val="ja2"/>
      </w:pPr>
      <w:r>
        <w:t>附　則　〔抄〕</w:t>
      </w:r>
    </w:p>
    <w:p w:rsidR="00EB036E" w:rsidRDefault="00EB036E"/>
    <w:p w:rsidR="00EB036E" w:rsidRDefault="00D605AA">
      <w:pPr>
        <w:pStyle w:val="jaa"/>
      </w:pPr>
      <w:r>
        <w:t>（施行期日）</w:t>
      </w:r>
    </w:p>
    <w:p w:rsidR="00EB036E" w:rsidRDefault="00D605AA">
      <w:pPr>
        <w:pStyle w:val="jaf3"/>
      </w:pPr>
      <w:r>
        <w:t>第一条　この法律は、公布の日から起算して一年を超えない範囲内において政令で定める日から施行する。</w:t>
      </w:r>
    </w:p>
    <w:p w:rsidR="00EB036E" w:rsidRDefault="00EB036E"/>
    <w:p w:rsidR="00EB036E" w:rsidRDefault="00D605AA">
      <w:pPr>
        <w:pStyle w:val="jaa"/>
      </w:pPr>
      <w:r>
        <w:t>（経過措置）</w:t>
      </w:r>
    </w:p>
    <w:p w:rsidR="00EB036E" w:rsidRDefault="00D605AA">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EB036E" w:rsidRDefault="00EB036E"/>
    <w:p w:rsidR="00EB036E" w:rsidRDefault="00D605AA">
      <w:pPr>
        <w:pStyle w:val="jaf3"/>
      </w:pPr>
      <w:r>
        <w:t>第三条　新法第三条、第四条本文及び第五条の規定は、この法律の施行前に開始した次に掲げる行為を継続する行為については、適用しない。</w:t>
      </w:r>
    </w:p>
    <w:p w:rsidR="00EB036E" w:rsidRDefault="00D605AA">
      <w:pPr>
        <w:pStyle w:val="jaf6"/>
      </w:pPr>
      <w:r>
        <w:t>一　新法第二条第一項第二号に掲げる行為に該当するもの（同項第一号に掲げる行為に該当するものを除く。）</w:t>
      </w:r>
    </w:p>
    <w:p w:rsidR="00EB036E" w:rsidRDefault="00D605AA">
      <w:pPr>
        <w:pStyle w:val="jaf6"/>
      </w:pPr>
      <w:r>
        <w:t>二　新法第二条第一項第十三号に掲げる行為のうち、役務若</w:t>
      </w:r>
      <w:r>
        <w:t>しくはその広告若しくは取引に用いる書類若しくは通信にその役務の質、内容、用途若しくは数量について誤認させるような表示をし、又はその表示をして役務を提供する行為に該当するもの</w:t>
      </w:r>
    </w:p>
    <w:p w:rsidR="00EB036E" w:rsidRDefault="00EB036E"/>
    <w:p w:rsidR="00EB036E" w:rsidRDefault="00D605AA">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げる行為に該当するものを除く。）及び同日前に開始した同</w:t>
      </w:r>
      <w:r>
        <w:t>項第七号に規定する営業秘密を使用する行為を継続する行為については、適用しない。</w:t>
      </w:r>
    </w:p>
    <w:p w:rsidR="00EB036E" w:rsidRDefault="00D605AA">
      <w:pPr>
        <w:pStyle w:val="jaf6"/>
      </w:pPr>
      <w:r>
        <w:t>一　新法第二条第一項第四号から第六号まで、第八号及び第九号に規定する営業秘密を開示する行為</w:t>
      </w:r>
    </w:p>
    <w:p w:rsidR="00EB036E" w:rsidRDefault="00D605AA">
      <w:pPr>
        <w:pStyle w:val="jaf6"/>
      </w:pPr>
      <w:r>
        <w:t>二　新法第二条第一項第五号及び第八号に規定する営業秘密を取得する行為並びにこれらの行為により取得した営業秘密を使用する行為</w:t>
      </w:r>
    </w:p>
    <w:p w:rsidR="00EB036E" w:rsidRDefault="00EB036E"/>
    <w:p w:rsidR="00EB036E" w:rsidRDefault="00D605AA">
      <w:pPr>
        <w:pStyle w:val="jaf3"/>
      </w:pPr>
      <w:r>
        <w:t>第五条　新法第七条の規定は、この法律の施行後に提起された訴えについて適用し、この法律の施行前に提起された訴えについては、なお従前の例による。</w:t>
      </w:r>
    </w:p>
    <w:p w:rsidR="00EB036E" w:rsidRDefault="00EB036E"/>
    <w:p w:rsidR="00EB036E" w:rsidRDefault="00D605AA">
      <w:pPr>
        <w:pStyle w:val="jaf3"/>
      </w:pPr>
      <w:r>
        <w:t>第六条　新法第十四条の規定は、この法律の施行前に開始した新法第二条第一</w:t>
      </w:r>
      <w:r>
        <w:t>項第二号又は第十三号に掲げる行為に該当するもの（同項第一号に掲げる行為に該当するものを除く。）を継続する行為については、適用しない。</w:t>
      </w:r>
    </w:p>
    <w:p w:rsidR="00EB036E" w:rsidRDefault="00EB036E"/>
    <w:p w:rsidR="00EB036E" w:rsidRDefault="00D605AA">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EB036E" w:rsidRDefault="00EB036E"/>
    <w:p w:rsidR="00EB036E" w:rsidRDefault="00D605AA">
      <w:pPr>
        <w:pStyle w:val="jaf3"/>
      </w:pPr>
      <w:r>
        <w:t>第八条　新法第十六条の規定は、この法律の施行の際現に旧法第四条第四項に規定する許可を受けている者については、適用しない。</w:t>
      </w:r>
    </w:p>
    <w:p w:rsidR="00EB036E" w:rsidRDefault="00EB036E"/>
    <w:p w:rsidR="00EB036E" w:rsidRDefault="00D605AA">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w:t>
      </w:r>
      <w:r>
        <w:t>を継続する行為については、適用しない。</w:t>
      </w:r>
    </w:p>
    <w:p w:rsidR="00EB036E" w:rsidRDefault="00EB036E"/>
    <w:p w:rsidR="00EB036E" w:rsidRDefault="00D605AA">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EB036E" w:rsidRDefault="00EB036E"/>
    <w:p w:rsidR="00EB036E" w:rsidRDefault="00D605AA">
      <w:pPr>
        <w:pStyle w:val="jaf3"/>
      </w:pPr>
      <w:r>
        <w:t>第十一条　この法律の施行前にした行為に関する旧法第三条に規定する外国人が行う同条に規定する請求については、なお従前の例による。</w:t>
      </w:r>
    </w:p>
    <w:p w:rsidR="00EB036E" w:rsidRDefault="00EB036E"/>
    <w:p w:rsidR="00EB036E" w:rsidRDefault="00D605AA">
      <w:pPr>
        <w:pStyle w:val="jaa"/>
      </w:pPr>
      <w:r>
        <w:t>（罰則の適用に関する経過措置）</w:t>
      </w:r>
    </w:p>
    <w:p w:rsidR="00EB036E" w:rsidRDefault="00D605AA">
      <w:pPr>
        <w:pStyle w:val="jaf3"/>
      </w:pPr>
      <w:r>
        <w:t>第十三条　この法律の施行前にした行為に対する罰則の適用については、なお従前の例による。</w:t>
      </w:r>
    </w:p>
    <w:p w:rsidR="00EB036E" w:rsidRDefault="00EB036E"/>
    <w:p w:rsidR="00EB036E" w:rsidRDefault="00D605AA">
      <w:pPr>
        <w:pStyle w:val="jaa"/>
      </w:pPr>
      <w:r>
        <w:t>（政令への委任）</w:t>
      </w:r>
    </w:p>
    <w:p w:rsidR="00EB036E" w:rsidRDefault="00D605AA">
      <w:pPr>
        <w:pStyle w:val="jaf3"/>
      </w:pPr>
      <w:r>
        <w:t>第十四条　附則第二条から第十一条まで及び前条に定めるもののほか、この法律の施行に関し必要な経過措置は、政令で定める。</w:t>
      </w:r>
    </w:p>
    <w:sectPr w:rsidR="00EB036E" w:rsidSect="00EB03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36E" w:rsidRDefault="00EB036E" w:rsidP="00EB036E">
      <w:r>
        <w:separator/>
      </w:r>
    </w:p>
  </w:endnote>
  <w:endnote w:type="continuationSeparator" w:id="0">
    <w:p w:rsidR="00EB036E" w:rsidRDefault="00EB036E" w:rsidP="00E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6E" w:rsidRDefault="00EB036E">
    <w:pPr>
      <w:pStyle w:val="a3"/>
    </w:pPr>
    <w:r>
      <w:fldChar w:fldCharType="begin"/>
    </w:r>
    <w:r>
      <w:instrText xml:space="preserve"> PAGE  \* MERGEFORMAT </w:instrText>
    </w:r>
    <w:r>
      <w:fldChar w:fldCharType="separate"/>
    </w:r>
    <w:r w:rsidR="00D60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36E" w:rsidRDefault="00EB036E" w:rsidP="00EB036E">
      <w:r>
        <w:separator/>
      </w:r>
    </w:p>
  </w:footnote>
  <w:footnote w:type="continuationSeparator" w:id="0">
    <w:p w:rsidR="00EB036E" w:rsidRDefault="00EB036E" w:rsidP="00EB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898"/>
    <w:multiLevelType w:val="multilevel"/>
    <w:tmpl w:val="BE2636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C7E2D"/>
    <w:multiLevelType w:val="multilevel"/>
    <w:tmpl w:val="93EAF6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C3CFF"/>
    <w:multiLevelType w:val="multilevel"/>
    <w:tmpl w:val="7396CC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CF03AA"/>
    <w:multiLevelType w:val="multilevel"/>
    <w:tmpl w:val="6F7A3B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FB0801"/>
    <w:multiLevelType w:val="multilevel"/>
    <w:tmpl w:val="2BD61D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3F5BA7"/>
    <w:multiLevelType w:val="multilevel"/>
    <w:tmpl w:val="BF54B2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081D6E"/>
    <w:multiLevelType w:val="multilevel"/>
    <w:tmpl w:val="59EE97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534770"/>
    <w:multiLevelType w:val="multilevel"/>
    <w:tmpl w:val="D3FC21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E5212D"/>
    <w:multiLevelType w:val="multilevel"/>
    <w:tmpl w:val="E182E5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54742B"/>
    <w:multiLevelType w:val="multilevel"/>
    <w:tmpl w:val="AABEEC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B60ED"/>
    <w:multiLevelType w:val="multilevel"/>
    <w:tmpl w:val="3D2E8A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74CA0"/>
    <w:multiLevelType w:val="multilevel"/>
    <w:tmpl w:val="CA76B5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3D50AA"/>
    <w:multiLevelType w:val="multilevel"/>
    <w:tmpl w:val="895AB9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0"/>
  </w:num>
  <w:num w:numId="4">
    <w:abstractNumId w:val="5"/>
  </w:num>
  <w:num w:numId="5">
    <w:abstractNumId w:val="3"/>
  </w:num>
  <w:num w:numId="6">
    <w:abstractNumId w:val="12"/>
  </w:num>
  <w:num w:numId="7">
    <w:abstractNumId w:val="1"/>
  </w:num>
  <w:num w:numId="8">
    <w:abstractNumId w:val="2"/>
  </w:num>
  <w:num w:numId="9">
    <w:abstractNumId w:val="9"/>
  </w:num>
  <w:num w:numId="10">
    <w:abstractNumId w:val="10"/>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36E"/>
    <w:rsid w:val="00D605AA"/>
    <w:rsid w:val="00EB03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3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03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036E"/>
    <w:rPr>
      <w:rFonts w:ascii="Century" w:eastAsia="Century" w:hAnsi="Century"/>
    </w:rPr>
  </w:style>
  <w:style w:type="paragraph" w:customStyle="1" w:styleId="ja0">
    <w:name w:val="款（ja）"/>
    <w:basedOn w:val="a"/>
    <w:rsid w:val="00EB036E"/>
    <w:pPr>
      <w:widowControl w:val="0"/>
      <w:ind w:left="1321" w:hanging="221"/>
    </w:pPr>
    <w:rPr>
      <w:rFonts w:ascii="ＭＳ 明朝" w:eastAsia="ＭＳ 明朝" w:hAnsi="ＭＳ 明朝" w:cs="ＭＳ 明朝"/>
      <w:b/>
    </w:rPr>
  </w:style>
  <w:style w:type="paragraph" w:customStyle="1" w:styleId="en0">
    <w:name w:val="款（en）"/>
    <w:basedOn w:val="ja0"/>
    <w:rsid w:val="00EB036E"/>
    <w:rPr>
      <w:rFonts w:ascii="Century" w:eastAsia="Century" w:hAnsi="Century" w:cs="Century"/>
    </w:rPr>
  </w:style>
  <w:style w:type="paragraph" w:customStyle="1" w:styleId="ja1">
    <w:name w:val="前文（ja）"/>
    <w:basedOn w:val="a"/>
    <w:rsid w:val="00EB036E"/>
    <w:pPr>
      <w:widowControl w:val="0"/>
      <w:ind w:firstLine="219"/>
    </w:pPr>
    <w:rPr>
      <w:rFonts w:ascii="ＭＳ 明朝" w:eastAsia="ＭＳ 明朝" w:hAnsi="ＭＳ 明朝" w:cs="ＭＳ 明朝"/>
    </w:rPr>
  </w:style>
  <w:style w:type="paragraph" w:customStyle="1" w:styleId="en1">
    <w:name w:val="前文（en）"/>
    <w:basedOn w:val="ja1"/>
    <w:rsid w:val="00EB036E"/>
    <w:rPr>
      <w:rFonts w:ascii="Century" w:eastAsia="Century" w:hAnsi="Century" w:cs="Century"/>
    </w:rPr>
  </w:style>
  <w:style w:type="paragraph" w:customStyle="1" w:styleId="ja2">
    <w:name w:val="附則（ja）"/>
    <w:basedOn w:val="a"/>
    <w:rsid w:val="00EB036E"/>
    <w:pPr>
      <w:widowControl w:val="0"/>
      <w:ind w:left="881" w:hanging="221"/>
    </w:pPr>
    <w:rPr>
      <w:rFonts w:ascii="ＭＳ 明朝" w:eastAsia="ＭＳ 明朝" w:hAnsi="ＭＳ 明朝" w:cs="ＭＳ 明朝"/>
      <w:b/>
    </w:rPr>
  </w:style>
  <w:style w:type="paragraph" w:customStyle="1" w:styleId="en2">
    <w:name w:val="附則（en）"/>
    <w:basedOn w:val="ja2"/>
    <w:rsid w:val="00EB036E"/>
    <w:rPr>
      <w:rFonts w:ascii="Century" w:hAnsi="Century" w:cs="Century"/>
    </w:rPr>
  </w:style>
  <w:style w:type="paragraph" w:customStyle="1" w:styleId="ja3">
    <w:name w:val="章（ja）"/>
    <w:basedOn w:val="a"/>
    <w:rsid w:val="00EB036E"/>
    <w:pPr>
      <w:widowControl w:val="0"/>
      <w:ind w:left="881" w:hanging="221"/>
    </w:pPr>
    <w:rPr>
      <w:rFonts w:ascii="ＭＳ 明朝" w:eastAsia="ＭＳ 明朝" w:hAnsi="ＭＳ 明朝" w:cs="ＭＳ 明朝"/>
      <w:b/>
    </w:rPr>
  </w:style>
  <w:style w:type="paragraph" w:customStyle="1" w:styleId="en3">
    <w:name w:val="章（en）"/>
    <w:basedOn w:val="ja3"/>
    <w:rsid w:val="00EB036E"/>
    <w:rPr>
      <w:rFonts w:ascii="Century" w:eastAsia="Century" w:hAnsi="Century" w:cs="Century"/>
    </w:rPr>
  </w:style>
  <w:style w:type="paragraph" w:customStyle="1" w:styleId="ja4">
    <w:name w:val="目次編（ja）"/>
    <w:basedOn w:val="a"/>
    <w:rsid w:val="00EB036E"/>
    <w:pPr>
      <w:widowControl w:val="0"/>
      <w:ind w:left="219" w:hanging="219"/>
    </w:pPr>
    <w:rPr>
      <w:rFonts w:ascii="ＭＳ 明朝" w:eastAsia="ＭＳ 明朝" w:hAnsi="ＭＳ 明朝"/>
    </w:rPr>
  </w:style>
  <w:style w:type="paragraph" w:customStyle="1" w:styleId="en4">
    <w:name w:val="目次編（en）"/>
    <w:basedOn w:val="ja4"/>
    <w:rsid w:val="00EB036E"/>
    <w:rPr>
      <w:rFonts w:ascii="Century" w:eastAsia="Century" w:hAnsi="Century"/>
    </w:rPr>
  </w:style>
  <w:style w:type="paragraph" w:customStyle="1" w:styleId="ja5">
    <w:name w:val="目次章（ja）"/>
    <w:basedOn w:val="a"/>
    <w:rsid w:val="00EB036E"/>
    <w:pPr>
      <w:widowControl w:val="0"/>
      <w:ind w:left="439" w:hanging="219"/>
    </w:pPr>
    <w:rPr>
      <w:rFonts w:ascii="ＭＳ 明朝" w:eastAsia="ＭＳ 明朝" w:hAnsi="ＭＳ 明朝"/>
    </w:rPr>
  </w:style>
  <w:style w:type="paragraph" w:customStyle="1" w:styleId="en5">
    <w:name w:val="目次章（en）"/>
    <w:basedOn w:val="ja5"/>
    <w:rsid w:val="00EB036E"/>
    <w:rPr>
      <w:rFonts w:ascii="Century" w:eastAsia="Century" w:hAnsi="Century"/>
    </w:rPr>
  </w:style>
  <w:style w:type="paragraph" w:customStyle="1" w:styleId="ja6">
    <w:name w:val="目次節（ja）"/>
    <w:basedOn w:val="a"/>
    <w:rsid w:val="00EB036E"/>
    <w:pPr>
      <w:widowControl w:val="0"/>
      <w:ind w:left="659" w:hanging="219"/>
    </w:pPr>
    <w:rPr>
      <w:rFonts w:ascii="ＭＳ 明朝" w:eastAsia="ＭＳ 明朝" w:hAnsi="ＭＳ 明朝"/>
    </w:rPr>
  </w:style>
  <w:style w:type="paragraph" w:customStyle="1" w:styleId="en6">
    <w:name w:val="目次節（en）"/>
    <w:basedOn w:val="ja6"/>
    <w:rsid w:val="00EB036E"/>
    <w:rPr>
      <w:rFonts w:ascii="Century" w:eastAsia="Century" w:hAnsi="Century"/>
    </w:rPr>
  </w:style>
  <w:style w:type="paragraph" w:customStyle="1" w:styleId="ja7">
    <w:name w:val="目次款（ja）"/>
    <w:basedOn w:val="a"/>
    <w:rsid w:val="00EB036E"/>
    <w:pPr>
      <w:widowControl w:val="0"/>
      <w:ind w:left="879" w:hanging="219"/>
    </w:pPr>
    <w:rPr>
      <w:rFonts w:ascii="ＭＳ 明朝" w:eastAsia="ＭＳ 明朝" w:hAnsi="ＭＳ 明朝" w:cs="Kochi Mincho"/>
    </w:rPr>
  </w:style>
  <w:style w:type="paragraph" w:customStyle="1" w:styleId="en7">
    <w:name w:val="目次款（en）"/>
    <w:basedOn w:val="ja7"/>
    <w:rsid w:val="00EB036E"/>
    <w:rPr>
      <w:rFonts w:ascii="Century" w:eastAsia="Century" w:hAnsi="Century"/>
    </w:rPr>
  </w:style>
  <w:style w:type="paragraph" w:customStyle="1" w:styleId="ja8">
    <w:name w:val="別表名（ja）"/>
    <w:basedOn w:val="a"/>
    <w:rsid w:val="00EB03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036E"/>
    <w:rPr>
      <w:rFonts w:ascii="Century" w:eastAsia="Century" w:hAnsi="Century" w:cs="Century"/>
    </w:rPr>
  </w:style>
  <w:style w:type="paragraph" w:customStyle="1" w:styleId="ja9">
    <w:name w:val="目（ja）"/>
    <w:basedOn w:val="a"/>
    <w:rsid w:val="00EB036E"/>
    <w:pPr>
      <w:widowControl w:val="0"/>
      <w:ind w:left="1541" w:hanging="221"/>
    </w:pPr>
    <w:rPr>
      <w:rFonts w:ascii="ＭＳ 明朝" w:eastAsia="ＭＳ 明朝" w:hAnsi="ＭＳ 明朝" w:cs="ＭＳ 明朝"/>
      <w:b/>
    </w:rPr>
  </w:style>
  <w:style w:type="paragraph" w:customStyle="1" w:styleId="en9">
    <w:name w:val="目（en）"/>
    <w:basedOn w:val="ja9"/>
    <w:rsid w:val="00EB036E"/>
    <w:rPr>
      <w:rFonts w:ascii="Century" w:eastAsia="Century" w:hAnsi="Century" w:cs="Century"/>
    </w:rPr>
  </w:style>
  <w:style w:type="paragraph" w:customStyle="1" w:styleId="jaa">
    <w:name w:val="見出し（ja）"/>
    <w:basedOn w:val="a"/>
    <w:rsid w:val="00EB036E"/>
    <w:pPr>
      <w:widowControl w:val="0"/>
      <w:ind w:left="439" w:hanging="219"/>
    </w:pPr>
    <w:rPr>
      <w:rFonts w:ascii="ＭＳ 明朝" w:eastAsia="ＭＳ 明朝" w:hAnsi="ＭＳ 明朝" w:cs="ＭＳ 明朝"/>
    </w:rPr>
  </w:style>
  <w:style w:type="paragraph" w:customStyle="1" w:styleId="ena">
    <w:name w:val="見出し（en）"/>
    <w:basedOn w:val="jaa"/>
    <w:rsid w:val="00EB036E"/>
    <w:rPr>
      <w:rFonts w:ascii="Century" w:eastAsia="Century" w:hAnsi="Century" w:cs="Century"/>
    </w:rPr>
  </w:style>
  <w:style w:type="paragraph" w:styleId="a3">
    <w:name w:val="footer"/>
    <w:basedOn w:val="a"/>
    <w:rsid w:val="00EB03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036E"/>
    <w:pPr>
      <w:widowControl w:val="0"/>
      <w:ind w:left="1099" w:hanging="219"/>
    </w:pPr>
    <w:rPr>
      <w:rFonts w:ascii="ＭＳ 明朝" w:eastAsia="ＭＳ 明朝" w:hAnsi="ＭＳ 明朝" w:cs="Kochi Mincho"/>
    </w:rPr>
  </w:style>
  <w:style w:type="paragraph" w:customStyle="1" w:styleId="enb">
    <w:name w:val="目次目（en）"/>
    <w:basedOn w:val="jab"/>
    <w:rsid w:val="00EB036E"/>
    <w:rPr>
      <w:rFonts w:ascii="Century" w:eastAsia="Century" w:hAnsi="Century"/>
    </w:rPr>
  </w:style>
  <w:style w:type="paragraph" w:customStyle="1" w:styleId="jac">
    <w:name w:val="目次附則（ja）"/>
    <w:basedOn w:val="a"/>
    <w:rsid w:val="00EB036E"/>
    <w:pPr>
      <w:widowControl w:val="0"/>
      <w:ind w:left="439" w:hanging="219"/>
    </w:pPr>
    <w:rPr>
      <w:rFonts w:ascii="ＭＳ 明朝" w:eastAsia="ＭＳ 明朝" w:hAnsi="ＭＳ 明朝" w:cs="Kochi Mincho"/>
    </w:rPr>
  </w:style>
  <w:style w:type="paragraph" w:customStyle="1" w:styleId="enc">
    <w:name w:val="目次附則（en）"/>
    <w:basedOn w:val="jac"/>
    <w:rsid w:val="00EB036E"/>
    <w:rPr>
      <w:rFonts w:ascii="Century" w:eastAsia="Century" w:hAnsi="Century" w:cs="Century"/>
    </w:rPr>
  </w:style>
  <w:style w:type="paragraph" w:customStyle="1" w:styleId="jad">
    <w:name w:val="目次前文（ja）"/>
    <w:basedOn w:val="jac"/>
    <w:rsid w:val="00EB036E"/>
  </w:style>
  <w:style w:type="paragraph" w:customStyle="1" w:styleId="end">
    <w:name w:val="目次前文（en）"/>
    <w:basedOn w:val="enc"/>
    <w:rsid w:val="00EB036E"/>
  </w:style>
  <w:style w:type="paragraph" w:customStyle="1" w:styleId="jae">
    <w:name w:val="制定文（ja）"/>
    <w:basedOn w:val="a"/>
    <w:rsid w:val="00EB036E"/>
    <w:pPr>
      <w:widowControl w:val="0"/>
      <w:ind w:firstLine="219"/>
    </w:pPr>
    <w:rPr>
      <w:rFonts w:ascii="ＭＳ 明朝" w:eastAsia="ＭＳ 明朝" w:hAnsi="ＭＳ 明朝" w:cs="ＭＳ 明朝"/>
    </w:rPr>
  </w:style>
  <w:style w:type="paragraph" w:customStyle="1" w:styleId="ene">
    <w:name w:val="制定文（en）"/>
    <w:basedOn w:val="jae"/>
    <w:rsid w:val="00EB036E"/>
    <w:rPr>
      <w:rFonts w:ascii="Century" w:eastAsia="Century" w:hAnsi="Century" w:cs="Century"/>
    </w:rPr>
  </w:style>
  <w:style w:type="paragraph" w:customStyle="1" w:styleId="jaf">
    <w:name w:val="法令番号（ja）"/>
    <w:basedOn w:val="a"/>
    <w:rsid w:val="00EB036E"/>
    <w:pPr>
      <w:widowControl w:val="0"/>
      <w:jc w:val="right"/>
    </w:pPr>
    <w:rPr>
      <w:rFonts w:ascii="ＭＳ 明朝" w:eastAsia="ＭＳ 明朝" w:hAnsi="ＭＳ 明朝" w:cs="Kochi Mincho"/>
    </w:rPr>
  </w:style>
  <w:style w:type="paragraph" w:customStyle="1" w:styleId="enf">
    <w:name w:val="法令番号（en）"/>
    <w:basedOn w:val="jaf"/>
    <w:rsid w:val="00EB036E"/>
    <w:rPr>
      <w:rFonts w:ascii="Century" w:eastAsia="Century" w:hAnsi="Century" w:cs="Century"/>
    </w:rPr>
  </w:style>
  <w:style w:type="paragraph" w:customStyle="1" w:styleId="jaf0">
    <w:name w:val="目次（ja）"/>
    <w:basedOn w:val="a"/>
    <w:rsid w:val="00EB036E"/>
    <w:rPr>
      <w:rFonts w:ascii="ＭＳ 明朝" w:eastAsia="ＭＳ 明朝" w:hAnsi="ＭＳ 明朝"/>
    </w:rPr>
  </w:style>
  <w:style w:type="paragraph" w:customStyle="1" w:styleId="enf0">
    <w:name w:val="目次（en）"/>
    <w:basedOn w:val="jaf0"/>
    <w:rsid w:val="00EB036E"/>
    <w:rPr>
      <w:rFonts w:ascii="Century" w:eastAsia="Century" w:hAnsi="Century"/>
    </w:rPr>
  </w:style>
  <w:style w:type="paragraph" w:customStyle="1" w:styleId="jaf1">
    <w:name w:val="編（ja）"/>
    <w:basedOn w:val="a"/>
    <w:rsid w:val="00EB036E"/>
    <w:pPr>
      <w:widowControl w:val="0"/>
      <w:ind w:left="661" w:hanging="221"/>
    </w:pPr>
    <w:rPr>
      <w:rFonts w:ascii="ＭＳ 明朝" w:eastAsia="ＭＳ 明朝" w:hAnsi="ＭＳ 明朝" w:cs="ＭＳ 明朝"/>
      <w:b/>
    </w:rPr>
  </w:style>
  <w:style w:type="paragraph" w:customStyle="1" w:styleId="enf1">
    <w:name w:val="編（en）"/>
    <w:basedOn w:val="jaf1"/>
    <w:rsid w:val="00EB036E"/>
    <w:rPr>
      <w:rFonts w:ascii="Century" w:eastAsia="Century" w:hAnsi="Century" w:cs="Century"/>
    </w:rPr>
  </w:style>
  <w:style w:type="paragraph" w:customStyle="1" w:styleId="jaf2">
    <w:name w:val="節（ja）"/>
    <w:basedOn w:val="a"/>
    <w:rsid w:val="00EB036E"/>
    <w:pPr>
      <w:widowControl w:val="0"/>
      <w:ind w:left="1101" w:hanging="221"/>
    </w:pPr>
    <w:rPr>
      <w:rFonts w:ascii="ＭＳ 明朝" w:eastAsia="ＭＳ 明朝" w:hAnsi="ＭＳ 明朝" w:cs="ＭＳ 明朝"/>
      <w:b/>
    </w:rPr>
  </w:style>
  <w:style w:type="paragraph" w:customStyle="1" w:styleId="enf2">
    <w:name w:val="節（en）"/>
    <w:basedOn w:val="jaf2"/>
    <w:rsid w:val="00EB036E"/>
    <w:rPr>
      <w:rFonts w:ascii="Century" w:eastAsia="Century" w:hAnsi="Century" w:cs="Century"/>
    </w:rPr>
  </w:style>
  <w:style w:type="paragraph" w:customStyle="1" w:styleId="jaf3">
    <w:name w:val="条（ja）"/>
    <w:basedOn w:val="a"/>
    <w:rsid w:val="00EB036E"/>
    <w:pPr>
      <w:widowControl w:val="0"/>
      <w:ind w:left="219" w:hanging="219"/>
    </w:pPr>
    <w:rPr>
      <w:rFonts w:ascii="ＭＳ 明朝" w:eastAsia="ＭＳ 明朝" w:hAnsi="ＭＳ 明朝" w:cs="ＭＳ 明朝"/>
    </w:rPr>
  </w:style>
  <w:style w:type="paragraph" w:customStyle="1" w:styleId="enf3">
    <w:name w:val="条（en）"/>
    <w:basedOn w:val="jaf3"/>
    <w:rsid w:val="00EB036E"/>
    <w:rPr>
      <w:rFonts w:ascii="Century" w:eastAsia="Century" w:hAnsi="Century" w:cs="Century"/>
    </w:rPr>
  </w:style>
  <w:style w:type="paragraph" w:customStyle="1" w:styleId="jaf4">
    <w:name w:val="項（ja）"/>
    <w:basedOn w:val="a"/>
    <w:rsid w:val="00EB036E"/>
    <w:pPr>
      <w:widowControl w:val="0"/>
      <w:ind w:left="219" w:hanging="219"/>
    </w:pPr>
    <w:rPr>
      <w:rFonts w:ascii="ＭＳ 明朝" w:eastAsia="ＭＳ 明朝" w:hAnsi="ＭＳ 明朝" w:cs="ＭＳ 明朝"/>
    </w:rPr>
  </w:style>
  <w:style w:type="paragraph" w:customStyle="1" w:styleId="enf4">
    <w:name w:val="項（en）"/>
    <w:basedOn w:val="jaf4"/>
    <w:rsid w:val="00EB036E"/>
    <w:rPr>
      <w:rFonts w:ascii="Century" w:eastAsia="Century" w:hAnsi="Century" w:cs="Century"/>
    </w:rPr>
  </w:style>
  <w:style w:type="paragraph" w:customStyle="1" w:styleId="jaf5">
    <w:name w:val="項　番号なし（ja）"/>
    <w:basedOn w:val="a"/>
    <w:rsid w:val="00EB036E"/>
    <w:pPr>
      <w:widowControl w:val="0"/>
      <w:ind w:firstLine="221"/>
    </w:pPr>
    <w:rPr>
      <w:rFonts w:ascii="ＭＳ 明朝" w:eastAsia="ＭＳ 明朝" w:hAnsi="ＭＳ 明朝" w:cs="ＭＳ 明朝"/>
    </w:rPr>
  </w:style>
  <w:style w:type="paragraph" w:customStyle="1" w:styleId="enf5">
    <w:name w:val="項　番号なし（en）"/>
    <w:basedOn w:val="jaf5"/>
    <w:rsid w:val="00EB036E"/>
    <w:rPr>
      <w:rFonts w:ascii="Century" w:eastAsia="Century" w:hAnsi="Century" w:cs="Century"/>
    </w:rPr>
  </w:style>
  <w:style w:type="paragraph" w:customStyle="1" w:styleId="jaf6">
    <w:name w:val="号（ja）"/>
    <w:basedOn w:val="a"/>
    <w:rsid w:val="00EB036E"/>
    <w:pPr>
      <w:widowControl w:val="0"/>
      <w:ind w:left="439" w:hanging="219"/>
    </w:pPr>
    <w:rPr>
      <w:rFonts w:ascii="ＭＳ 明朝" w:eastAsia="ＭＳ 明朝" w:hAnsi="ＭＳ 明朝" w:cs="ＭＳ 明朝"/>
    </w:rPr>
  </w:style>
  <w:style w:type="paragraph" w:customStyle="1" w:styleId="enf6">
    <w:name w:val="号（en）"/>
    <w:basedOn w:val="jaf6"/>
    <w:rsid w:val="00EB036E"/>
    <w:rPr>
      <w:rFonts w:ascii="Century" w:eastAsia="Century" w:hAnsi="Century" w:cs="Century"/>
    </w:rPr>
  </w:style>
  <w:style w:type="paragraph" w:customStyle="1" w:styleId="jaf7">
    <w:name w:val="号　番号なし（ja）"/>
    <w:basedOn w:val="a"/>
    <w:rsid w:val="00EB036E"/>
    <w:pPr>
      <w:widowControl w:val="0"/>
      <w:ind w:left="221" w:firstLine="221"/>
    </w:pPr>
    <w:rPr>
      <w:rFonts w:ascii="ＭＳ 明朝" w:eastAsia="ＭＳ 明朝" w:hAnsi="ＭＳ 明朝" w:cs="ＭＳ 明朝"/>
    </w:rPr>
  </w:style>
  <w:style w:type="paragraph" w:customStyle="1" w:styleId="enf7">
    <w:name w:val="号　番号なし（en）"/>
    <w:basedOn w:val="jaf7"/>
    <w:rsid w:val="00EB036E"/>
    <w:rPr>
      <w:rFonts w:ascii="Century" w:eastAsia="Century" w:hAnsi="Century" w:cs="Century"/>
    </w:rPr>
  </w:style>
  <w:style w:type="paragraph" w:customStyle="1" w:styleId="jaf8">
    <w:name w:val="備考号（ja）"/>
    <w:basedOn w:val="a"/>
    <w:rsid w:val="00EB036E"/>
    <w:pPr>
      <w:widowControl w:val="0"/>
      <w:ind w:left="659" w:hanging="219"/>
    </w:pPr>
    <w:rPr>
      <w:rFonts w:ascii="ＭＳ 明朝" w:eastAsia="ＭＳ 明朝" w:hAnsi="ＭＳ 明朝" w:cs="ＭＳ 明朝"/>
    </w:rPr>
  </w:style>
  <w:style w:type="paragraph" w:customStyle="1" w:styleId="enf8">
    <w:name w:val="備考号（en）"/>
    <w:basedOn w:val="jaf8"/>
    <w:rsid w:val="00EB036E"/>
    <w:rPr>
      <w:rFonts w:ascii="Century" w:eastAsia="Century" w:hAnsi="Century" w:cs="Century"/>
    </w:rPr>
  </w:style>
  <w:style w:type="paragraph" w:customStyle="1" w:styleId="jaf9">
    <w:name w:val="号細分（ja）"/>
    <w:basedOn w:val="a"/>
    <w:rsid w:val="00EB036E"/>
    <w:pPr>
      <w:widowControl w:val="0"/>
      <w:ind w:left="659" w:hanging="219"/>
    </w:pPr>
    <w:rPr>
      <w:rFonts w:ascii="ＭＳ 明朝" w:eastAsia="ＭＳ 明朝" w:hAnsi="ＭＳ 明朝" w:cs="ＭＳ 明朝"/>
    </w:rPr>
  </w:style>
  <w:style w:type="paragraph" w:customStyle="1" w:styleId="enf9">
    <w:name w:val="号細分（en）"/>
    <w:basedOn w:val="jaf9"/>
    <w:rsid w:val="00EB036E"/>
    <w:rPr>
      <w:rFonts w:ascii="Century" w:eastAsia="Century" w:hAnsi="Century" w:cs="Century"/>
    </w:rPr>
  </w:style>
  <w:style w:type="paragraph" w:customStyle="1" w:styleId="jafa">
    <w:name w:val="号細分　番号なし（ja）"/>
    <w:basedOn w:val="a"/>
    <w:rsid w:val="00EB036E"/>
    <w:pPr>
      <w:widowControl w:val="0"/>
      <w:ind w:left="439"/>
    </w:pPr>
    <w:rPr>
      <w:rFonts w:ascii="ＭＳ 明朝" w:eastAsia="ＭＳ 明朝" w:hAnsi="ＭＳ 明朝" w:cs="ＭＳ 明朝"/>
    </w:rPr>
  </w:style>
  <w:style w:type="paragraph" w:customStyle="1" w:styleId="enfa">
    <w:name w:val="号細分　番号なし（en）"/>
    <w:basedOn w:val="jafa"/>
    <w:rsid w:val="00EB036E"/>
    <w:rPr>
      <w:rFonts w:ascii="Century" w:eastAsia="Century" w:hAnsi="Century" w:cs="Century"/>
    </w:rPr>
  </w:style>
  <w:style w:type="paragraph" w:customStyle="1" w:styleId="jafb">
    <w:name w:val="備考号細分（ja）"/>
    <w:basedOn w:val="a"/>
    <w:rsid w:val="00EB036E"/>
    <w:pPr>
      <w:widowControl w:val="0"/>
      <w:ind w:left="1099" w:hanging="439"/>
    </w:pPr>
    <w:rPr>
      <w:rFonts w:ascii="ＭＳ 明朝" w:eastAsia="ＭＳ 明朝" w:hAnsi="ＭＳ 明朝" w:cs="ＭＳ 明朝"/>
    </w:rPr>
  </w:style>
  <w:style w:type="paragraph" w:customStyle="1" w:styleId="enfb">
    <w:name w:val="備考号細分（en）"/>
    <w:basedOn w:val="jafb"/>
    <w:rsid w:val="00EB036E"/>
    <w:rPr>
      <w:rFonts w:ascii="Century" w:eastAsia="Century" w:hAnsi="Century" w:cs="Century"/>
    </w:rPr>
  </w:style>
  <w:style w:type="paragraph" w:customStyle="1" w:styleId="jafc">
    <w:name w:val="号細細分（ja）"/>
    <w:basedOn w:val="a"/>
    <w:rsid w:val="00EB036E"/>
    <w:pPr>
      <w:widowControl w:val="0"/>
      <w:ind w:left="1099" w:hanging="439"/>
    </w:pPr>
    <w:rPr>
      <w:rFonts w:ascii="ＭＳ 明朝" w:eastAsia="ＭＳ 明朝" w:hAnsi="ＭＳ 明朝" w:cs="ＭＳ 明朝"/>
    </w:rPr>
  </w:style>
  <w:style w:type="paragraph" w:customStyle="1" w:styleId="enfc">
    <w:name w:val="号細細分（en）"/>
    <w:basedOn w:val="jafc"/>
    <w:rsid w:val="00EB036E"/>
    <w:rPr>
      <w:rFonts w:ascii="Century" w:eastAsia="Century" w:hAnsi="Century" w:cs="Century"/>
    </w:rPr>
  </w:style>
  <w:style w:type="paragraph" w:customStyle="1" w:styleId="jafd">
    <w:name w:val="号細細分　番号なし（ja）"/>
    <w:basedOn w:val="a"/>
    <w:rsid w:val="00EB036E"/>
    <w:pPr>
      <w:widowControl w:val="0"/>
      <w:ind w:left="659"/>
    </w:pPr>
    <w:rPr>
      <w:rFonts w:ascii="ＭＳ 明朝" w:eastAsia="ＭＳ 明朝" w:hAnsi="ＭＳ 明朝" w:cs="ＭＳ 明朝"/>
    </w:rPr>
  </w:style>
  <w:style w:type="paragraph" w:customStyle="1" w:styleId="enfd">
    <w:name w:val="号細細分　番号なし（en）"/>
    <w:basedOn w:val="jafd"/>
    <w:rsid w:val="00EB036E"/>
    <w:rPr>
      <w:rFonts w:ascii="Century" w:eastAsia="Century" w:hAnsi="Century" w:cs="Century"/>
    </w:rPr>
  </w:style>
  <w:style w:type="paragraph" w:customStyle="1" w:styleId="jafe">
    <w:name w:val="備考号細細分（ja）"/>
    <w:basedOn w:val="a"/>
    <w:rsid w:val="00EB036E"/>
    <w:pPr>
      <w:widowControl w:val="0"/>
      <w:ind w:left="1319" w:hanging="439"/>
    </w:pPr>
    <w:rPr>
      <w:rFonts w:ascii="ＭＳ 明朝" w:eastAsia="ＭＳ 明朝" w:hAnsi="ＭＳ 明朝" w:cs="ＭＳ 明朝"/>
    </w:rPr>
  </w:style>
  <w:style w:type="paragraph" w:customStyle="1" w:styleId="enfe">
    <w:name w:val="備考号細細分（en）"/>
    <w:basedOn w:val="jafe"/>
    <w:rsid w:val="00EB036E"/>
    <w:rPr>
      <w:rFonts w:ascii="Century" w:eastAsia="Century" w:hAnsi="Century" w:cs="Century"/>
    </w:rPr>
  </w:style>
  <w:style w:type="paragraph" w:customStyle="1" w:styleId="jaff">
    <w:name w:val="号細細細分（ja）"/>
    <w:basedOn w:val="a"/>
    <w:rsid w:val="00EB036E"/>
    <w:pPr>
      <w:widowControl w:val="0"/>
      <w:ind w:left="1319" w:hanging="439"/>
    </w:pPr>
    <w:rPr>
      <w:rFonts w:ascii="ＭＳ 明朝" w:eastAsia="ＭＳ 明朝" w:hAnsi="ＭＳ 明朝" w:cs="ＭＳ 明朝"/>
    </w:rPr>
  </w:style>
  <w:style w:type="paragraph" w:customStyle="1" w:styleId="enff">
    <w:name w:val="号細細細分（en）"/>
    <w:basedOn w:val="jaff"/>
    <w:rsid w:val="00EB036E"/>
    <w:rPr>
      <w:rFonts w:ascii="Century" w:eastAsia="Century" w:hAnsi="Century" w:cs="Century"/>
    </w:rPr>
  </w:style>
  <w:style w:type="paragraph" w:customStyle="1" w:styleId="jaff0">
    <w:name w:val="号細細細分　番号なし（ja）"/>
    <w:basedOn w:val="a"/>
    <w:rsid w:val="00EB036E"/>
    <w:pPr>
      <w:widowControl w:val="0"/>
      <w:ind w:left="879"/>
    </w:pPr>
    <w:rPr>
      <w:rFonts w:ascii="ＭＳ 明朝" w:eastAsia="ＭＳ 明朝" w:hAnsi="ＭＳ 明朝" w:cs="ＭＳ 明朝"/>
    </w:rPr>
  </w:style>
  <w:style w:type="paragraph" w:customStyle="1" w:styleId="enff0">
    <w:name w:val="号細細細分　番号なし（en）"/>
    <w:basedOn w:val="jaff0"/>
    <w:rsid w:val="00EB036E"/>
    <w:rPr>
      <w:rFonts w:ascii="Century" w:eastAsia="Century" w:hAnsi="Century" w:cs="Century"/>
    </w:rPr>
  </w:style>
  <w:style w:type="paragraph" w:customStyle="1" w:styleId="jaff1">
    <w:name w:val="備考号細細細分（ja）"/>
    <w:basedOn w:val="a"/>
    <w:rsid w:val="00EB03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036E"/>
    <w:rPr>
      <w:rFonts w:ascii="Century" w:eastAsia="Century" w:hAnsi="Century" w:cs="Century"/>
    </w:rPr>
  </w:style>
  <w:style w:type="paragraph" w:customStyle="1" w:styleId="jaff2">
    <w:name w:val="類（ja）"/>
    <w:basedOn w:val="a"/>
    <w:rsid w:val="00EB036E"/>
    <w:pPr>
      <w:widowControl w:val="0"/>
      <w:ind w:left="439" w:hanging="219"/>
    </w:pPr>
    <w:rPr>
      <w:rFonts w:ascii="ＭＳ 明朝" w:eastAsia="ＭＳ 明朝" w:hAnsi="ＭＳ 明朝" w:cs="ＭＳ 明朝"/>
    </w:rPr>
  </w:style>
  <w:style w:type="paragraph" w:customStyle="1" w:styleId="enff2">
    <w:name w:val="類（en）"/>
    <w:basedOn w:val="jaff2"/>
    <w:rsid w:val="00EB036E"/>
    <w:rPr>
      <w:rFonts w:ascii="Century" w:eastAsia="Century" w:hAnsi="Century" w:cs="Century"/>
    </w:rPr>
  </w:style>
  <w:style w:type="paragraph" w:customStyle="1" w:styleId="jaff3">
    <w:name w:val="公布文（ja）"/>
    <w:basedOn w:val="a"/>
    <w:rsid w:val="00EB036E"/>
    <w:pPr>
      <w:widowControl w:val="0"/>
      <w:ind w:firstLine="219"/>
    </w:pPr>
    <w:rPr>
      <w:rFonts w:ascii="ＭＳ 明朝" w:eastAsia="ＭＳ 明朝" w:hAnsi="ＭＳ 明朝" w:cs="ＭＳ 明朝"/>
    </w:rPr>
  </w:style>
  <w:style w:type="paragraph" w:customStyle="1" w:styleId="enff3">
    <w:name w:val="公布文（en）"/>
    <w:basedOn w:val="jaff3"/>
    <w:rsid w:val="00EB036E"/>
    <w:rPr>
      <w:rFonts w:ascii="Century" w:eastAsia="Century" w:hAnsi="Century" w:cs="Century"/>
    </w:rPr>
  </w:style>
  <w:style w:type="paragraph" w:customStyle="1" w:styleId="jaen">
    <w:name w:val="表（ja：en）"/>
    <w:basedOn w:val="a"/>
    <w:rsid w:val="00EB036E"/>
    <w:pPr>
      <w:widowControl w:val="0"/>
      <w:snapToGrid w:val="0"/>
    </w:pPr>
    <w:rPr>
      <w:rFonts w:ascii="Century" w:eastAsia="ＭＳ 明朝" w:hAnsi="Century"/>
    </w:rPr>
  </w:style>
  <w:style w:type="paragraph" w:customStyle="1" w:styleId="jaff4">
    <w:name w:val="備考（ja）"/>
    <w:basedOn w:val="a"/>
    <w:rsid w:val="00EB036E"/>
    <w:pPr>
      <w:widowControl w:val="0"/>
      <w:ind w:left="439" w:hanging="219"/>
    </w:pPr>
    <w:rPr>
      <w:rFonts w:ascii="ＭＳ 明朝" w:eastAsia="ＭＳ 明朝" w:hAnsi="ＭＳ 明朝" w:cs="ＭＳ 明朝"/>
    </w:rPr>
  </w:style>
  <w:style w:type="paragraph" w:customStyle="1" w:styleId="enff4">
    <w:name w:val="備考（en）"/>
    <w:basedOn w:val="jaff4"/>
    <w:rsid w:val="00EB036E"/>
    <w:rPr>
      <w:rFonts w:ascii="Century" w:eastAsia="Century" w:hAnsi="Century" w:cs="Century"/>
    </w:rPr>
  </w:style>
  <w:style w:type="paragraph" w:customStyle="1" w:styleId="jaff5">
    <w:name w:val="表タイトル（ja）"/>
    <w:basedOn w:val="a"/>
    <w:rsid w:val="00EB036E"/>
    <w:pPr>
      <w:widowControl w:val="0"/>
      <w:ind w:left="219"/>
    </w:pPr>
    <w:rPr>
      <w:rFonts w:ascii="ＭＳ 明朝" w:eastAsia="ＭＳ 明朝" w:hAnsi="ＭＳ 明朝" w:cs="ＭＳ 明朝"/>
    </w:rPr>
  </w:style>
  <w:style w:type="paragraph" w:customStyle="1" w:styleId="enff5">
    <w:name w:val="表タイトル（en）"/>
    <w:basedOn w:val="jaff5"/>
    <w:rsid w:val="00EB036E"/>
    <w:rPr>
      <w:rFonts w:ascii="Century" w:eastAsia="Century" w:hAnsi="Century" w:cs="Century"/>
    </w:rPr>
  </w:style>
  <w:style w:type="paragraph" w:customStyle="1" w:styleId="jaff6">
    <w:name w:val="改正規定文（ja）"/>
    <w:basedOn w:val="a"/>
    <w:rsid w:val="00EB036E"/>
    <w:pPr>
      <w:widowControl w:val="0"/>
      <w:ind w:left="219" w:firstLine="219"/>
    </w:pPr>
    <w:rPr>
      <w:rFonts w:ascii="ＭＳ 明朝" w:eastAsia="ＭＳ 明朝" w:hAnsi="ＭＳ 明朝" w:cs="ＭＳ 明朝"/>
    </w:rPr>
  </w:style>
  <w:style w:type="paragraph" w:customStyle="1" w:styleId="enff6">
    <w:name w:val="改正規定文（en）"/>
    <w:basedOn w:val="jaff6"/>
    <w:rsid w:val="00EB036E"/>
    <w:rPr>
      <w:rFonts w:ascii="Century" w:eastAsia="Century" w:hAnsi="Century" w:cs="Century"/>
    </w:rPr>
  </w:style>
  <w:style w:type="paragraph" w:customStyle="1" w:styleId="jaff7">
    <w:name w:val="付記（ja）"/>
    <w:basedOn w:val="a"/>
    <w:rsid w:val="00EB036E"/>
    <w:pPr>
      <w:widowControl w:val="0"/>
      <w:ind w:left="219" w:firstLine="219"/>
    </w:pPr>
    <w:rPr>
      <w:rFonts w:ascii="ＭＳ 明朝" w:eastAsia="ＭＳ 明朝" w:hAnsi="ＭＳ 明朝" w:cs="ＭＳ 明朝"/>
    </w:rPr>
  </w:style>
  <w:style w:type="paragraph" w:customStyle="1" w:styleId="enff7">
    <w:name w:val="付記（en）"/>
    <w:basedOn w:val="jaff7"/>
    <w:rsid w:val="00EB036E"/>
    <w:rPr>
      <w:rFonts w:ascii="Century" w:eastAsia="Century" w:hAnsi="Century" w:cs="Century"/>
    </w:rPr>
  </w:style>
  <w:style w:type="paragraph" w:customStyle="1" w:styleId="jaff8">
    <w:name w:val="様式名（ja）"/>
    <w:basedOn w:val="a"/>
    <w:rsid w:val="00EB036E"/>
    <w:pPr>
      <w:widowControl w:val="0"/>
      <w:ind w:left="439" w:hanging="219"/>
    </w:pPr>
    <w:rPr>
      <w:rFonts w:ascii="ＭＳ 明朝" w:eastAsia="ＭＳ 明朝" w:hAnsi="ＭＳ 明朝" w:cs="ＭＳ 明朝"/>
    </w:rPr>
  </w:style>
  <w:style w:type="paragraph" w:customStyle="1" w:styleId="enff8">
    <w:name w:val="様式名（en）"/>
    <w:basedOn w:val="jaff8"/>
    <w:rsid w:val="00EB036E"/>
    <w:rPr>
      <w:rFonts w:ascii="Century" w:eastAsia="Century" w:hAnsi="Century" w:cs="Century"/>
    </w:rPr>
  </w:style>
  <w:style w:type="paragraph" w:customStyle="1" w:styleId="jaff9">
    <w:name w:val="様式項目（ja）"/>
    <w:basedOn w:val="a"/>
    <w:rsid w:val="00EB036E"/>
    <w:pPr>
      <w:widowControl w:val="0"/>
      <w:ind w:left="221" w:firstLine="221"/>
    </w:pPr>
    <w:rPr>
      <w:rFonts w:ascii="ＭＳ 明朝" w:eastAsia="ＭＳ 明朝" w:hAnsi="ＭＳ 明朝" w:cs="ＭＳ 明朝"/>
    </w:rPr>
  </w:style>
  <w:style w:type="paragraph" w:customStyle="1" w:styleId="enff9">
    <w:name w:val="様式項目（en）"/>
    <w:basedOn w:val="jaff9"/>
    <w:rsid w:val="00EB036E"/>
    <w:rPr>
      <w:rFonts w:ascii="Century" w:eastAsia="Century" w:hAnsi="Century" w:cs="Century"/>
    </w:rPr>
  </w:style>
  <w:style w:type="table" w:customStyle="1" w:styleId="1">
    <w:name w:val="表1"/>
    <w:rsid w:val="00EB036E"/>
    <w:tblPr>
      <w:tblInd w:w="340" w:type="dxa"/>
      <w:tblCellMar>
        <w:top w:w="0" w:type="dxa"/>
        <w:left w:w="0" w:type="dxa"/>
        <w:bottom w:w="0" w:type="dxa"/>
        <w:right w:w="0" w:type="dxa"/>
      </w:tblCellMar>
    </w:tblPr>
  </w:style>
  <w:style w:type="numbering" w:customStyle="1" w:styleId="WW8Num1">
    <w:name w:val="WW8Num1"/>
    <w:rsid w:val="00EB036E"/>
    <w:pPr>
      <w:numPr>
        <w:numId w:val="2"/>
      </w:numPr>
    </w:pPr>
  </w:style>
  <w:style w:type="numbering" w:customStyle="1" w:styleId="WW8Num2">
    <w:name w:val="WW8Num2"/>
    <w:rsid w:val="00EB036E"/>
    <w:pPr>
      <w:numPr>
        <w:numId w:val="3"/>
      </w:numPr>
    </w:pPr>
  </w:style>
  <w:style w:type="numbering" w:customStyle="1" w:styleId="WW8Num3">
    <w:name w:val="WW8Num3"/>
    <w:rsid w:val="00EB036E"/>
    <w:pPr>
      <w:numPr>
        <w:numId w:val="4"/>
      </w:numPr>
    </w:pPr>
  </w:style>
  <w:style w:type="numbering" w:customStyle="1" w:styleId="WW8Num4">
    <w:name w:val="WW8Num4"/>
    <w:rsid w:val="00EB036E"/>
    <w:pPr>
      <w:numPr>
        <w:numId w:val="5"/>
      </w:numPr>
    </w:pPr>
  </w:style>
  <w:style w:type="numbering" w:customStyle="1" w:styleId="WW8Num5">
    <w:name w:val="WW8Num5"/>
    <w:rsid w:val="00EB036E"/>
    <w:pPr>
      <w:numPr>
        <w:numId w:val="6"/>
      </w:numPr>
    </w:pPr>
  </w:style>
  <w:style w:type="numbering" w:customStyle="1" w:styleId="WW8Num6">
    <w:name w:val="WW8Num6"/>
    <w:rsid w:val="00EB036E"/>
    <w:pPr>
      <w:numPr>
        <w:numId w:val="7"/>
      </w:numPr>
    </w:pPr>
  </w:style>
  <w:style w:type="numbering" w:customStyle="1" w:styleId="WW8Num7">
    <w:name w:val="WW8Num7"/>
    <w:rsid w:val="00EB036E"/>
    <w:pPr>
      <w:numPr>
        <w:numId w:val="8"/>
      </w:numPr>
    </w:pPr>
  </w:style>
  <w:style w:type="numbering" w:customStyle="1" w:styleId="WW8Num8">
    <w:name w:val="WW8Num8"/>
    <w:rsid w:val="00EB036E"/>
    <w:pPr>
      <w:numPr>
        <w:numId w:val="9"/>
      </w:numPr>
    </w:pPr>
  </w:style>
  <w:style w:type="numbering" w:customStyle="1" w:styleId="WW8Num9">
    <w:name w:val="WW8Num9"/>
    <w:rsid w:val="00EB036E"/>
    <w:pPr>
      <w:numPr>
        <w:numId w:val="10"/>
      </w:numPr>
    </w:pPr>
  </w:style>
  <w:style w:type="numbering" w:customStyle="1" w:styleId="WW8Num10">
    <w:name w:val="WW8Num10"/>
    <w:rsid w:val="00EB036E"/>
    <w:pPr>
      <w:numPr>
        <w:numId w:val="11"/>
      </w:numPr>
    </w:pPr>
  </w:style>
  <w:style w:type="numbering" w:customStyle="1" w:styleId="WW8Num11">
    <w:name w:val="WW8Num11"/>
    <w:rsid w:val="00EB036E"/>
    <w:pPr>
      <w:numPr>
        <w:numId w:val="12"/>
      </w:numPr>
    </w:pPr>
  </w:style>
  <w:style w:type="numbering" w:customStyle="1" w:styleId="WW8Num12">
    <w:name w:val="WW8Num12"/>
    <w:rsid w:val="00EB036E"/>
    <w:pPr>
      <w:numPr>
        <w:numId w:val="13"/>
      </w:numPr>
    </w:pPr>
  </w:style>
  <w:style w:type="paragraph" w:styleId="a4">
    <w:name w:val="header"/>
    <w:basedOn w:val="a"/>
    <w:link w:val="a5"/>
    <w:uiPriority w:val="99"/>
    <w:unhideWhenUsed/>
    <w:rsid w:val="00D605AA"/>
    <w:pPr>
      <w:tabs>
        <w:tab w:val="center" w:pos="4252"/>
        <w:tab w:val="right" w:pos="8504"/>
      </w:tabs>
      <w:snapToGrid w:val="0"/>
    </w:pPr>
  </w:style>
  <w:style w:type="character" w:customStyle="1" w:styleId="a5">
    <w:name w:val="ヘッダー (文字)"/>
    <w:basedOn w:val="a0"/>
    <w:link w:val="a4"/>
    <w:uiPriority w:val="99"/>
    <w:rsid w:val="00D605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