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69BA" w:rsidRDefault="00E23D9B">
      <w:pPr>
        <w:pStyle w:val="en"/>
      </w:pPr>
      <w:r>
        <w:t>Cabinet Office Ordinance on the System for Ensuring the Adequacy of Documents on Financial Calculation and of Other Information</w:t>
      </w:r>
    </w:p>
    <w:p w:rsidR="009969BA" w:rsidRDefault="009969BA"/>
    <w:p w:rsidR="009969BA" w:rsidRDefault="00E23D9B">
      <w:pPr>
        <w:pStyle w:val="enf"/>
      </w:pPr>
      <w:r>
        <w:t>(Cabinet Office Ordinance No. 62 of August 10, 2007)</w:t>
      </w:r>
    </w:p>
    <w:p w:rsidR="009969BA" w:rsidRDefault="009969BA"/>
    <w:p w:rsidR="009969BA" w:rsidRDefault="00E23D9B">
      <w:pPr>
        <w:pStyle w:val="ene"/>
      </w:pPr>
      <w:r>
        <w:t xml:space="preserve">Pursuant to the provisions of Article 24-4-4 of the Financial </w:t>
      </w:r>
      <w:r>
        <w:t>Instruments and Exchange Act (Act No. 25 of 1948) (including cases where applied mutatis mutandis pursuant to Article 27 of that Act) and Article 193-2 of that Act, and for the purpose of enforcing that Act, the Cabinet Office Ordinance on the System for E</w:t>
      </w:r>
      <w:r>
        <w:t>nsuring the Adequacy of Documents on Financial Calculation and of Other Information shall be enacted as follows.</w:t>
      </w:r>
    </w:p>
    <w:p w:rsidR="009969BA" w:rsidRDefault="009969BA"/>
    <w:p w:rsidR="009969BA" w:rsidRDefault="00E23D9B">
      <w:pPr>
        <w:pStyle w:val="en5"/>
      </w:pPr>
      <w:r>
        <w:t>Chapter I General Provisions (Articles 1 to 3-2)</w:t>
      </w:r>
    </w:p>
    <w:p w:rsidR="009969BA" w:rsidRDefault="00E23D9B">
      <w:pPr>
        <w:pStyle w:val="en5"/>
      </w:pPr>
      <w:r>
        <w:t>Chapter II Evaluation of Internal Controls over Financial Reports (Articles 4 and 5)</w:t>
      </w:r>
    </w:p>
    <w:p w:rsidR="009969BA" w:rsidRDefault="00E23D9B">
      <w:pPr>
        <w:pStyle w:val="en5"/>
      </w:pPr>
      <w:r>
        <w:t xml:space="preserve">Chapter </w:t>
      </w:r>
      <w:r>
        <w:t>III The Auditing of Internal Controls over Financial Reports (Articles 6 to 11)</w:t>
      </w:r>
    </w:p>
    <w:p w:rsidR="009969BA" w:rsidRDefault="00E23D9B">
      <w:pPr>
        <w:pStyle w:val="en5"/>
      </w:pPr>
      <w:r>
        <w:t>Chapter IV Internal Controls over the Financial Reports of a Foreign Company (Articles 12 to 17)</w:t>
      </w:r>
    </w:p>
    <w:p w:rsidR="009969BA" w:rsidRDefault="00E23D9B">
      <w:pPr>
        <w:pStyle w:val="en5"/>
      </w:pPr>
      <w:r>
        <w:t>Chapter V Miscellaneous Provisions (Articles 18 to 21)</w:t>
      </w:r>
    </w:p>
    <w:p w:rsidR="009969BA" w:rsidRDefault="00E23D9B">
      <w:pPr>
        <w:pStyle w:val="enc"/>
      </w:pPr>
      <w:r>
        <w:t>Supplementary Provisions</w:t>
      </w:r>
    </w:p>
    <w:p w:rsidR="009969BA" w:rsidRDefault="009969BA"/>
    <w:p w:rsidR="009969BA" w:rsidRDefault="00E23D9B">
      <w:pPr>
        <w:pStyle w:val="en3"/>
      </w:pPr>
      <w:r>
        <w:t>Chapter I General Provisions</w:t>
      </w:r>
    </w:p>
    <w:p w:rsidR="009969BA" w:rsidRDefault="009969BA"/>
    <w:p w:rsidR="009969BA" w:rsidRDefault="00E23D9B">
      <w:pPr>
        <w:pStyle w:val="ena"/>
      </w:pPr>
      <w:r>
        <w:t>(General Principles of Application)</w:t>
      </w:r>
    </w:p>
    <w:p w:rsidR="009969BA" w:rsidRDefault="00E23D9B">
      <w:pPr>
        <w:pStyle w:val="enf3"/>
      </w:pPr>
      <w:r>
        <w:t>Article 1  (1) The terminology, forms and preparation method for the internal control report to be submitted pursuant to the provisions of Article 24-4-4 of the Financial Instruments and E</w:t>
      </w:r>
      <w:r>
        <w:t>xchange Act (hereinafter referred to as the "Act") (including cases where applied mutatis mutandis pursuant to Article 27 of the Act; the same shall apply hereinafter) shall be governed by the provisions of this Ordinance, and matters that are not specifie</w:t>
      </w:r>
      <w:r>
        <w:t>d by this Ordinance shall be governed by criteria for evaluation concerning Internal Controls over Financial Reports that are generally accepted as fair and appropriate.</w:t>
      </w:r>
    </w:p>
    <w:p w:rsidR="009969BA" w:rsidRDefault="00E23D9B">
      <w:pPr>
        <w:pStyle w:val="enf4"/>
      </w:pPr>
      <w:r>
        <w:t>(2) The audit certification for an internal control report under Article 193-2, paragr</w:t>
      </w:r>
      <w:r>
        <w:t xml:space="preserve">aph (2) of the Act shall be made by an Internal Control Audit report prepared by a certified public accountant (including a foreign certificated public accountant as described in Article 16-2, paragraph (5) of the Certified Public Accountants Act (Act No. </w:t>
      </w:r>
      <w:r>
        <w:t xml:space="preserve">103 of 1948); the same shall apply hereinafter) </w:t>
      </w:r>
      <w:r>
        <w:lastRenderedPageBreak/>
        <w:t>or an auditing firm who has audited the internal control report.</w:t>
      </w:r>
    </w:p>
    <w:p w:rsidR="009969BA" w:rsidRDefault="00E23D9B">
      <w:pPr>
        <w:pStyle w:val="enf4"/>
      </w:pPr>
      <w:r>
        <w:t>(3) The Internal Control Audit report set forth in the preceding paragraph shall be prepared based on the results of the audit that has been co</w:t>
      </w:r>
      <w:r>
        <w:t>nducted in accordance with the criteria and the practices concerning Internal Controls over Financial Reports that are generally accepted as fair and appropriate, in addition to what is provided in this Cabinet Office Ordinance.</w:t>
      </w:r>
    </w:p>
    <w:p w:rsidR="009969BA" w:rsidRDefault="00E23D9B">
      <w:pPr>
        <w:pStyle w:val="enf4"/>
      </w:pPr>
      <w:r>
        <w:t>(4) The criteria for the ev</w:t>
      </w:r>
      <w:r>
        <w:t>aluation and auditing of Internal Controls over Financial Reports, as made public by the Business Accounting Council as prescribed in Article 24(1) of the Cabinet Order for Organization of the Financial Services Agency (Cabinet Order No. 392 of 1998), shal</w:t>
      </w:r>
      <w:r>
        <w:t>l fall under the criteria for evaluation of Internal Controls over Financial Reports that are generally accepted as fair and appropriate as referred to in paragraph (1) and under the criteria for the auditing of Internal Controls over Financial Reports tha</w:t>
      </w:r>
      <w:r>
        <w:t>t are generally accepted as fair and appropriate as referred to in the preceding paragraph.</w:t>
      </w:r>
    </w:p>
    <w:p w:rsidR="009969BA" w:rsidRDefault="009969BA"/>
    <w:p w:rsidR="009969BA" w:rsidRDefault="00E23D9B">
      <w:pPr>
        <w:pStyle w:val="ena"/>
      </w:pPr>
      <w:r>
        <w:t>(Definitions)</w:t>
      </w:r>
    </w:p>
    <w:p w:rsidR="009969BA" w:rsidRDefault="00E23D9B">
      <w:pPr>
        <w:pStyle w:val="enf3"/>
      </w:pPr>
      <w:r>
        <w:t>Article 2  In this Cabinet Office Ordinance, the meanings of the terms listed in the following items shall be as prescribed respectively in those ite</w:t>
      </w:r>
      <w:r>
        <w:t>ms:</w:t>
      </w:r>
    </w:p>
    <w:p w:rsidR="009969BA" w:rsidRDefault="00E23D9B">
      <w:pPr>
        <w:pStyle w:val="enf6"/>
      </w:pPr>
      <w:r>
        <w:t>(i) Financial Reports: external reports on matters which concern a disclosure that has a material influence on financial statements (including Consolidated Financial Statements (meaning consolidated financial statements prescribed in Article 1, item (x</w:t>
      </w:r>
      <w:r>
        <w:t>xi) of the Cabinet Office Ordinance on Disclosure of Corporate Information, etc. (Ordinance of the Ministry of Finance No. 5 of 1973; hereinafter referred to as the "Cabinet Office Ordinance on Disclosure"); the same shall apply in Article 5, paragraph (3)</w:t>
      </w:r>
      <w:r>
        <w:t>); hereinafter the same shall apply in this item) and their reliability;</w:t>
      </w:r>
    </w:p>
    <w:p w:rsidR="009969BA" w:rsidRDefault="00E23D9B">
      <w:pPr>
        <w:pStyle w:val="enf6"/>
      </w:pPr>
      <w:r>
        <w:t>(ii) Internal Controls over Financial Reports: the system for properly preparing the Financial Reports of a company according to laws and regulations, etc.;</w:t>
      </w:r>
    </w:p>
    <w:p w:rsidR="009969BA" w:rsidRDefault="00E23D9B">
      <w:pPr>
        <w:pStyle w:val="enf6"/>
      </w:pPr>
      <w:r>
        <w:t>(iii) Company Submitting a</w:t>
      </w:r>
      <w:r>
        <w:t>n Internal Control Report: a company that is required to submit an internal control report together with an annual securities report under Article 24-4-4, paragraph (1) of the Act (including a Designated Juridical Person specified in Article 1, paragraph (</w:t>
      </w:r>
      <w:r>
        <w:t>1) of the Ordinance on Terminology, Forms and Preparation Method of Financial Statements (Ordinance of the Ministry of Finance No. 59 of 1963); hereinafter referred to as a "Designated Juridical Person" in this Article), or a company which submits an inter</w:t>
      </w:r>
      <w:r>
        <w:t>nal control report together with an annual securities report pursuant to Article 24-4-4, paragraph (2) of the Act (including a Designated Juridical Person):</w:t>
      </w:r>
    </w:p>
    <w:p w:rsidR="009969BA" w:rsidRDefault="00E23D9B">
      <w:pPr>
        <w:pStyle w:val="enf6"/>
      </w:pPr>
      <w:r>
        <w:t>(iii)-2 Foreign Company Internal Control Report: the Foreign Company Internal Control Report provid</w:t>
      </w:r>
      <w:r>
        <w:t xml:space="preserve">ed for in Article 24, paragraph (8) of the Act, </w:t>
      </w:r>
      <w:r>
        <w:lastRenderedPageBreak/>
        <w:t>as applied mutatis mutandis pursuant to Article 24-4-4, paragraph (6) of the Act (including cases where applied mutatis mutandis pursuant to Article 27 of the Act; the same shall apply hereinafter);</w:t>
      </w:r>
    </w:p>
    <w:p w:rsidR="009969BA" w:rsidRDefault="00E23D9B">
      <w:pPr>
        <w:pStyle w:val="enf6"/>
      </w:pPr>
      <w:r>
        <w:t xml:space="preserve">(iv) </w:t>
      </w:r>
      <w:r>
        <w:t>Domestic Company: a Domestic Company as specified in Article 1, item (xx)-3 of the Cabinet Office Ordinance on Disclosure;</w:t>
      </w:r>
    </w:p>
    <w:p w:rsidR="009969BA" w:rsidRDefault="00E23D9B">
      <w:pPr>
        <w:pStyle w:val="enf6"/>
      </w:pPr>
      <w:r>
        <w:t>(v) Foreign Company: a Foreign Company as specified in Article 1, item (xx)-4 of the Cabinet Office Ordinance on Disclosure;</w:t>
      </w:r>
    </w:p>
    <w:p w:rsidR="009969BA" w:rsidRDefault="00E23D9B">
      <w:pPr>
        <w:pStyle w:val="enf6"/>
      </w:pPr>
      <w:r>
        <w:t>(vi) Con</w:t>
      </w:r>
      <w:r>
        <w:t>solidated Subsidiary Company: a Consolidated Subsidiary Company as specified in Article 2, item (iv) of the Ordinance on Terminology, Forms, and Preparation Method of Consolidated Financial Statements (Ordinance of the Ministry of Finance No. 28 of 1976; h</w:t>
      </w:r>
      <w:r>
        <w:t>ereinafter referred to as "Ordinance on Consolidated Financial Statements");</w:t>
      </w:r>
    </w:p>
    <w:p w:rsidR="009969BA" w:rsidRDefault="00E23D9B">
      <w:pPr>
        <w:pStyle w:val="enf6"/>
      </w:pPr>
      <w:r>
        <w:t>(vii) Financial Statement Audit: the audit certification implemented by a certified public accountant or auditing firm pursuant to Article 193-2, paragraph (1) of the Act;</w:t>
      </w:r>
    </w:p>
    <w:p w:rsidR="009969BA" w:rsidRDefault="00E23D9B">
      <w:pPr>
        <w:pStyle w:val="enf6"/>
      </w:pPr>
      <w:r>
        <w:t xml:space="preserve">(viii) </w:t>
      </w:r>
      <w:r>
        <w:t>Internal Control Audit: the audit certification implemented by a certified public accountant or auditing firm pursuant to Article 193-2, paragraph (2) of the Act;</w:t>
      </w:r>
    </w:p>
    <w:p w:rsidR="009969BA" w:rsidRDefault="00E23D9B">
      <w:pPr>
        <w:pStyle w:val="enf6"/>
      </w:pPr>
      <w:r>
        <w:t>(ix) Company Submitting Consolidated Financial Statements: the Company Submitting Consolidate</w:t>
      </w:r>
      <w:r>
        <w:t>d Financial Statements specified in Article 2, item (i) of the Ordinance on Consolidated Financial Statements; and</w:t>
      </w:r>
    </w:p>
    <w:p w:rsidR="009969BA" w:rsidRDefault="00E23D9B">
      <w:pPr>
        <w:pStyle w:val="enf6"/>
      </w:pPr>
      <w:r>
        <w:t>(x) Material Defect: an inadequacy in the Internal Controls over Financial Reports which is highly likely to have a material effect on the Fi</w:t>
      </w:r>
      <w:r>
        <w:t>nancial Reports.</w:t>
      </w:r>
    </w:p>
    <w:p w:rsidR="009969BA" w:rsidRDefault="009969BA"/>
    <w:p w:rsidR="009969BA" w:rsidRDefault="00E23D9B">
      <w:pPr>
        <w:pStyle w:val="ena"/>
      </w:pPr>
      <w:r>
        <w:t>(System for Ensuring the Adequacy of Documents on Financial Calculation and of Other Information)</w:t>
      </w:r>
    </w:p>
    <w:p w:rsidR="009969BA" w:rsidRDefault="00E23D9B">
      <w:pPr>
        <w:pStyle w:val="enf3"/>
      </w:pPr>
      <w:r>
        <w:t>Article 3  The system specified by a Cabinet Office Ordinance as necessary for ensuring the adequacy of documents on financial calculation a</w:t>
      </w:r>
      <w:r>
        <w:t>nd of other information concerning the corporate group to which the company belongs and concerning the company itself as provided for in Article 24-4-4, paragraph (1) shall mean the system for preparing the Financial Reports of the company adequately accor</w:t>
      </w:r>
      <w:r>
        <w:t>ding to laws and regulations, etc.</w:t>
      </w:r>
    </w:p>
    <w:p w:rsidR="009969BA" w:rsidRDefault="009969BA"/>
    <w:p w:rsidR="009969BA" w:rsidRDefault="00E23D9B">
      <w:pPr>
        <w:pStyle w:val="ena"/>
      </w:pPr>
      <w:r>
        <w:t>(Agent for a Foreign Company)</w:t>
      </w:r>
    </w:p>
    <w:p w:rsidR="009969BA" w:rsidRDefault="00E23D9B">
      <w:pPr>
        <w:pStyle w:val="enf3"/>
      </w:pPr>
      <w:r>
        <w:t xml:space="preserve">Article 3-2  When a Foreign Company submits an internal control report as set forth in Article 24-4-4, paragraph (1) or a Foreign Company Internal Control Report as set forth in Article 24, </w:t>
      </w:r>
      <w:r>
        <w:t>paragraph (8) as applied mutatis mutandis pursuant to Article 24-4-4, paragraph (6), or documents pertaining to amendments thereof, it shall establish a person domiciled in Japan as an agent with the authority to represent the company in performing any and</w:t>
      </w:r>
      <w:r>
        <w:t xml:space="preserve"> all acts concerning the submission of these documents.</w:t>
      </w:r>
    </w:p>
    <w:p w:rsidR="009969BA" w:rsidRDefault="009969BA"/>
    <w:p w:rsidR="009969BA" w:rsidRDefault="00E23D9B">
      <w:pPr>
        <w:pStyle w:val="en3"/>
      </w:pPr>
      <w:r>
        <w:t>Chapter II Evaluation of Internal Controls over Financial Reports</w:t>
      </w:r>
    </w:p>
    <w:p w:rsidR="009969BA" w:rsidRDefault="009969BA"/>
    <w:p w:rsidR="009969BA" w:rsidRDefault="00E23D9B">
      <w:pPr>
        <w:pStyle w:val="ena"/>
      </w:pPr>
      <w:r>
        <w:t>(Matters to be Stated in the Internal Control Report)</w:t>
      </w:r>
    </w:p>
    <w:p w:rsidR="009969BA" w:rsidRDefault="00E23D9B">
      <w:pPr>
        <w:pStyle w:val="enf3"/>
      </w:pPr>
      <w:r>
        <w:t>Article 4  (1) A Company Submitting an Internal Control Report shall prepare t</w:t>
      </w:r>
      <w:r>
        <w:t>he internal control report in triplicate using the form specified by each of the following items for the category set forth in the relevant item, and shall submit it together with the annual securities report as set forth in Article 24, paragraph (1) of th</w:t>
      </w:r>
      <w:r>
        <w:t>e Act to the Director-General of a Local Finance Bureau or the Director-General of the Fukuoka Local Finance Branch Bureau (referred to as the "Director-General of a Local Finance Bureau, etc." in Article 10):</w:t>
      </w:r>
    </w:p>
    <w:p w:rsidR="009969BA" w:rsidRDefault="00E23D9B">
      <w:pPr>
        <w:pStyle w:val="enf6"/>
      </w:pPr>
      <w:r>
        <w:t>(i) Domestic Company: Form No.1</w:t>
      </w:r>
    </w:p>
    <w:p w:rsidR="009969BA" w:rsidRDefault="00E23D9B">
      <w:pPr>
        <w:pStyle w:val="enf6"/>
      </w:pPr>
      <w:r>
        <w:t>(ii) Foreign C</w:t>
      </w:r>
      <w:r>
        <w:t>ompany: Form No.2.</w:t>
      </w:r>
    </w:p>
    <w:p w:rsidR="009969BA" w:rsidRDefault="00E23D9B">
      <w:pPr>
        <w:pStyle w:val="enf4"/>
      </w:pPr>
      <w:r>
        <w:t>(2) The internal control report submitted by a Foreign Company shall have attached the following documents. If the documents are not written in Japanese, a translation thereof shall be attached.</w:t>
      </w:r>
    </w:p>
    <w:p w:rsidR="009969BA" w:rsidRDefault="00E23D9B">
      <w:pPr>
        <w:pStyle w:val="enf6"/>
      </w:pPr>
      <w:r>
        <w:t>(i) documents proving that the representat</w:t>
      </w:r>
      <w:r>
        <w:t>ive written in the internal control report has the proper authority concerning submission of said internal control report; and</w:t>
      </w:r>
    </w:p>
    <w:p w:rsidR="009969BA" w:rsidRDefault="00E23D9B">
      <w:pPr>
        <w:pStyle w:val="enf6"/>
      </w:pPr>
      <w:r>
        <w:t xml:space="preserve">(ii) documents proving that said Foreign Company has granted a person domiciled in Japan the authority to represent said Foreign </w:t>
      </w:r>
      <w:r>
        <w:t>Company with regard to any and all acts concerning submission of said internal control report.</w:t>
      </w:r>
    </w:p>
    <w:p w:rsidR="009969BA" w:rsidRDefault="009969BA"/>
    <w:p w:rsidR="009969BA" w:rsidRDefault="00E23D9B">
      <w:pPr>
        <w:pStyle w:val="ena"/>
      </w:pPr>
      <w:r>
        <w:t>(Reference Date)</w:t>
      </w:r>
    </w:p>
    <w:p w:rsidR="009969BA" w:rsidRDefault="00E23D9B">
      <w:pPr>
        <w:pStyle w:val="enf3"/>
      </w:pPr>
      <w:r>
        <w:t xml:space="preserve">Article 5  (1) The Company Submitting an Internal Control Report shall prepare the internal control report with the last day of said company's </w:t>
      </w:r>
      <w:r>
        <w:t>business year as the Reference Date.</w:t>
      </w:r>
    </w:p>
    <w:p w:rsidR="009969BA" w:rsidRDefault="00E23D9B">
      <w:pPr>
        <w:pStyle w:val="enf4"/>
      </w:pPr>
      <w:r>
        <w:t>(2) In cases where the Reference Date is changed because of a change in account closing day or on any other grounds, a statement to that effect and the reason for the change shall be stated in the internal control repor</w:t>
      </w:r>
      <w:r>
        <w:t>t.</w:t>
      </w:r>
    </w:p>
    <w:p w:rsidR="009969BA" w:rsidRDefault="00E23D9B">
      <w:pPr>
        <w:pStyle w:val="enf4"/>
      </w:pPr>
      <w:r>
        <w:t>(3) With regard to a Consolidated Subsidiary Company whose last day of the business year differs from the Consolidated Account Closing Day (hereinafter referred to as the "Consolidated Account Closing Day" in this paragraph) of the Company Submitting an</w:t>
      </w:r>
      <w:r>
        <w:t xml:space="preserve"> Internal Control Report, in cases where the Consolidated Financial Statements of the Company Submitting an Internal Control Report are prepared based on the financial statements concerning said Consolidated Subsidiary Company's said business year, except </w:t>
      </w:r>
      <w:r>
        <w:t>when a material alteration is made to the internal control concerning the internal control report of said Consolidated Subsidiary Company during the period from the day following the last day of said Consolidated Subsidiary Company's said business year unt</w:t>
      </w:r>
      <w:r>
        <w:t>il the Consolidated Account Closing Day for said Consolidated Financial Statements, the evaluation of Internal Controls over Financial Reports of said Consolidated Subsidiary Company may be conducted based on the evaluation of Internal Controls over Financ</w:t>
      </w:r>
      <w:r>
        <w:t>ial Reports of said Consolidated Subsidiary Company on the last day of said Consolidated Subsidiary Company's said business year.</w:t>
      </w:r>
    </w:p>
    <w:p w:rsidR="009969BA" w:rsidRDefault="009969BA"/>
    <w:p w:rsidR="009969BA" w:rsidRDefault="00E23D9B">
      <w:pPr>
        <w:pStyle w:val="en3"/>
      </w:pPr>
      <w:r>
        <w:t>Chapter III The Auditing of Internal Controls over Financial Reports</w:t>
      </w:r>
    </w:p>
    <w:p w:rsidR="009969BA" w:rsidRDefault="009969BA"/>
    <w:p w:rsidR="009969BA" w:rsidRDefault="00E23D9B">
      <w:pPr>
        <w:pStyle w:val="ena"/>
      </w:pPr>
      <w:r>
        <w:t xml:space="preserve">(Matters to be Stated in the Internal Control </w:t>
      </w:r>
      <w:r>
        <w:t>Audit Report)</w:t>
      </w:r>
    </w:p>
    <w:p w:rsidR="009969BA" w:rsidRDefault="00E23D9B">
      <w:pPr>
        <w:pStyle w:val="enf3"/>
      </w:pPr>
      <w:r>
        <w:t>Article 6  (1) On the Internal Control Audit report set forth in Article 1, paragraph (2) of the Act, a certified public accountant or a representative of an auditing firm shall state the matters under the following items concisely and clearl</w:t>
      </w:r>
      <w:r>
        <w:t>y, and shall state the date of preparation and affix his/her name and seal thereto. If an auditing firm prepares said Internal Control Audit report, in addition to the representative of the auditing firm, the partner who carries out the procedure concernin</w:t>
      </w:r>
      <w:r>
        <w:t>g said audit certification (hereinafter referred to as the "Managing Partner") shall affix his/her name and seal thereto; provided, however, that in cases where said Internal Control Audit report is the Designated Certification (meaning a designated certif</w:t>
      </w:r>
      <w:r>
        <w:t>ication as specified in Article 34-10-4, paragraph (2) of the Certified Public Accountants Act) or the Specified Certification (meaning a specified certification as specified in Article 34-10-5, paragraph (2) of the Certified Public Accountants Act), the M</w:t>
      </w:r>
      <w:r>
        <w:t>anaging Partner serving as the Designated Partner (meaning a designated partner as specified in Article 34-10-4, paragraph (2) of the Certified Public Accountants Act) in relation to said Designated Certification or serving as the Designated Limited Liabil</w:t>
      </w:r>
      <w:r>
        <w:t>ity Partner (meaning a designated limited liability partner as specified in Article 34-10-5, paragraph (2) of the Certified Public Accountants Act) in relation to the Specified Certification shall state the date of preparation and affix his/her name and se</w:t>
      </w:r>
      <w:r>
        <w:t>al thereto:</w:t>
      </w:r>
    </w:p>
    <w:p w:rsidR="009969BA" w:rsidRDefault="00E23D9B">
      <w:pPr>
        <w:pStyle w:val="enf6"/>
      </w:pPr>
      <w:r>
        <w:t>(i) the subject of the Internal Control Audit;</w:t>
      </w:r>
    </w:p>
    <w:p w:rsidR="009969BA" w:rsidRDefault="00E23D9B">
      <w:pPr>
        <w:pStyle w:val="enf6"/>
      </w:pPr>
      <w:r>
        <w:t>(ii) the outline of the Internal Control Audit that has been conducted;</w:t>
      </w:r>
    </w:p>
    <w:p w:rsidR="009969BA" w:rsidRDefault="00E23D9B">
      <w:pPr>
        <w:pStyle w:val="enf6"/>
      </w:pPr>
      <w:r>
        <w:t>(iii) opinions as to whether the Internal Control Audit Report adequately presents all material points of the evaluation resu</w:t>
      </w:r>
      <w:r>
        <w:t>lts for the Internal Controls over Financial Reports in accordance with the criteria for the evaluation of Internal Controls over Financial Reports that are generally accepted as fair and appropriate;</w:t>
      </w:r>
    </w:p>
    <w:p w:rsidR="009969BA" w:rsidRDefault="00E23D9B">
      <w:pPr>
        <w:pStyle w:val="enf6"/>
      </w:pPr>
      <w:r>
        <w:t>(iv) additional information; and</w:t>
      </w:r>
    </w:p>
    <w:p w:rsidR="009969BA" w:rsidRDefault="00E23D9B">
      <w:pPr>
        <w:pStyle w:val="enf6"/>
      </w:pPr>
      <w:r>
        <w:t xml:space="preserve">(v) the </w:t>
      </w:r>
      <w:r>
        <w:t>interests which should be clearly indicated pursuant to Article 25, paragraph (2) of the Certified Public Accountants Act (including cases where applied mutatis mutandis pursuant to Article 16-2, paragraph (6) and Article 34-12, paragraph (3) of the Certif</w:t>
      </w:r>
      <w:r>
        <w:t>ied Public Accountants Act).</w:t>
      </w:r>
    </w:p>
    <w:p w:rsidR="009969BA" w:rsidRDefault="00E23D9B">
      <w:pPr>
        <w:pStyle w:val="enf4"/>
      </w:pPr>
      <w:r>
        <w:t>(2) The following matters shall be stated with regard to the subject of the Internal Control Audit set forth in item (i):</w:t>
      </w:r>
    </w:p>
    <w:p w:rsidR="009969BA" w:rsidRDefault="00E23D9B">
      <w:pPr>
        <w:pStyle w:val="enf6"/>
      </w:pPr>
      <w:r>
        <w:t>(i) the scope of the internal control report that was the subject of the Internal Control Audit;</w:t>
      </w:r>
    </w:p>
    <w:p w:rsidR="009969BA" w:rsidRDefault="00E23D9B">
      <w:pPr>
        <w:pStyle w:val="enf6"/>
      </w:pPr>
      <w:r>
        <w:t>(ii) a s</w:t>
      </w:r>
      <w:r>
        <w:t>tatement that the manager has a duty to establish and operate the Internal Controls over Financial Reports and to prepare the internal control report;</w:t>
      </w:r>
    </w:p>
    <w:p w:rsidR="009969BA" w:rsidRDefault="00E23D9B">
      <w:pPr>
        <w:pStyle w:val="enf6"/>
      </w:pPr>
      <w:r>
        <w:t>(iii) a statement that the certified public accountant or the auditing firm conducting the Internal Contr</w:t>
      </w:r>
      <w:r>
        <w:t>ol Audit has a duty to express opinions in the internal control report from an independent standpoint; and</w:t>
      </w:r>
    </w:p>
    <w:p w:rsidR="009969BA" w:rsidRDefault="00E23D9B">
      <w:pPr>
        <w:pStyle w:val="enf6"/>
      </w:pPr>
      <w:r>
        <w:t>(iv) the fact that the possibility of false statements being present in the Financial Reports cannot be completely prevented or discovered through th</w:t>
      </w:r>
      <w:r>
        <w:t>e Internal Controls over Financial Reports.</w:t>
      </w:r>
    </w:p>
    <w:p w:rsidR="009969BA" w:rsidRDefault="00E23D9B">
      <w:pPr>
        <w:pStyle w:val="enf4"/>
      </w:pPr>
      <w:r>
        <w:t>(3) The following matters shall be stated with regard to the outline of the Internal Control Audit set forth in paragraph (1), item (ii); provided, however, that in cases where any important audit procedure could</w:t>
      </w:r>
      <w:r>
        <w:t xml:space="preserve"> not be implemented, said audit procedure which could not be implemented shall be stated:</w:t>
      </w:r>
    </w:p>
    <w:p w:rsidR="009969BA" w:rsidRDefault="00E23D9B">
      <w:pPr>
        <w:pStyle w:val="enf6"/>
      </w:pPr>
      <w:r>
        <w:t>(i) a statement that the Internal Control Audit was conducted based on the audit criteria for Internal Controls over Financial Reports which are generally accepted as</w:t>
      </w:r>
      <w:r>
        <w:t xml:space="preserve"> fair and appropriate;</w:t>
      </w:r>
    </w:p>
    <w:p w:rsidR="009969BA" w:rsidRDefault="00E23D9B">
      <w:pPr>
        <w:pStyle w:val="enf6"/>
      </w:pPr>
      <w:r>
        <w:t>(ii) a statement that the audit criteria for Internal Controls over Financial Reports require the certified public accountant or the auditing firm conducting the Internal Control Audit to reasonably guarantee that there is no materia</w:t>
      </w:r>
      <w:r>
        <w:t>l misstatement in the internal control report;</w:t>
      </w:r>
    </w:p>
    <w:p w:rsidR="009969BA" w:rsidRDefault="00E23D9B">
      <w:pPr>
        <w:pStyle w:val="enf6"/>
      </w:pPr>
      <w:r>
        <w:t>(iii) the outline of the audit procedures implemented in the Internal Control Audit; and</w:t>
      </w:r>
    </w:p>
    <w:p w:rsidR="009969BA" w:rsidRDefault="00E23D9B">
      <w:pPr>
        <w:pStyle w:val="enf6"/>
      </w:pPr>
      <w:r>
        <w:t>(iv) a statement that a reasonable basis to allow for the expressing of opinions has been gained as a result of the Inte</w:t>
      </w:r>
      <w:r>
        <w:t>rnal Control Audit.</w:t>
      </w:r>
    </w:p>
    <w:p w:rsidR="009969BA" w:rsidRDefault="00E23D9B">
      <w:pPr>
        <w:pStyle w:val="enf4"/>
      </w:pPr>
      <w:r>
        <w:t>(4) With regard to the opinions set forth in paragraph (1), item (iii), the matters set forth in the following items shall be stated for the respective categories of opinions listed in those items:</w:t>
      </w:r>
    </w:p>
    <w:p w:rsidR="009969BA" w:rsidRDefault="00E23D9B">
      <w:pPr>
        <w:pStyle w:val="enf6"/>
      </w:pPr>
      <w:r>
        <w:t>(i) an unqualified opinion: a statemen</w:t>
      </w:r>
      <w:r>
        <w:t>t that the internal control report which has been subject to the Internal Control Audit is found to adequately present all the material points of the evaluation of Internal Controls over Financial Reports, according to the criteria for evaluation of Intern</w:t>
      </w:r>
      <w:r>
        <w:t>al Controls over Financial Reports which are generally accepted as fair and appropriate;</w:t>
      </w:r>
    </w:p>
    <w:p w:rsidR="009969BA" w:rsidRDefault="00E23D9B">
      <w:pPr>
        <w:pStyle w:val="enf6"/>
      </w:pPr>
      <w:r>
        <w:t>(ii) a qualified opinion with an excepted item: a statement that, apart from an excepted item, the internal control report which has been subject to the Internal Contr</w:t>
      </w:r>
      <w:r>
        <w:t>ol Audit is found to adequately present all the material points of the evaluation of Internal Controls over Financial Reports, in accordance with the criteria for the evaluation of Internal Controls over Financial Reports which are generally accepted as fa</w:t>
      </w:r>
      <w:r>
        <w:t>ir and appropriate, along with said excepted item and the influence of said excepted item on the Financial Statement Audit; or</w:t>
      </w:r>
    </w:p>
    <w:p w:rsidR="009969BA" w:rsidRDefault="00E23D9B">
      <w:pPr>
        <w:pStyle w:val="enf6"/>
      </w:pPr>
      <w:r>
        <w:t>(iii) an adverse opinion: a statement that the internal control report subject to the Internal Control Audit is inadequate and th</w:t>
      </w:r>
      <w:r>
        <w:t>e reason therefor, along with the influence thereof on the Financial Statement Audit.</w:t>
      </w:r>
    </w:p>
    <w:p w:rsidR="009969BA" w:rsidRDefault="00E23D9B">
      <w:pPr>
        <w:pStyle w:val="enf4"/>
      </w:pPr>
      <w:r>
        <w:t>(5) With regard to the matters set forth in paragraph (1), item (iv), the following matters, and any other matters that the certified public accountant or the auditing fi</w:t>
      </w:r>
      <w:r>
        <w:t>rm conducting the Internal Control Audit has determined should be explained or emphasized, shall be stated:</w:t>
      </w:r>
    </w:p>
    <w:p w:rsidR="009969BA" w:rsidRDefault="00E23D9B">
      <w:pPr>
        <w:pStyle w:val="enf6"/>
      </w:pPr>
      <w:r>
        <w:t>(i) in cases where there is a statement in the internal control report that there are Material Defects in the Internal Controls over Financial Repor</w:t>
      </w:r>
      <w:r>
        <w:t>ts and a stated reason why these defects have not been rectified, when an unqualified opinion is expressed that said statements are adequate, the influence of said defects on the Financial Statement Audit;</w:t>
      </w:r>
    </w:p>
    <w:p w:rsidR="009969BA" w:rsidRDefault="00E23D9B">
      <w:pPr>
        <w:pStyle w:val="enf6"/>
      </w:pPr>
      <w:r>
        <w:t>(ii) in the case referred to in the preceding item</w:t>
      </w:r>
      <w:r>
        <w:t>, if any measures have been taken to rectify the Material Defects after the last day of the relevant business year, the details of those measures;</w:t>
      </w:r>
    </w:p>
    <w:p w:rsidR="009969BA" w:rsidRDefault="00E23D9B">
      <w:pPr>
        <w:pStyle w:val="enf6"/>
      </w:pPr>
      <w:r>
        <w:t>(iii) post-balance sheet events which have a material influence on the evaluation of the validity of the Inte</w:t>
      </w:r>
      <w:r>
        <w:t>rnal Controls over Financial Reports; and</w:t>
      </w:r>
    </w:p>
    <w:p w:rsidR="009969BA" w:rsidRDefault="00E23D9B">
      <w:pPr>
        <w:pStyle w:val="enf6"/>
      </w:pPr>
      <w:r>
        <w:t xml:space="preserve">(iv) in cases where an unqualified opinion is expressed in the internal control report that the failure to implement part of the manager's evaluation procedures was attributable to unavoidable </w:t>
      </w:r>
      <w:r>
        <w:t>circumstances, the extent to which a sufficient evaluation procedure could not be implemented and the reason therefor.</w:t>
      </w:r>
    </w:p>
    <w:p w:rsidR="009969BA" w:rsidRDefault="00E23D9B">
      <w:pPr>
        <w:pStyle w:val="enf4"/>
      </w:pPr>
      <w:r>
        <w:t xml:space="preserve">(6) In cases where the certified public accountant or the auditing firm is unable to gain a reasonable basis to allow for the expression </w:t>
      </w:r>
      <w:r>
        <w:t>of opinions as set forth in paragraph (1), item (iii) because some important audit procedure was not implemented or due to any other reason, notwithstanding the provision in that paragraph, the certified public accountant or the auditing firm shall state t</w:t>
      </w:r>
      <w:r>
        <w:t>hat the opinions set forth in that item will not be expressed and the reason therefor on the Internal Control Audit report.</w:t>
      </w:r>
    </w:p>
    <w:p w:rsidR="009969BA" w:rsidRDefault="009969BA"/>
    <w:p w:rsidR="009969BA" w:rsidRDefault="00E23D9B">
      <w:pPr>
        <w:pStyle w:val="enf3"/>
      </w:pPr>
      <w:r>
        <w:t>Article 7  The Internal Control Audit report set forth in Article 1, paragraph (2) shall be prepared together with the audit report</w:t>
      </w:r>
      <w:r>
        <w:t xml:space="preserve"> set forth in Article 3, paragraph (1) of the Cabinet Office Ordinance on Audit Certification of Financial Statements, etc. (Ordinance of the Ministry of Finance No. 12 of 1957); provided, however, that this shall not apply to the case where there are unav</w:t>
      </w:r>
      <w:r>
        <w:t>oidable circumstances.</w:t>
      </w:r>
    </w:p>
    <w:p w:rsidR="009969BA" w:rsidRDefault="009969BA"/>
    <w:p w:rsidR="009969BA" w:rsidRDefault="00E23D9B">
      <w:pPr>
        <w:pStyle w:val="enf3"/>
      </w:pPr>
      <w:r>
        <w:t>Article 8  When conducting the Internal Control Audit, the certified public accountant or the auditing firm shall write the names of the persons engaged in the Internal Control Audit and the number of days required for the audit tog</w:t>
      </w:r>
      <w:r>
        <w:t>ether with the outline of other matters concerning the Internal Control Audit in the outline report set forth in Article 5, paragraph (2), item (i) of the Cabinet Office Ordinance on Audit Certification of Financial Statements, etc.</w:t>
      </w:r>
    </w:p>
    <w:p w:rsidR="009969BA" w:rsidRDefault="009969BA"/>
    <w:p w:rsidR="009969BA" w:rsidRDefault="00E23D9B">
      <w:pPr>
        <w:pStyle w:val="ena"/>
      </w:pPr>
      <w:r>
        <w:t>(Certification Found t</w:t>
      </w:r>
      <w:r>
        <w:t>o Be Equivalent to Audit Certification)</w:t>
      </w:r>
    </w:p>
    <w:p w:rsidR="009969BA" w:rsidRDefault="00E23D9B">
      <w:pPr>
        <w:pStyle w:val="enf3"/>
      </w:pPr>
      <w:r>
        <w:t>Article 9  Receipt of certification that is found to be equivalent to audit certification pursuant to the provisions of a Cabinet Office Ordinance, as referred to in Article 193-2, paragraph (2), item (i) of the Act,</w:t>
      </w:r>
      <w:r>
        <w:t xml:space="preserve"> shall be the receipt of certification as a result of receiving an offer of business in regard to a Foreign Company's Financial Documents (meaning a foreign company's financial documents as set forth in Article 34-35, paragraph (1) of the Certified Public </w:t>
      </w:r>
      <w:r>
        <w:t>Accountants Act) from a Foreign Auditing Firm, etc. (meaning a foreign auditing firm, etc. as set forth in Article 1-3, paragraph (7) of the Certified Public Accountants Act; the same shall apply in Article 13, item (iii)) that is found to be equivalent to</w:t>
      </w:r>
      <w:r>
        <w:t xml:space="preserve"> business set forth in Article 2, paragraph (1) of the Certified Public Accountants Act.</w:t>
      </w:r>
    </w:p>
    <w:p w:rsidR="009969BA" w:rsidRDefault="009969BA"/>
    <w:p w:rsidR="009969BA" w:rsidRDefault="00E23D9B">
      <w:pPr>
        <w:pStyle w:val="ena"/>
      </w:pPr>
      <w:r>
        <w:t>(Approval of Exemption from the Requirement to Receive Audit Certification)</w:t>
      </w:r>
    </w:p>
    <w:p w:rsidR="009969BA" w:rsidRDefault="00E23D9B">
      <w:pPr>
        <w:pStyle w:val="enf3"/>
      </w:pPr>
      <w:r>
        <w:t>Article 10  When a Company Submitting an Internal Control Report intends to receive the ap</w:t>
      </w:r>
      <w:r>
        <w:t>proval set forth in Article 193-2, paragraph (2), item (iii) of the Act, it shall submit a written application for approval to the Director-General of a Local Finance Bureau, etc.</w:t>
      </w:r>
    </w:p>
    <w:p w:rsidR="009969BA" w:rsidRDefault="009969BA"/>
    <w:p w:rsidR="009969BA" w:rsidRDefault="00E23D9B">
      <w:pPr>
        <w:pStyle w:val="ena"/>
      </w:pPr>
      <w:r>
        <w:t>(Special Interest between the Certified Public Accountant or the Auditing F</w:t>
      </w:r>
      <w:r>
        <w:t>irm and the Audited Company)</w:t>
      </w:r>
    </w:p>
    <w:p w:rsidR="009969BA" w:rsidRDefault="00E23D9B">
      <w:pPr>
        <w:pStyle w:val="enf3"/>
      </w:pPr>
      <w:r>
        <w:t>Article 11  (1) The interests specified by a Cabinet Office Ordinance concerning a certified public accountant as referred to in Article 193-2, paragraph (4) of the Act shall be interests which fall under any of the following c</w:t>
      </w:r>
      <w:r>
        <w:t>ases:</w:t>
      </w:r>
    </w:p>
    <w:p w:rsidR="009969BA" w:rsidRDefault="00E23D9B">
      <w:pPr>
        <w:pStyle w:val="enf6"/>
      </w:pPr>
      <w:r>
        <w:t>(i) interests set forth in Article 24, paragraph (1) or (3) of the Certified Public Accountants Act (including the cases where these provisions are applied mutatis mutandis pursuant to Article 16-2, paragraph (6) of that Act);</w:t>
      </w:r>
    </w:p>
    <w:p w:rsidR="009969BA" w:rsidRDefault="00E23D9B">
      <w:pPr>
        <w:pStyle w:val="enf6"/>
      </w:pPr>
      <w:r>
        <w:t>(ii) where the business</w:t>
      </w:r>
      <w:r>
        <w:t xml:space="preserve"> set forth in Article 2, paragraph (1) of the Certified Public Accountants Act may not be carried out pursuant to Article 24-2 of that Act (including cases where applied mutatis mutandis pursuant to Article 16-2, paragraph (6) of that Act);</w:t>
      </w:r>
    </w:p>
    <w:p w:rsidR="009969BA" w:rsidRDefault="00E23D9B">
      <w:pPr>
        <w:pStyle w:val="enf6"/>
      </w:pPr>
      <w:r>
        <w:t>(iii) where the</w:t>
      </w:r>
      <w:r>
        <w:t xml:space="preserve"> audit-related service set forth in Article 24-3, paragraph (3) of the Certified Public Accountants Act may not be carried out pursuant to Article 24-3, paragraph (1) of that Act (including cases where applied mutatis mutandis pursuant to Article 16-2, par</w:t>
      </w:r>
      <w:r>
        <w:t>agraph (6) of that Act);</w:t>
      </w:r>
    </w:p>
    <w:p w:rsidR="009969BA" w:rsidRDefault="00E23D9B">
      <w:pPr>
        <w:pStyle w:val="enf6"/>
      </w:pPr>
      <w:r>
        <w:t xml:space="preserve">(iv) the case where a person who acts as an Assistant in the auditing of a company which intends to receive an audit certification (such person shall hereinafter be referred to as an "Assistant," and such company shall hereinafter </w:t>
      </w:r>
      <w:r>
        <w:t>be referred to as the "Audited Company") has any of the interests set forth in Article 24, paragraph (1), item (i) or (ii) or paragraph (3) of the Certified Public Accountants Act, or in Article 7, paragraph (1), items (i), (iv) to (vi) inclusive, item (vi</w:t>
      </w:r>
      <w:r>
        <w:t>ii) or (ix) of the Order for Enforcement of the Certified Public Accountants Act (Cabinet Order No. 343 of 1952);</w:t>
      </w:r>
    </w:p>
    <w:p w:rsidR="009969BA" w:rsidRDefault="00E23D9B">
      <w:pPr>
        <w:pStyle w:val="enf6"/>
      </w:pPr>
      <w:r>
        <w:t>(v) the case where any relative within the second degree of kinship with the certified public accountant has any of the interests set forth in</w:t>
      </w:r>
      <w:r>
        <w:t xml:space="preserve"> Article 24, paragraph (1), item (i) of the Certified Public Accountants Act or in Article7, paragraph (1), item (i) of the Order for Enforcement of the Certified Public Accountants Act; or</w:t>
      </w:r>
    </w:p>
    <w:p w:rsidR="009969BA" w:rsidRDefault="00E23D9B">
      <w:pPr>
        <w:pStyle w:val="enf6"/>
      </w:pPr>
      <w:r>
        <w:t xml:space="preserve">(vi) the case where a certified public accountant, his/her spouse </w:t>
      </w:r>
      <w:r>
        <w:t>or an Assistant has any of the interests set forth in Article 24, paragraph (1), item (i) or (ii) or paragraph (3) of the Certified Public Accountants Act, or in Article 7, paragraph (1), items (i) or (iv) to (vii) inclusive of the Order for Enforcement of</w:t>
      </w:r>
      <w:r>
        <w:t xml:space="preserve"> the Certified Public Accountants Act (with regard to an Assistant, excluding the interests set forth in item (vii) of that paragraph) with a Consolidated Subsidiary Company (meaning a consolidated subsidiary company when the Audited Company is a Domestic </w:t>
      </w:r>
      <w:r>
        <w:t>Company or meaning a company equivalent to a consolidated subsidiary company when the Audited Company is a Foreign Company; the same shall apply hereinafter) or an Equity Method Affiliate (when the Audited Company is a Domestic Company, this shall mean any</w:t>
      </w:r>
      <w:r>
        <w:t xml:space="preserve"> Non-Consolidated Subsidiary Company (meaning a non-consolidated subsidiary company as set forth in Article 2, item (vi) of the Ordinance on Consolidated Financial Statements; the same shall apply hereinafter) and any Affiliate (meaning an affiliate as set</w:t>
      </w:r>
      <w:r>
        <w:t xml:space="preserve"> forth in Article 2, item (vii) of the Ordinance on Consolidated Financial Statements; the same shall apply hereinafter) to which the equity method set forth in Article 2, item (viii) of the Ordinance on Consolidated Financial Statements is applied, and wh</w:t>
      </w:r>
      <w:r>
        <w:t>en the Audited Company is a Foreign Company, this shall mean any company equivalent to a Non-Consolidated Subsidiary Company or to an Affiliate to which the equity method set forth in Article 2, item (viii) of the Ordinance on Consolidated Financial Statem</w:t>
      </w:r>
      <w:r>
        <w:t>ents is applied; the same shall apply hereinafter) of the Audited Company.</w:t>
      </w:r>
    </w:p>
    <w:p w:rsidR="009969BA" w:rsidRDefault="00E23D9B">
      <w:pPr>
        <w:pStyle w:val="enf4"/>
      </w:pPr>
      <w:r>
        <w:t xml:space="preserve">(2) The interests to be specified by a Cabinet Office Ordinance concerning auditing firms as referred to in Article 193-2, paragraph (4) of the Act shall be those falling under any </w:t>
      </w:r>
      <w:r>
        <w:t>of the following:</w:t>
      </w:r>
    </w:p>
    <w:p w:rsidR="009969BA" w:rsidRDefault="00E23D9B">
      <w:pPr>
        <w:pStyle w:val="enf6"/>
      </w:pPr>
      <w:r>
        <w:t>(i) the interests set forth in Article 34-11, paragraph (1) of the Certified Public Accountants Act;</w:t>
      </w:r>
    </w:p>
    <w:p w:rsidR="009969BA" w:rsidRDefault="00E23D9B">
      <w:pPr>
        <w:pStyle w:val="enf6"/>
      </w:pPr>
      <w:r>
        <w:t xml:space="preserve">(ii) where the business set forth in Article 2, paragraph (1) of the Certified Public Accountants Act may not be carried out pursuant to </w:t>
      </w:r>
      <w:r>
        <w:t>Article 34-11-2 of that Act;</w:t>
      </w:r>
    </w:p>
    <w:p w:rsidR="009969BA" w:rsidRDefault="00E23D9B">
      <w:pPr>
        <w:pStyle w:val="enf6"/>
      </w:pPr>
      <w:r>
        <w:t>(iii) where the partner of the auditing firm who carries out the audit certification procedure concerning the Audited Company or his/her spouse has the interests set forth in Article 34-11, paragraph (3) of the Certified Public</w:t>
      </w:r>
      <w:r>
        <w:t xml:space="preserve"> Accountants Act;</w:t>
      </w:r>
    </w:p>
    <w:p w:rsidR="009969BA" w:rsidRDefault="00E23D9B">
      <w:pPr>
        <w:pStyle w:val="enf6"/>
      </w:pPr>
      <w:r>
        <w:t>(iv) where an Assistant has any of the interests set forth in Article 24, paragraph (1), item (i) or (ii) or paragraph (3) of the Certified Public Accountants Act, or in Article 7, paragraph (1), items (i), (iv) to (vi) inclusive, item (v</w:t>
      </w:r>
      <w:r>
        <w:t>iii) or (ix) of the Order for Enforcement of the Certified Public Accountants Act;</w:t>
      </w:r>
    </w:p>
    <w:p w:rsidR="009969BA" w:rsidRDefault="00E23D9B">
      <w:pPr>
        <w:pStyle w:val="enf6"/>
      </w:pPr>
      <w:r>
        <w:t>(v) where any relative within the second degree of kinship with the partner who carries out the audit certification procedure for the Audited Company has any of the interest</w:t>
      </w:r>
      <w:r>
        <w:t>s set forth in Article 24, paragraph (1), item (i) of the Certified Public Accountants Act or in Article 7, paragraph (1), item (i) of the Order for Enforcement of the Certified Public Accountants Act;</w:t>
      </w:r>
    </w:p>
    <w:p w:rsidR="009969BA" w:rsidRDefault="00E23D9B">
      <w:pPr>
        <w:pStyle w:val="enf6"/>
      </w:pPr>
      <w:r>
        <w:t>(vi) where an auditing firm has any of the interests s</w:t>
      </w:r>
      <w:r>
        <w:t>et forth in Article 34-11, paragraph (1), item (i) of the Certified Public Accountants Act or in Article 15, items (i) to (iii) inclusive of the Order for Enforcement of the Certified Public Accountants Act with a Consolidated Subsidiary Company or an Equi</w:t>
      </w:r>
      <w:r>
        <w:t>ty Method Affiliate of the Audited Company;</w:t>
      </w:r>
    </w:p>
    <w:p w:rsidR="009969BA" w:rsidRDefault="00E23D9B">
      <w:pPr>
        <w:pStyle w:val="enf6"/>
      </w:pPr>
      <w:r>
        <w:t xml:space="preserve">(vii) the case where the partner of the auditing firm who carries out the audit certification procedure for the Audited Company or his/her spouse or an Assistant has any of the interests set forth in </w:t>
      </w:r>
      <w:r>
        <w:t xml:space="preserve">Article 24, paragraph (1), item (i) or (ii) or paragraph (3) of the Certified Public Accountants Act, or in Article 7, paragraph (1), items (i) or (iv) to (vii) inclusive of the Order for Enforcement of the Certified Public Accountants Act (with regard to </w:t>
      </w:r>
      <w:r>
        <w:t>an Assistant, excluding the interests set forth in item (vii) of that paragraph) with a Consolidated Subsidiary Company or an Equity Method Affiliate of the Audited Company;</w:t>
      </w:r>
    </w:p>
    <w:p w:rsidR="009969BA" w:rsidRDefault="00E23D9B">
      <w:pPr>
        <w:pStyle w:val="enf6"/>
      </w:pPr>
      <w:r>
        <w:t>(viii) the case where any of the partners of the auditing firm is a person who ser</w:t>
      </w:r>
      <w:r>
        <w:t>ves as a director, executive officer, auditor, or employee of an Equity Method Affiliate of the Audited Company, or a person who has any of the interests set forth in Article 15, item (v) of the Order for Enforcement of the Certified Public Accountants Act</w:t>
      </w:r>
      <w:r>
        <w:t xml:space="preserve"> with a Consolidated Subsidiary Company or an Equity Method Affiliate of the Audited Company; or</w:t>
      </w:r>
    </w:p>
    <w:p w:rsidR="009969BA" w:rsidRDefault="00E23D9B">
      <w:pPr>
        <w:pStyle w:val="enf6"/>
      </w:pPr>
      <w:r>
        <w:t>(ix) the case where half or more of the partners of the auditing firm have, with regard to themselves or their spouse, the interests set forth in Article 15, i</w:t>
      </w:r>
      <w:r>
        <w:t xml:space="preserve">tem (vii) of the Order for Enforcement of the Certified Public Accountants Act with the Audited Company or any of the interests set forth in Article 24, paragraph (1), item (i) or (ii) or paragraph (3) of the Certified Public Accountants Act or in Article </w:t>
      </w:r>
      <w:r>
        <w:t>7, paragraph (1), items (i) or (iv) to (vii) inclusive of the Order for Enforcement of the Certified Public Accountants Act with a Consolidated Subsidiary Company or an Equity Method Affiliate of the Audited Company.</w:t>
      </w:r>
    </w:p>
    <w:p w:rsidR="009969BA" w:rsidRDefault="009969BA"/>
    <w:p w:rsidR="009969BA" w:rsidRDefault="00E23D9B">
      <w:pPr>
        <w:pStyle w:val="en3"/>
      </w:pPr>
      <w:r>
        <w:t>Chapter IV Internal Controls over Fina</w:t>
      </w:r>
      <w:r>
        <w:t>ncial Reports of a Foreign Company</w:t>
      </w:r>
    </w:p>
    <w:p w:rsidR="009969BA" w:rsidRDefault="009969BA"/>
    <w:p w:rsidR="009969BA" w:rsidRDefault="00E23D9B">
      <w:pPr>
        <w:pStyle w:val="ena"/>
      </w:pPr>
      <w:r>
        <w:t>(Internal Control Report of a Foreign Company)</w:t>
      </w:r>
    </w:p>
    <w:p w:rsidR="009969BA" w:rsidRDefault="00E23D9B">
      <w:pPr>
        <w:pStyle w:val="enf3"/>
      </w:pPr>
      <w:r>
        <w:t>Article 12  (1) In cases where the Commissioner of the Financial Services Agency approves a Foreign Company to submit the documents on financial calculation disclosed in its</w:t>
      </w:r>
      <w:r>
        <w:t xml:space="preserve"> home country (including the state or any other region where the company is headquartered; the same shall apply hereinafter) as financial statements on finding no risk of impairment of the public interest or protection of investors, if the Commissioner of </w:t>
      </w:r>
      <w:r>
        <w:t xml:space="preserve">the Financial Services Agency approves said Foreign Company to submit a report evaluating the Internal Controls over Financial Reports disclosed in its home country (including other documents of similar nature) as the internal control report on finding no </w:t>
      </w:r>
      <w:r>
        <w:t xml:space="preserve">risk of impairment of the public interest or protection of investors, the terminology, forms, and preparation methods of the internal control report prepared by said Foreign Company may, except for matters specified as deemed necessary by the Commissioner </w:t>
      </w:r>
      <w:r>
        <w:t>of the Financial Services Agency, be the terminology, forms, and preparation methods used in the home country.</w:t>
      </w:r>
    </w:p>
    <w:p w:rsidR="009969BA" w:rsidRDefault="00E23D9B">
      <w:pPr>
        <w:pStyle w:val="enf4"/>
      </w:pPr>
      <w:r>
        <w:t>(2) In cases where the documents on financial calculation disclosed by a Foreign Company in its home country do not qualify for approval by the C</w:t>
      </w:r>
      <w:r>
        <w:t>ommissioner of the Financial Services Agency based on the provisions of the preceding paragraph, if the Commissioner of the Financial Services Agency approves said Foreign Company to submit documents on financial calculation disclosed in an area outside Ja</w:t>
      </w:r>
      <w:r>
        <w:t xml:space="preserve">pan other than its home country as financial statements on finding no risk of impairment of the public interest or protection of investors and if the Commissioner of the Financial Services Agency approves said Foreign Company to submit a report evaluating </w:t>
      </w:r>
      <w:r>
        <w:t>the Internal Controls over Financial Reports disclosed in such area outside Japan other than its home country (including other documents of a similar nature) as the internal control report on finding no risk of impairment of the public interest or protecti</w:t>
      </w:r>
      <w:r>
        <w:t>on of investors, the terminology, forms, and preparation methods of the internal control report pertaining to the Financial Report prepared by said Foreign Company may, except for matters specified as deemed necessary by the Commissioner of the Financial S</w:t>
      </w:r>
      <w:r>
        <w:t>ervices Agency, be the terminology, forms, and preparation methods used in said area outside Japan other than its home country.</w:t>
      </w:r>
    </w:p>
    <w:p w:rsidR="009969BA" w:rsidRDefault="009969BA"/>
    <w:p w:rsidR="009969BA" w:rsidRDefault="00E23D9B">
      <w:pPr>
        <w:pStyle w:val="enf3"/>
      </w:pPr>
      <w:r>
        <w:t>Article 13  The internal control report under the preceding Article shall also contain the following matters:</w:t>
      </w:r>
    </w:p>
    <w:p w:rsidR="009969BA" w:rsidRDefault="00E23D9B">
      <w:pPr>
        <w:pStyle w:val="enf6"/>
      </w:pPr>
      <w:r>
        <w:t xml:space="preserve">(i) the </w:t>
      </w:r>
      <w:r>
        <w:t>terminology, forms, and preparation methods in accordance with which said internal control report has been prepared;</w:t>
      </w:r>
    </w:p>
    <w:p w:rsidR="009969BA" w:rsidRDefault="00E23D9B">
      <w:pPr>
        <w:pStyle w:val="enf6"/>
      </w:pPr>
      <w:r>
        <w:t>(ii) material differences from the case of the internal control report having been prepared without applying the provisions of the precedin</w:t>
      </w:r>
      <w:r>
        <w:t>g Article; and</w:t>
      </w:r>
    </w:p>
    <w:p w:rsidR="009969BA" w:rsidRDefault="00E23D9B">
      <w:pPr>
        <w:pStyle w:val="enf6"/>
      </w:pPr>
      <w:r>
        <w:t xml:space="preserve">(iii) material differences from the Internal Control Audit in the case where the Foreign Auditing Firm, etc. implements the certification which is deemed to be equivalent to the audit certification set forth in Article 193-2, paragraph (2), </w:t>
      </w:r>
      <w:r>
        <w:t>item (i) of the Act.</w:t>
      </w:r>
    </w:p>
    <w:p w:rsidR="009969BA" w:rsidRDefault="009969BA"/>
    <w:p w:rsidR="009969BA" w:rsidRDefault="00E23D9B">
      <w:pPr>
        <w:pStyle w:val="ena"/>
      </w:pPr>
      <w:r>
        <w:t>(Submission Requirement of the Foreign Company Internal Control Report)</w:t>
      </w:r>
    </w:p>
    <w:p w:rsidR="009969BA" w:rsidRDefault="00E23D9B">
      <w:pPr>
        <w:pStyle w:val="enf3"/>
      </w:pPr>
      <w:r>
        <w:t>Article 14  The cases specified by a Cabinet Office Ordinance as referred to in Article 24, paragraph (8) of the Act as applied mutatis mutandis pursuant to Artic</w:t>
      </w:r>
      <w:r>
        <w:t>le 24-4-4, paragraph (6) shall be the cases where the Commissioner of the Financial Services Agency approves a Foreign Company required to submit an internal control report to submit a Foreign Company Internal Control Report in lieu of the Internal Control</w:t>
      </w:r>
      <w:r>
        <w:t xml:space="preserve"> Report, etc. (meaning the internal control report, etc. as set forth in Article 24, paragraph (8) of the Act as applied mutatis mutandis pursuant to Article 24-4-4, paragraph (6)) on finding no risk of impairing the public interest or protection of invest</w:t>
      </w:r>
      <w:r>
        <w:t>ors in the light of the terminology, forms, and preparation methods thereof.</w:t>
      </w:r>
    </w:p>
    <w:p w:rsidR="009969BA" w:rsidRDefault="009969BA"/>
    <w:p w:rsidR="009969BA" w:rsidRDefault="00E23D9B">
      <w:pPr>
        <w:pStyle w:val="ena"/>
      </w:pPr>
      <w:r>
        <w:t>(Submission of a Foreign Company Internal Control Report, etc.)</w:t>
      </w:r>
    </w:p>
    <w:p w:rsidR="009969BA" w:rsidRDefault="00E23D9B">
      <w:pPr>
        <w:pStyle w:val="enf3"/>
      </w:pPr>
      <w:r>
        <w:t xml:space="preserve">Article 15  (1) The Foreign Company which intends to submit a Foreign Company Internal Control Report pursuant to </w:t>
      </w:r>
      <w:r>
        <w:t>Article 24, paragraph (8) of the Act as applied mutatis mutandis pursuant to Article 24-4-4, paragraph (6) of the Act shall submit the Foreign Company Internal Control Report and the Supplementary Documents (meaning the supplementary documents set forth in</w:t>
      </w:r>
      <w:r>
        <w:t xml:space="preserve"> Article 24, paragraph (9) of the Act as applied mutatis mutandis pursuant to Article 24-4-4, paragraph (6) of the Act (including cases where applied mutatis mutandis pursuant to Article 27 of the Act; the same shall apply hereinafter); hereinafter the sam</w:t>
      </w:r>
      <w:r>
        <w:t>e shall apply in Article 17, paragraph (2), item (i)) in triplicate to the Director-General of the Kanto Local Finance Bureau.</w:t>
      </w:r>
    </w:p>
    <w:p w:rsidR="009969BA" w:rsidRDefault="00E23D9B">
      <w:pPr>
        <w:pStyle w:val="enf4"/>
      </w:pPr>
      <w:r>
        <w:t>(2) The matters specified by a Cabinet Office Ordinance as necessary and appropriate for the public interest or protection of inv</w:t>
      </w:r>
      <w:r>
        <w:t>estors among those stated in the Foreign Company Internal Control Report set forth in Article 24, paragraph (9) of the Act as applied mutatis mutandis pursuant to Article 24-4-4, paragraph (6) of the Act shall be matters equivalent to those to be stated in</w:t>
      </w:r>
      <w:r>
        <w:t xml:space="preserve"> the following items in Form No. 2:</w:t>
      </w:r>
    </w:p>
    <w:p w:rsidR="009969BA" w:rsidRDefault="00E23D9B">
      <w:pPr>
        <w:pStyle w:val="enf6"/>
      </w:pPr>
      <w:r>
        <w:t>(i) [1 Matters concerning the fundamental framework for the Internal Controls over Financial Reports];</w:t>
      </w:r>
    </w:p>
    <w:p w:rsidR="009969BA" w:rsidRDefault="00E23D9B">
      <w:pPr>
        <w:pStyle w:val="enf6"/>
      </w:pPr>
      <w:r>
        <w:t>(ii) [2 Matters concerning the range of evaluation, the Reference Date, and the procedure for evaluation];</w:t>
      </w:r>
    </w:p>
    <w:p w:rsidR="009969BA" w:rsidRDefault="00E23D9B">
      <w:pPr>
        <w:pStyle w:val="enf6"/>
      </w:pPr>
      <w:r>
        <w:t>(iii) [3 M</w:t>
      </w:r>
      <w:r>
        <w:t>atters concerning the evaluation results];</w:t>
      </w:r>
    </w:p>
    <w:p w:rsidR="009969BA" w:rsidRDefault="00E23D9B">
      <w:pPr>
        <w:pStyle w:val="enf6"/>
      </w:pPr>
      <w:r>
        <w:t>(iv) [4 Supplementary matters]; and</w:t>
      </w:r>
    </w:p>
    <w:p w:rsidR="009969BA" w:rsidRDefault="00E23D9B">
      <w:pPr>
        <w:pStyle w:val="enf6"/>
      </w:pPr>
      <w:r>
        <w:t>(v) [5 Special matters].</w:t>
      </w:r>
    </w:p>
    <w:p w:rsidR="009969BA" w:rsidRDefault="00E23D9B">
      <w:pPr>
        <w:pStyle w:val="enf4"/>
      </w:pPr>
      <w:r>
        <w:t>(3) The other documents specified by a Cabinet Office Ordinance set forth in Article 24, paragraph (9) of the Act as applied mutatis mutandis pursuant t</w:t>
      </w:r>
      <w:r>
        <w:t>o Article 24-4-4, paragraph (6) of the Act shall be the following:</w:t>
      </w:r>
    </w:p>
    <w:p w:rsidR="009969BA" w:rsidRDefault="00E23D9B">
      <w:pPr>
        <w:pStyle w:val="enf6"/>
      </w:pPr>
      <w:r>
        <w:t>(i) a document in which the matters equivalent to the matters set forth in the items of Article 13 are written in Japanese concerning the Foreign Company Internal Control Report;</w:t>
      </w:r>
    </w:p>
    <w:p w:rsidR="009969BA" w:rsidRDefault="00E23D9B">
      <w:pPr>
        <w:pStyle w:val="enf6"/>
      </w:pPr>
      <w:r>
        <w:t xml:space="preserve">(ii) a </w:t>
      </w:r>
      <w:r>
        <w:t>comparative table of the matters to be written in the internal control report pursuant to Form No.2 and the matters written in the Foreign Company Internal Control Report which are equivalent to said matters;</w:t>
      </w:r>
    </w:p>
    <w:p w:rsidR="009969BA" w:rsidRDefault="00E23D9B">
      <w:pPr>
        <w:pStyle w:val="enf6"/>
      </w:pPr>
      <w:r>
        <w:t>(iii) a document in Japanese containing matters</w:t>
      </w:r>
      <w:r>
        <w:t xml:space="preserve"> as instructed by the Commissioner of the Financial Service Agency on finding them necessary in light of the public interest or protection of investors;</w:t>
      </w:r>
    </w:p>
    <w:p w:rsidR="009969BA" w:rsidRDefault="00E23D9B">
      <w:pPr>
        <w:pStyle w:val="enf6"/>
      </w:pPr>
      <w:r>
        <w:t xml:space="preserve">(iv) a document proving that the representative written in the Foreign Company Internal Control Report </w:t>
      </w:r>
      <w:r>
        <w:t>has the proper authority concerning submission of said Foreign Company Internal Control Report;</w:t>
      </w:r>
    </w:p>
    <w:p w:rsidR="009969BA" w:rsidRDefault="00E23D9B">
      <w:pPr>
        <w:pStyle w:val="enf6"/>
      </w:pPr>
      <w:r>
        <w:t>(v) a document proving that the Foreign Company has granted a person domiciled in Japan the authority to represent said Foreign Company with regard to any and a</w:t>
      </w:r>
      <w:r>
        <w:t>ll acts concerning submission of said Foreign Company Internal Control Report; and</w:t>
      </w:r>
    </w:p>
    <w:p w:rsidR="009969BA" w:rsidRDefault="00E23D9B">
      <w:pPr>
        <w:pStyle w:val="enf6"/>
      </w:pPr>
      <w:r>
        <w:t>(vi) a document prepared pursuant to Form No.3.</w:t>
      </w:r>
    </w:p>
    <w:p w:rsidR="009969BA" w:rsidRDefault="00E23D9B">
      <w:pPr>
        <w:pStyle w:val="enf4"/>
      </w:pPr>
      <w:r>
        <w:t>(4) In cases where the documents listed in items (iv) and (v) of the preceding paragraph are not written in Japanese nor in E</w:t>
      </w:r>
      <w:r>
        <w:t>nglish, a translation thereof shall be attached.</w:t>
      </w:r>
    </w:p>
    <w:p w:rsidR="009969BA" w:rsidRDefault="009969BA"/>
    <w:p w:rsidR="009969BA" w:rsidRDefault="00E23D9B">
      <w:pPr>
        <w:pStyle w:val="ena"/>
      </w:pPr>
      <w:r>
        <w:t>(Submission Requirement for the Foreign Company Amendment Report)</w:t>
      </w:r>
    </w:p>
    <w:p w:rsidR="009969BA" w:rsidRDefault="00E23D9B">
      <w:pPr>
        <w:pStyle w:val="enf3"/>
      </w:pPr>
      <w:r>
        <w:t>Article 16  The cases specified by a Cabinet Office Ordinance as set forth in Article 24, paragraph (8) of the Act as applied mutatis mutand</w:t>
      </w:r>
      <w:r>
        <w:t xml:space="preserve">is pursuant to Article 24-4-5, paragraph (3) (including cases where applied mutatis mutandis pursuant to Article 27 of the Act; the same shall apply in paragraph (2) of the following Article) shall be cases where the Commissioner of the Financial Services </w:t>
      </w:r>
      <w:r>
        <w:t>Agency approves a Foreign Company to submit a Foreign Company Amendment Report (meaning the amendment report of a Foreign Company as set forth in that paragraph; the same shall apply in paragraph (1) of the following Article) in lieu of the amendment repor</w:t>
      </w:r>
      <w:r>
        <w:t>t, on finding no risk of impairment of the public interest or protection of investors in light of the terminology, forms, and preparation methods thereof.</w:t>
      </w:r>
    </w:p>
    <w:p w:rsidR="009969BA" w:rsidRDefault="009969BA"/>
    <w:p w:rsidR="009969BA" w:rsidRDefault="00E23D9B">
      <w:pPr>
        <w:pStyle w:val="ena"/>
      </w:pPr>
      <w:r>
        <w:t>(Submission of the Foreign Company Amendment Report, etc.)</w:t>
      </w:r>
    </w:p>
    <w:p w:rsidR="009969BA" w:rsidRDefault="00E23D9B">
      <w:pPr>
        <w:pStyle w:val="enf3"/>
      </w:pPr>
      <w:r>
        <w:t>Article 17  (1) The provisions of Article</w:t>
      </w:r>
      <w:r>
        <w:t xml:space="preserve"> 15, paragraphs (1) and (3) (limited to the parts pertaining to item (vi)) shall apply mutatis mutandis to cases where a Foreign Company submits a Foreign Company Amendment Report.</w:t>
      </w:r>
    </w:p>
    <w:p w:rsidR="009969BA" w:rsidRDefault="00E23D9B">
      <w:pPr>
        <w:pStyle w:val="enf4"/>
      </w:pPr>
      <w:r>
        <w:t>(2) The other documents specified by a Cabinet Office Ordinance as set fort</w:t>
      </w:r>
      <w:r>
        <w:t>h in Article 24, paragraph (9) of the Act as applied mutatis mutandis pursuant to Article 24-4-5, paragraph (3) of the Act shall be documents in which the following matters are written in Japanese:</w:t>
      </w:r>
    </w:p>
    <w:p w:rsidR="009969BA" w:rsidRDefault="00E23D9B">
      <w:pPr>
        <w:pStyle w:val="enf6"/>
      </w:pPr>
      <w:r>
        <w:t>(i) The submission date of the internal control report and</w:t>
      </w:r>
      <w:r>
        <w:t xml:space="preserve"> its Supplementary Documents to be amended;</w:t>
      </w:r>
    </w:p>
    <w:p w:rsidR="009969BA" w:rsidRDefault="00E23D9B">
      <w:pPr>
        <w:pStyle w:val="enf6"/>
      </w:pPr>
      <w:r>
        <w:t>(ii) the reason for the amendment; and</w:t>
      </w:r>
    </w:p>
    <w:p w:rsidR="009969BA" w:rsidRDefault="00E23D9B">
      <w:pPr>
        <w:pStyle w:val="enf6"/>
      </w:pPr>
      <w:r>
        <w:t>(iii) the parts to be amended and the contents of the amendments.</w:t>
      </w:r>
    </w:p>
    <w:p w:rsidR="009969BA" w:rsidRDefault="009969BA"/>
    <w:p w:rsidR="009969BA" w:rsidRDefault="00E23D9B">
      <w:pPr>
        <w:pStyle w:val="en3"/>
      </w:pPr>
      <w:r>
        <w:t>Chapter V Miscellaneous Provisions</w:t>
      </w:r>
    </w:p>
    <w:p w:rsidR="009969BA" w:rsidRDefault="009969BA"/>
    <w:p w:rsidR="009969BA" w:rsidRDefault="00E23D9B">
      <w:pPr>
        <w:pStyle w:val="enf3"/>
      </w:pPr>
      <w:r>
        <w:t xml:space="preserve">Article 18  In cases where the Commissioner of the Financial Services </w:t>
      </w:r>
      <w:r>
        <w:t>Agency approves a Company Submitting Consolidated Financial Statements which has registered Consolidated Financial Statements prepared by using the terminology, forms, and preparation methods that are required with regard to issuance, etc. of American Depo</w:t>
      </w:r>
      <w:r>
        <w:t>sitary Receipts (hereinafter referred to as "U.S.-style Consolidated Financial Statements") with the U.S. Securities and Exchange Commission to submit said U.S.-style Consolidated Financial Statements as the Consolidated Financial Statements under the prov</w:t>
      </w:r>
      <w:r>
        <w:t>isions of the Act, on finding no risk of impairing the public interests or protection of investors, the terminology, forms, and preparation methods of the internal control report submitted by said company may, except for matters as instructed by the Commis</w:t>
      </w:r>
      <w:r>
        <w:t>sioner of the Financial Services Agency on finding that they are necessary, be the terminology, forms, and preparation methods required in the United States for an internal control report.</w:t>
      </w:r>
    </w:p>
    <w:p w:rsidR="009969BA" w:rsidRDefault="009969BA"/>
    <w:p w:rsidR="009969BA" w:rsidRDefault="00E23D9B">
      <w:pPr>
        <w:pStyle w:val="enf3"/>
      </w:pPr>
      <w:r>
        <w:t>Article 19  The internal control report set forth in the preceding</w:t>
      </w:r>
      <w:r>
        <w:t xml:space="preserve"> Article shall be written in Japanese.</w:t>
      </w:r>
    </w:p>
    <w:p w:rsidR="009969BA" w:rsidRDefault="009969BA"/>
    <w:p w:rsidR="009969BA" w:rsidRDefault="00E23D9B">
      <w:pPr>
        <w:pStyle w:val="enf3"/>
      </w:pPr>
      <w:r>
        <w:t>Article 20  The internal control report under Article 18 shall also contain the following matters:</w:t>
      </w:r>
    </w:p>
    <w:p w:rsidR="009969BA" w:rsidRDefault="00E23D9B">
      <w:pPr>
        <w:pStyle w:val="enf6"/>
      </w:pPr>
      <w:r>
        <w:t>(i) the terminology, forms, and preparation methods in accordance with which said internal control report has been pr</w:t>
      </w:r>
      <w:r>
        <w:t>epared; and</w:t>
      </w:r>
    </w:p>
    <w:p w:rsidR="009969BA" w:rsidRDefault="00E23D9B">
      <w:pPr>
        <w:pStyle w:val="enf6"/>
      </w:pPr>
      <w:r>
        <w:t>(ii) material differences from the case of the internal control report having been prepared without applying the provisions of Article 18.</w:t>
      </w:r>
    </w:p>
    <w:p w:rsidR="009969BA" w:rsidRDefault="009969BA"/>
    <w:p w:rsidR="009969BA" w:rsidRDefault="00E23D9B">
      <w:pPr>
        <w:pStyle w:val="enf3"/>
      </w:pPr>
      <w:r>
        <w:t>Article 21  (1) In cases where a Company Submitting Consolidated Financial Statements which has register</w:t>
      </w:r>
      <w:r>
        <w:t>ed U.S.-style Consolidated Financial Statements with the U.S. Securities and Exchange Commission prepares an internal control report pursuant to Article 18, the audit certification performed on the internal control report prepared by said company may, exce</w:t>
      </w:r>
      <w:r>
        <w:t>pt for matters as instructed by the Commissioner of the Financial Services Agency on finding that they are necessary, be performed in accordance with the audit criteria and practices for Internal Controls over Financial Reports which are generally accepted</w:t>
      </w:r>
      <w:r>
        <w:t xml:space="preserve"> as fair and appropriate in the United States.</w:t>
      </w:r>
    </w:p>
    <w:p w:rsidR="009969BA" w:rsidRDefault="00E23D9B">
      <w:pPr>
        <w:pStyle w:val="enf4"/>
      </w:pPr>
      <w:r>
        <w:t>(2) The Internal Control Audit report concerning audit certification performed on the internal control report set forth in the preceding paragraph shall also contain the following matters:</w:t>
      </w:r>
    </w:p>
    <w:p w:rsidR="009969BA" w:rsidRDefault="00E23D9B">
      <w:pPr>
        <w:pStyle w:val="enf6"/>
      </w:pPr>
      <w:r>
        <w:t xml:space="preserve">(i) the </w:t>
      </w:r>
      <w:r>
        <w:t>criteria in accordance with which said Internal Control Audit report has been prepared; and</w:t>
      </w:r>
    </w:p>
    <w:p w:rsidR="009969BA" w:rsidRDefault="00E23D9B">
      <w:pPr>
        <w:pStyle w:val="enf6"/>
      </w:pPr>
      <w:r>
        <w:t>(ii) material differences from the case where the Internal Control Audit report has been prepared without applying the provisions of the preceding paragraph.</w:t>
      </w:r>
    </w:p>
    <w:sectPr w:rsidR="009969BA" w:rsidSect="009969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69BA" w:rsidRDefault="009969BA" w:rsidP="009969BA">
      <w:r>
        <w:separator/>
      </w:r>
    </w:p>
  </w:endnote>
  <w:endnote w:type="continuationSeparator" w:id="0">
    <w:p w:rsidR="009969BA" w:rsidRDefault="009969BA" w:rsidP="0099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69BA" w:rsidRDefault="009969BA">
    <w:pPr>
      <w:pStyle w:val="a3"/>
    </w:pPr>
    <w:r>
      <w:fldChar w:fldCharType="begin"/>
    </w:r>
    <w:r>
      <w:instrText xml:space="preserve"> PAGE  \* MERGEFORMAT </w:instrText>
    </w:r>
    <w:r>
      <w:fldChar w:fldCharType="separate"/>
    </w:r>
    <w:r w:rsidR="00E23D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69BA" w:rsidRDefault="009969BA" w:rsidP="009969BA">
      <w:r>
        <w:separator/>
      </w:r>
    </w:p>
  </w:footnote>
  <w:footnote w:type="continuationSeparator" w:id="0">
    <w:p w:rsidR="009969BA" w:rsidRDefault="009969BA" w:rsidP="0099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653"/>
    <w:multiLevelType w:val="multilevel"/>
    <w:tmpl w:val="002A9F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06B6F92"/>
    <w:multiLevelType w:val="multilevel"/>
    <w:tmpl w:val="24B45B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320F89"/>
    <w:multiLevelType w:val="multilevel"/>
    <w:tmpl w:val="52143A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3C30DB"/>
    <w:multiLevelType w:val="multilevel"/>
    <w:tmpl w:val="F64093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5058C4"/>
    <w:multiLevelType w:val="multilevel"/>
    <w:tmpl w:val="4296EB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667880"/>
    <w:multiLevelType w:val="multilevel"/>
    <w:tmpl w:val="47B67A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065C48"/>
    <w:multiLevelType w:val="multilevel"/>
    <w:tmpl w:val="0C36CD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E15663"/>
    <w:multiLevelType w:val="multilevel"/>
    <w:tmpl w:val="C8D42A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0A660B"/>
    <w:multiLevelType w:val="multilevel"/>
    <w:tmpl w:val="EACE7B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746F57"/>
    <w:multiLevelType w:val="multilevel"/>
    <w:tmpl w:val="5E78B8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CF13D0"/>
    <w:multiLevelType w:val="multilevel"/>
    <w:tmpl w:val="6CB6DF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842329"/>
    <w:multiLevelType w:val="multilevel"/>
    <w:tmpl w:val="4BF693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C414CF"/>
    <w:multiLevelType w:val="multilevel"/>
    <w:tmpl w:val="FDA8CC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5"/>
  </w:num>
  <w:num w:numId="3">
    <w:abstractNumId w:val="2"/>
  </w:num>
  <w:num w:numId="4">
    <w:abstractNumId w:val="4"/>
  </w:num>
  <w:num w:numId="5">
    <w:abstractNumId w:val="3"/>
  </w:num>
  <w:num w:numId="6">
    <w:abstractNumId w:val="9"/>
  </w:num>
  <w:num w:numId="7">
    <w:abstractNumId w:val="6"/>
  </w:num>
  <w:num w:numId="8">
    <w:abstractNumId w:val="10"/>
  </w:num>
  <w:num w:numId="9">
    <w:abstractNumId w:val="7"/>
  </w:num>
  <w:num w:numId="10">
    <w:abstractNumId w:val="1"/>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69BA"/>
    <w:rsid w:val="009969BA"/>
    <w:rsid w:val="00E23D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9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69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69BA"/>
    <w:rPr>
      <w:rFonts w:ascii="Century" w:eastAsia="Century" w:hAnsi="Century"/>
    </w:rPr>
  </w:style>
  <w:style w:type="paragraph" w:customStyle="1" w:styleId="ja0">
    <w:name w:val="款（ja）"/>
    <w:basedOn w:val="a"/>
    <w:rsid w:val="009969BA"/>
    <w:pPr>
      <w:widowControl w:val="0"/>
      <w:ind w:left="1321" w:hanging="221"/>
    </w:pPr>
    <w:rPr>
      <w:rFonts w:ascii="ＭＳ 明朝" w:eastAsia="ＭＳ 明朝" w:hAnsi="ＭＳ 明朝" w:cs="ＭＳ 明朝"/>
      <w:b/>
    </w:rPr>
  </w:style>
  <w:style w:type="paragraph" w:customStyle="1" w:styleId="en0">
    <w:name w:val="款（en）"/>
    <w:basedOn w:val="ja0"/>
    <w:rsid w:val="009969BA"/>
    <w:rPr>
      <w:rFonts w:ascii="Century" w:eastAsia="Century" w:hAnsi="Century" w:cs="Century"/>
    </w:rPr>
  </w:style>
  <w:style w:type="paragraph" w:customStyle="1" w:styleId="ja1">
    <w:name w:val="前文（ja）"/>
    <w:basedOn w:val="a"/>
    <w:rsid w:val="009969BA"/>
    <w:pPr>
      <w:widowControl w:val="0"/>
      <w:ind w:firstLine="219"/>
    </w:pPr>
    <w:rPr>
      <w:rFonts w:ascii="ＭＳ 明朝" w:eastAsia="ＭＳ 明朝" w:hAnsi="ＭＳ 明朝" w:cs="ＭＳ 明朝"/>
    </w:rPr>
  </w:style>
  <w:style w:type="paragraph" w:customStyle="1" w:styleId="en1">
    <w:name w:val="前文（en）"/>
    <w:basedOn w:val="ja1"/>
    <w:rsid w:val="009969BA"/>
    <w:rPr>
      <w:rFonts w:ascii="Century" w:eastAsia="Century" w:hAnsi="Century" w:cs="Century"/>
    </w:rPr>
  </w:style>
  <w:style w:type="paragraph" w:customStyle="1" w:styleId="ja2">
    <w:name w:val="附則（ja）"/>
    <w:basedOn w:val="a"/>
    <w:rsid w:val="009969BA"/>
    <w:pPr>
      <w:widowControl w:val="0"/>
      <w:ind w:left="881" w:hanging="221"/>
    </w:pPr>
    <w:rPr>
      <w:rFonts w:ascii="ＭＳ 明朝" w:eastAsia="ＭＳ 明朝" w:hAnsi="ＭＳ 明朝" w:cs="ＭＳ 明朝"/>
      <w:b/>
    </w:rPr>
  </w:style>
  <w:style w:type="paragraph" w:customStyle="1" w:styleId="en2">
    <w:name w:val="附則（en）"/>
    <w:basedOn w:val="ja2"/>
    <w:rsid w:val="009969BA"/>
    <w:rPr>
      <w:rFonts w:ascii="Century" w:hAnsi="Century" w:cs="Century"/>
    </w:rPr>
  </w:style>
  <w:style w:type="paragraph" w:customStyle="1" w:styleId="ja3">
    <w:name w:val="章（ja）"/>
    <w:basedOn w:val="a"/>
    <w:rsid w:val="009969BA"/>
    <w:pPr>
      <w:widowControl w:val="0"/>
      <w:ind w:left="881" w:hanging="221"/>
    </w:pPr>
    <w:rPr>
      <w:rFonts w:ascii="ＭＳ 明朝" w:eastAsia="ＭＳ 明朝" w:hAnsi="ＭＳ 明朝" w:cs="ＭＳ 明朝"/>
      <w:b/>
    </w:rPr>
  </w:style>
  <w:style w:type="paragraph" w:customStyle="1" w:styleId="en3">
    <w:name w:val="章（en）"/>
    <w:basedOn w:val="ja3"/>
    <w:rsid w:val="009969BA"/>
    <w:rPr>
      <w:rFonts w:ascii="Century" w:eastAsia="Century" w:hAnsi="Century" w:cs="Century"/>
    </w:rPr>
  </w:style>
  <w:style w:type="paragraph" w:customStyle="1" w:styleId="ja4">
    <w:name w:val="目次編（ja）"/>
    <w:basedOn w:val="a"/>
    <w:rsid w:val="009969BA"/>
    <w:pPr>
      <w:widowControl w:val="0"/>
      <w:ind w:left="219" w:hanging="219"/>
    </w:pPr>
    <w:rPr>
      <w:rFonts w:ascii="ＭＳ 明朝" w:eastAsia="ＭＳ 明朝" w:hAnsi="ＭＳ 明朝"/>
    </w:rPr>
  </w:style>
  <w:style w:type="paragraph" w:customStyle="1" w:styleId="en4">
    <w:name w:val="目次編（en）"/>
    <w:basedOn w:val="ja4"/>
    <w:rsid w:val="009969BA"/>
    <w:rPr>
      <w:rFonts w:ascii="Century" w:eastAsia="Century" w:hAnsi="Century"/>
    </w:rPr>
  </w:style>
  <w:style w:type="paragraph" w:customStyle="1" w:styleId="ja5">
    <w:name w:val="目次章（ja）"/>
    <w:basedOn w:val="a"/>
    <w:rsid w:val="009969BA"/>
    <w:pPr>
      <w:widowControl w:val="0"/>
      <w:ind w:left="439" w:hanging="219"/>
    </w:pPr>
    <w:rPr>
      <w:rFonts w:ascii="ＭＳ 明朝" w:eastAsia="ＭＳ 明朝" w:hAnsi="ＭＳ 明朝"/>
    </w:rPr>
  </w:style>
  <w:style w:type="paragraph" w:customStyle="1" w:styleId="en5">
    <w:name w:val="目次章（en）"/>
    <w:basedOn w:val="ja5"/>
    <w:rsid w:val="009969BA"/>
    <w:rPr>
      <w:rFonts w:ascii="Century" w:eastAsia="Century" w:hAnsi="Century"/>
    </w:rPr>
  </w:style>
  <w:style w:type="paragraph" w:customStyle="1" w:styleId="ja6">
    <w:name w:val="目次節（ja）"/>
    <w:basedOn w:val="a"/>
    <w:rsid w:val="009969BA"/>
    <w:pPr>
      <w:widowControl w:val="0"/>
      <w:ind w:left="659" w:hanging="219"/>
    </w:pPr>
    <w:rPr>
      <w:rFonts w:ascii="ＭＳ 明朝" w:eastAsia="ＭＳ 明朝" w:hAnsi="ＭＳ 明朝"/>
    </w:rPr>
  </w:style>
  <w:style w:type="paragraph" w:customStyle="1" w:styleId="en6">
    <w:name w:val="目次節（en）"/>
    <w:basedOn w:val="ja6"/>
    <w:rsid w:val="009969BA"/>
    <w:rPr>
      <w:rFonts w:ascii="Century" w:eastAsia="Century" w:hAnsi="Century"/>
    </w:rPr>
  </w:style>
  <w:style w:type="paragraph" w:customStyle="1" w:styleId="ja7">
    <w:name w:val="目次款（ja）"/>
    <w:basedOn w:val="a"/>
    <w:rsid w:val="009969BA"/>
    <w:pPr>
      <w:widowControl w:val="0"/>
      <w:ind w:left="879" w:hanging="219"/>
    </w:pPr>
    <w:rPr>
      <w:rFonts w:ascii="ＭＳ 明朝" w:eastAsia="ＭＳ 明朝" w:hAnsi="ＭＳ 明朝" w:cs="Kochi Mincho"/>
    </w:rPr>
  </w:style>
  <w:style w:type="paragraph" w:customStyle="1" w:styleId="en7">
    <w:name w:val="目次款（en）"/>
    <w:basedOn w:val="ja7"/>
    <w:rsid w:val="009969BA"/>
    <w:rPr>
      <w:rFonts w:ascii="Century" w:eastAsia="Century" w:hAnsi="Century"/>
    </w:rPr>
  </w:style>
  <w:style w:type="paragraph" w:customStyle="1" w:styleId="ja8">
    <w:name w:val="別表名（ja）"/>
    <w:basedOn w:val="a"/>
    <w:rsid w:val="009969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69BA"/>
    <w:rPr>
      <w:rFonts w:ascii="Century" w:eastAsia="Century" w:hAnsi="Century" w:cs="Century"/>
    </w:rPr>
  </w:style>
  <w:style w:type="paragraph" w:customStyle="1" w:styleId="ja9">
    <w:name w:val="目（ja）"/>
    <w:basedOn w:val="a"/>
    <w:rsid w:val="009969BA"/>
    <w:pPr>
      <w:widowControl w:val="0"/>
      <w:ind w:left="1541" w:hanging="221"/>
    </w:pPr>
    <w:rPr>
      <w:rFonts w:ascii="ＭＳ 明朝" w:eastAsia="ＭＳ 明朝" w:hAnsi="ＭＳ 明朝" w:cs="ＭＳ 明朝"/>
      <w:b/>
    </w:rPr>
  </w:style>
  <w:style w:type="paragraph" w:customStyle="1" w:styleId="en9">
    <w:name w:val="目（en）"/>
    <w:basedOn w:val="ja9"/>
    <w:rsid w:val="009969BA"/>
    <w:rPr>
      <w:rFonts w:ascii="Century" w:eastAsia="Century" w:hAnsi="Century" w:cs="Century"/>
    </w:rPr>
  </w:style>
  <w:style w:type="paragraph" w:customStyle="1" w:styleId="jaa">
    <w:name w:val="見出し（ja）"/>
    <w:basedOn w:val="a"/>
    <w:rsid w:val="009969BA"/>
    <w:pPr>
      <w:widowControl w:val="0"/>
      <w:ind w:left="439" w:hanging="219"/>
    </w:pPr>
    <w:rPr>
      <w:rFonts w:ascii="ＭＳ 明朝" w:eastAsia="ＭＳ 明朝" w:hAnsi="ＭＳ 明朝" w:cs="ＭＳ 明朝"/>
    </w:rPr>
  </w:style>
  <w:style w:type="paragraph" w:customStyle="1" w:styleId="ena">
    <w:name w:val="見出し（en）"/>
    <w:basedOn w:val="jaa"/>
    <w:rsid w:val="009969BA"/>
    <w:rPr>
      <w:rFonts w:ascii="Century" w:eastAsia="Century" w:hAnsi="Century" w:cs="Century"/>
    </w:rPr>
  </w:style>
  <w:style w:type="paragraph" w:styleId="a3">
    <w:name w:val="footer"/>
    <w:basedOn w:val="a"/>
    <w:rsid w:val="009969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69BA"/>
    <w:pPr>
      <w:widowControl w:val="0"/>
      <w:ind w:left="1099" w:hanging="219"/>
    </w:pPr>
    <w:rPr>
      <w:rFonts w:ascii="ＭＳ 明朝" w:eastAsia="ＭＳ 明朝" w:hAnsi="ＭＳ 明朝" w:cs="Kochi Mincho"/>
    </w:rPr>
  </w:style>
  <w:style w:type="paragraph" w:customStyle="1" w:styleId="enb">
    <w:name w:val="目次目（en）"/>
    <w:basedOn w:val="jab"/>
    <w:rsid w:val="009969BA"/>
    <w:rPr>
      <w:rFonts w:ascii="Century" w:eastAsia="Century" w:hAnsi="Century"/>
    </w:rPr>
  </w:style>
  <w:style w:type="paragraph" w:customStyle="1" w:styleId="jac">
    <w:name w:val="目次附則（ja）"/>
    <w:basedOn w:val="a"/>
    <w:rsid w:val="009969BA"/>
    <w:pPr>
      <w:widowControl w:val="0"/>
      <w:ind w:left="439" w:hanging="219"/>
    </w:pPr>
    <w:rPr>
      <w:rFonts w:ascii="ＭＳ 明朝" w:eastAsia="ＭＳ 明朝" w:hAnsi="ＭＳ 明朝" w:cs="Kochi Mincho"/>
    </w:rPr>
  </w:style>
  <w:style w:type="paragraph" w:customStyle="1" w:styleId="enc">
    <w:name w:val="目次附則（en）"/>
    <w:basedOn w:val="jac"/>
    <w:rsid w:val="009969BA"/>
    <w:rPr>
      <w:rFonts w:ascii="Century" w:eastAsia="Century" w:hAnsi="Century" w:cs="Century"/>
    </w:rPr>
  </w:style>
  <w:style w:type="paragraph" w:customStyle="1" w:styleId="jad">
    <w:name w:val="目次前文（ja）"/>
    <w:basedOn w:val="jac"/>
    <w:rsid w:val="009969BA"/>
  </w:style>
  <w:style w:type="paragraph" w:customStyle="1" w:styleId="end">
    <w:name w:val="目次前文（en）"/>
    <w:basedOn w:val="enc"/>
    <w:rsid w:val="009969BA"/>
  </w:style>
  <w:style w:type="paragraph" w:customStyle="1" w:styleId="jae">
    <w:name w:val="制定文（ja）"/>
    <w:basedOn w:val="a"/>
    <w:rsid w:val="009969BA"/>
    <w:pPr>
      <w:widowControl w:val="0"/>
      <w:ind w:firstLine="219"/>
    </w:pPr>
    <w:rPr>
      <w:rFonts w:ascii="ＭＳ 明朝" w:eastAsia="ＭＳ 明朝" w:hAnsi="ＭＳ 明朝" w:cs="ＭＳ 明朝"/>
    </w:rPr>
  </w:style>
  <w:style w:type="paragraph" w:customStyle="1" w:styleId="ene">
    <w:name w:val="制定文（en）"/>
    <w:basedOn w:val="jae"/>
    <w:rsid w:val="009969BA"/>
    <w:rPr>
      <w:rFonts w:ascii="Century" w:eastAsia="Century" w:hAnsi="Century" w:cs="Century"/>
    </w:rPr>
  </w:style>
  <w:style w:type="paragraph" w:customStyle="1" w:styleId="jaf">
    <w:name w:val="法令番号（ja）"/>
    <w:basedOn w:val="a"/>
    <w:rsid w:val="009969BA"/>
    <w:pPr>
      <w:widowControl w:val="0"/>
      <w:jc w:val="right"/>
    </w:pPr>
    <w:rPr>
      <w:rFonts w:ascii="ＭＳ 明朝" w:eastAsia="ＭＳ 明朝" w:hAnsi="ＭＳ 明朝" w:cs="Kochi Mincho"/>
    </w:rPr>
  </w:style>
  <w:style w:type="paragraph" w:customStyle="1" w:styleId="enf">
    <w:name w:val="法令番号（en）"/>
    <w:basedOn w:val="jaf"/>
    <w:rsid w:val="009969BA"/>
    <w:rPr>
      <w:rFonts w:ascii="Century" w:eastAsia="Century" w:hAnsi="Century" w:cs="Century"/>
    </w:rPr>
  </w:style>
  <w:style w:type="paragraph" w:customStyle="1" w:styleId="jaf0">
    <w:name w:val="目次（ja）"/>
    <w:basedOn w:val="a"/>
    <w:rsid w:val="009969BA"/>
    <w:rPr>
      <w:rFonts w:ascii="ＭＳ 明朝" w:eastAsia="ＭＳ 明朝" w:hAnsi="ＭＳ 明朝"/>
    </w:rPr>
  </w:style>
  <w:style w:type="paragraph" w:customStyle="1" w:styleId="enf0">
    <w:name w:val="目次（en）"/>
    <w:basedOn w:val="jaf0"/>
    <w:rsid w:val="009969BA"/>
    <w:rPr>
      <w:rFonts w:ascii="Century" w:eastAsia="Century" w:hAnsi="Century"/>
    </w:rPr>
  </w:style>
  <w:style w:type="paragraph" w:customStyle="1" w:styleId="jaf1">
    <w:name w:val="編（ja）"/>
    <w:basedOn w:val="a"/>
    <w:rsid w:val="009969BA"/>
    <w:pPr>
      <w:widowControl w:val="0"/>
      <w:ind w:left="661" w:hanging="221"/>
    </w:pPr>
    <w:rPr>
      <w:rFonts w:ascii="ＭＳ 明朝" w:eastAsia="ＭＳ 明朝" w:hAnsi="ＭＳ 明朝" w:cs="ＭＳ 明朝"/>
      <w:b/>
    </w:rPr>
  </w:style>
  <w:style w:type="paragraph" w:customStyle="1" w:styleId="enf1">
    <w:name w:val="編（en）"/>
    <w:basedOn w:val="jaf1"/>
    <w:rsid w:val="009969BA"/>
    <w:rPr>
      <w:rFonts w:ascii="Century" w:eastAsia="Century" w:hAnsi="Century" w:cs="Century"/>
    </w:rPr>
  </w:style>
  <w:style w:type="paragraph" w:customStyle="1" w:styleId="jaf2">
    <w:name w:val="節（ja）"/>
    <w:basedOn w:val="a"/>
    <w:rsid w:val="009969BA"/>
    <w:pPr>
      <w:widowControl w:val="0"/>
      <w:ind w:left="1101" w:hanging="221"/>
    </w:pPr>
    <w:rPr>
      <w:rFonts w:ascii="ＭＳ 明朝" w:eastAsia="ＭＳ 明朝" w:hAnsi="ＭＳ 明朝" w:cs="ＭＳ 明朝"/>
      <w:b/>
    </w:rPr>
  </w:style>
  <w:style w:type="paragraph" w:customStyle="1" w:styleId="enf2">
    <w:name w:val="節（en）"/>
    <w:basedOn w:val="jaf2"/>
    <w:rsid w:val="009969BA"/>
    <w:rPr>
      <w:rFonts w:ascii="Century" w:eastAsia="Century" w:hAnsi="Century" w:cs="Century"/>
    </w:rPr>
  </w:style>
  <w:style w:type="paragraph" w:customStyle="1" w:styleId="jaf3">
    <w:name w:val="条（ja）"/>
    <w:basedOn w:val="a"/>
    <w:rsid w:val="009969BA"/>
    <w:pPr>
      <w:widowControl w:val="0"/>
      <w:ind w:left="219" w:hanging="219"/>
    </w:pPr>
    <w:rPr>
      <w:rFonts w:ascii="ＭＳ 明朝" w:eastAsia="ＭＳ 明朝" w:hAnsi="ＭＳ 明朝" w:cs="ＭＳ 明朝"/>
    </w:rPr>
  </w:style>
  <w:style w:type="paragraph" w:customStyle="1" w:styleId="enf3">
    <w:name w:val="条（en）"/>
    <w:basedOn w:val="jaf3"/>
    <w:rsid w:val="009969BA"/>
    <w:rPr>
      <w:rFonts w:ascii="Century" w:eastAsia="Century" w:hAnsi="Century" w:cs="Century"/>
    </w:rPr>
  </w:style>
  <w:style w:type="paragraph" w:customStyle="1" w:styleId="jaf4">
    <w:name w:val="項（ja）"/>
    <w:basedOn w:val="a"/>
    <w:rsid w:val="009969BA"/>
    <w:pPr>
      <w:widowControl w:val="0"/>
      <w:ind w:left="219" w:hanging="219"/>
    </w:pPr>
    <w:rPr>
      <w:rFonts w:ascii="ＭＳ 明朝" w:eastAsia="ＭＳ 明朝" w:hAnsi="ＭＳ 明朝" w:cs="ＭＳ 明朝"/>
    </w:rPr>
  </w:style>
  <w:style w:type="paragraph" w:customStyle="1" w:styleId="enf4">
    <w:name w:val="項（en）"/>
    <w:basedOn w:val="jaf4"/>
    <w:rsid w:val="009969BA"/>
    <w:rPr>
      <w:rFonts w:ascii="Century" w:eastAsia="Century" w:hAnsi="Century" w:cs="Century"/>
    </w:rPr>
  </w:style>
  <w:style w:type="paragraph" w:customStyle="1" w:styleId="jaf5">
    <w:name w:val="項　番号なし（ja）"/>
    <w:basedOn w:val="a"/>
    <w:rsid w:val="009969BA"/>
    <w:pPr>
      <w:widowControl w:val="0"/>
      <w:ind w:firstLine="221"/>
    </w:pPr>
    <w:rPr>
      <w:rFonts w:ascii="ＭＳ 明朝" w:eastAsia="ＭＳ 明朝" w:hAnsi="ＭＳ 明朝" w:cs="ＭＳ 明朝"/>
    </w:rPr>
  </w:style>
  <w:style w:type="paragraph" w:customStyle="1" w:styleId="enf5">
    <w:name w:val="項　番号なし（en）"/>
    <w:basedOn w:val="jaf5"/>
    <w:rsid w:val="009969BA"/>
    <w:rPr>
      <w:rFonts w:ascii="Century" w:eastAsia="Century" w:hAnsi="Century" w:cs="Century"/>
    </w:rPr>
  </w:style>
  <w:style w:type="paragraph" w:customStyle="1" w:styleId="jaf6">
    <w:name w:val="号（ja）"/>
    <w:basedOn w:val="a"/>
    <w:rsid w:val="009969BA"/>
    <w:pPr>
      <w:widowControl w:val="0"/>
      <w:ind w:left="439" w:hanging="219"/>
    </w:pPr>
    <w:rPr>
      <w:rFonts w:ascii="ＭＳ 明朝" w:eastAsia="ＭＳ 明朝" w:hAnsi="ＭＳ 明朝" w:cs="ＭＳ 明朝"/>
    </w:rPr>
  </w:style>
  <w:style w:type="paragraph" w:customStyle="1" w:styleId="enf6">
    <w:name w:val="号（en）"/>
    <w:basedOn w:val="jaf6"/>
    <w:rsid w:val="009969BA"/>
    <w:rPr>
      <w:rFonts w:ascii="Century" w:eastAsia="Century" w:hAnsi="Century" w:cs="Century"/>
    </w:rPr>
  </w:style>
  <w:style w:type="paragraph" w:customStyle="1" w:styleId="jaf7">
    <w:name w:val="号　番号なし（ja）"/>
    <w:basedOn w:val="a"/>
    <w:rsid w:val="009969BA"/>
    <w:pPr>
      <w:widowControl w:val="0"/>
      <w:ind w:left="221" w:firstLine="221"/>
    </w:pPr>
    <w:rPr>
      <w:rFonts w:ascii="ＭＳ 明朝" w:eastAsia="ＭＳ 明朝" w:hAnsi="ＭＳ 明朝" w:cs="ＭＳ 明朝"/>
    </w:rPr>
  </w:style>
  <w:style w:type="paragraph" w:customStyle="1" w:styleId="enf7">
    <w:name w:val="号　番号なし（en）"/>
    <w:basedOn w:val="jaf7"/>
    <w:rsid w:val="009969BA"/>
    <w:rPr>
      <w:rFonts w:ascii="Century" w:eastAsia="Century" w:hAnsi="Century" w:cs="Century"/>
    </w:rPr>
  </w:style>
  <w:style w:type="paragraph" w:customStyle="1" w:styleId="jaf8">
    <w:name w:val="備考号（ja）"/>
    <w:basedOn w:val="a"/>
    <w:rsid w:val="009969BA"/>
    <w:pPr>
      <w:widowControl w:val="0"/>
      <w:ind w:left="659" w:hanging="219"/>
    </w:pPr>
    <w:rPr>
      <w:rFonts w:ascii="ＭＳ 明朝" w:eastAsia="ＭＳ 明朝" w:hAnsi="ＭＳ 明朝" w:cs="ＭＳ 明朝"/>
    </w:rPr>
  </w:style>
  <w:style w:type="paragraph" w:customStyle="1" w:styleId="enf8">
    <w:name w:val="備考号（en）"/>
    <w:basedOn w:val="jaf8"/>
    <w:rsid w:val="009969BA"/>
    <w:rPr>
      <w:rFonts w:ascii="Century" w:eastAsia="Century" w:hAnsi="Century" w:cs="Century"/>
    </w:rPr>
  </w:style>
  <w:style w:type="paragraph" w:customStyle="1" w:styleId="jaf9">
    <w:name w:val="号細分（ja）"/>
    <w:basedOn w:val="a"/>
    <w:rsid w:val="009969BA"/>
    <w:pPr>
      <w:widowControl w:val="0"/>
      <w:ind w:left="659" w:hanging="219"/>
    </w:pPr>
    <w:rPr>
      <w:rFonts w:ascii="ＭＳ 明朝" w:eastAsia="ＭＳ 明朝" w:hAnsi="ＭＳ 明朝" w:cs="ＭＳ 明朝"/>
    </w:rPr>
  </w:style>
  <w:style w:type="paragraph" w:customStyle="1" w:styleId="enf9">
    <w:name w:val="号細分（en）"/>
    <w:basedOn w:val="jaf9"/>
    <w:rsid w:val="009969BA"/>
    <w:rPr>
      <w:rFonts w:ascii="Century" w:eastAsia="Century" w:hAnsi="Century" w:cs="Century"/>
    </w:rPr>
  </w:style>
  <w:style w:type="paragraph" w:customStyle="1" w:styleId="jafa">
    <w:name w:val="号細分　番号なし（ja）"/>
    <w:basedOn w:val="a"/>
    <w:rsid w:val="009969BA"/>
    <w:pPr>
      <w:widowControl w:val="0"/>
      <w:ind w:left="439"/>
    </w:pPr>
    <w:rPr>
      <w:rFonts w:ascii="ＭＳ 明朝" w:eastAsia="ＭＳ 明朝" w:hAnsi="ＭＳ 明朝" w:cs="ＭＳ 明朝"/>
    </w:rPr>
  </w:style>
  <w:style w:type="paragraph" w:customStyle="1" w:styleId="enfa">
    <w:name w:val="号細分　番号なし（en）"/>
    <w:basedOn w:val="jafa"/>
    <w:rsid w:val="009969BA"/>
    <w:rPr>
      <w:rFonts w:ascii="Century" w:eastAsia="Century" w:hAnsi="Century" w:cs="Century"/>
    </w:rPr>
  </w:style>
  <w:style w:type="paragraph" w:customStyle="1" w:styleId="jafb">
    <w:name w:val="備考号細分（ja）"/>
    <w:basedOn w:val="a"/>
    <w:rsid w:val="009969BA"/>
    <w:pPr>
      <w:widowControl w:val="0"/>
      <w:ind w:left="1099" w:hanging="439"/>
    </w:pPr>
    <w:rPr>
      <w:rFonts w:ascii="ＭＳ 明朝" w:eastAsia="ＭＳ 明朝" w:hAnsi="ＭＳ 明朝" w:cs="ＭＳ 明朝"/>
    </w:rPr>
  </w:style>
  <w:style w:type="paragraph" w:customStyle="1" w:styleId="enfb">
    <w:name w:val="備考号細分（en）"/>
    <w:basedOn w:val="jafb"/>
    <w:rsid w:val="009969BA"/>
    <w:rPr>
      <w:rFonts w:ascii="Century" w:eastAsia="Century" w:hAnsi="Century" w:cs="Century"/>
    </w:rPr>
  </w:style>
  <w:style w:type="paragraph" w:customStyle="1" w:styleId="jafc">
    <w:name w:val="号細細分（ja）"/>
    <w:basedOn w:val="a"/>
    <w:rsid w:val="009969BA"/>
    <w:pPr>
      <w:widowControl w:val="0"/>
      <w:ind w:left="1099" w:hanging="439"/>
    </w:pPr>
    <w:rPr>
      <w:rFonts w:ascii="ＭＳ 明朝" w:eastAsia="ＭＳ 明朝" w:hAnsi="ＭＳ 明朝" w:cs="ＭＳ 明朝"/>
    </w:rPr>
  </w:style>
  <w:style w:type="paragraph" w:customStyle="1" w:styleId="enfc">
    <w:name w:val="号細細分（en）"/>
    <w:basedOn w:val="jafc"/>
    <w:rsid w:val="009969BA"/>
    <w:rPr>
      <w:rFonts w:ascii="Century" w:eastAsia="Century" w:hAnsi="Century" w:cs="Century"/>
    </w:rPr>
  </w:style>
  <w:style w:type="paragraph" w:customStyle="1" w:styleId="jafd">
    <w:name w:val="号細細分　番号なし（ja）"/>
    <w:basedOn w:val="a"/>
    <w:rsid w:val="009969BA"/>
    <w:pPr>
      <w:widowControl w:val="0"/>
      <w:ind w:left="659"/>
    </w:pPr>
    <w:rPr>
      <w:rFonts w:ascii="ＭＳ 明朝" w:eastAsia="ＭＳ 明朝" w:hAnsi="ＭＳ 明朝" w:cs="ＭＳ 明朝"/>
    </w:rPr>
  </w:style>
  <w:style w:type="paragraph" w:customStyle="1" w:styleId="enfd">
    <w:name w:val="号細細分　番号なし（en）"/>
    <w:basedOn w:val="jafd"/>
    <w:rsid w:val="009969BA"/>
    <w:rPr>
      <w:rFonts w:ascii="Century" w:eastAsia="Century" w:hAnsi="Century" w:cs="Century"/>
    </w:rPr>
  </w:style>
  <w:style w:type="paragraph" w:customStyle="1" w:styleId="jafe">
    <w:name w:val="備考号細細分（ja）"/>
    <w:basedOn w:val="a"/>
    <w:rsid w:val="009969BA"/>
    <w:pPr>
      <w:widowControl w:val="0"/>
      <w:ind w:left="1319" w:hanging="439"/>
    </w:pPr>
    <w:rPr>
      <w:rFonts w:ascii="ＭＳ 明朝" w:eastAsia="ＭＳ 明朝" w:hAnsi="ＭＳ 明朝" w:cs="ＭＳ 明朝"/>
    </w:rPr>
  </w:style>
  <w:style w:type="paragraph" w:customStyle="1" w:styleId="enfe">
    <w:name w:val="備考号細細分（en）"/>
    <w:basedOn w:val="jafe"/>
    <w:rsid w:val="009969BA"/>
    <w:rPr>
      <w:rFonts w:ascii="Century" w:eastAsia="Century" w:hAnsi="Century" w:cs="Century"/>
    </w:rPr>
  </w:style>
  <w:style w:type="paragraph" w:customStyle="1" w:styleId="jaff">
    <w:name w:val="号細細細分（ja）"/>
    <w:basedOn w:val="a"/>
    <w:rsid w:val="009969BA"/>
    <w:pPr>
      <w:widowControl w:val="0"/>
      <w:ind w:left="1319" w:hanging="439"/>
    </w:pPr>
    <w:rPr>
      <w:rFonts w:ascii="ＭＳ 明朝" w:eastAsia="ＭＳ 明朝" w:hAnsi="ＭＳ 明朝" w:cs="ＭＳ 明朝"/>
    </w:rPr>
  </w:style>
  <w:style w:type="paragraph" w:customStyle="1" w:styleId="enff">
    <w:name w:val="号細細細分（en）"/>
    <w:basedOn w:val="jaff"/>
    <w:rsid w:val="009969BA"/>
    <w:rPr>
      <w:rFonts w:ascii="Century" w:eastAsia="Century" w:hAnsi="Century" w:cs="Century"/>
    </w:rPr>
  </w:style>
  <w:style w:type="paragraph" w:customStyle="1" w:styleId="jaff0">
    <w:name w:val="号細細細分　番号なし（ja）"/>
    <w:basedOn w:val="a"/>
    <w:rsid w:val="009969BA"/>
    <w:pPr>
      <w:widowControl w:val="0"/>
      <w:ind w:left="879"/>
    </w:pPr>
    <w:rPr>
      <w:rFonts w:ascii="ＭＳ 明朝" w:eastAsia="ＭＳ 明朝" w:hAnsi="ＭＳ 明朝" w:cs="ＭＳ 明朝"/>
    </w:rPr>
  </w:style>
  <w:style w:type="paragraph" w:customStyle="1" w:styleId="enff0">
    <w:name w:val="号細細細分　番号なし（en）"/>
    <w:basedOn w:val="jaff0"/>
    <w:rsid w:val="009969BA"/>
    <w:rPr>
      <w:rFonts w:ascii="Century" w:eastAsia="Century" w:hAnsi="Century" w:cs="Century"/>
    </w:rPr>
  </w:style>
  <w:style w:type="paragraph" w:customStyle="1" w:styleId="jaff1">
    <w:name w:val="備考号細細細分（ja）"/>
    <w:basedOn w:val="a"/>
    <w:rsid w:val="009969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69BA"/>
    <w:rPr>
      <w:rFonts w:ascii="Century" w:eastAsia="Century" w:hAnsi="Century" w:cs="Century"/>
    </w:rPr>
  </w:style>
  <w:style w:type="paragraph" w:customStyle="1" w:styleId="jaff2">
    <w:name w:val="類（ja）"/>
    <w:basedOn w:val="a"/>
    <w:rsid w:val="009969BA"/>
    <w:pPr>
      <w:widowControl w:val="0"/>
      <w:ind w:left="439" w:hanging="219"/>
    </w:pPr>
    <w:rPr>
      <w:rFonts w:ascii="ＭＳ 明朝" w:eastAsia="ＭＳ 明朝" w:hAnsi="ＭＳ 明朝" w:cs="ＭＳ 明朝"/>
    </w:rPr>
  </w:style>
  <w:style w:type="paragraph" w:customStyle="1" w:styleId="enff2">
    <w:name w:val="類（en）"/>
    <w:basedOn w:val="jaff2"/>
    <w:rsid w:val="009969BA"/>
    <w:rPr>
      <w:rFonts w:ascii="Century" w:eastAsia="Century" w:hAnsi="Century" w:cs="Century"/>
    </w:rPr>
  </w:style>
  <w:style w:type="paragraph" w:customStyle="1" w:styleId="jaff3">
    <w:name w:val="公布文（ja）"/>
    <w:basedOn w:val="a"/>
    <w:rsid w:val="009969BA"/>
    <w:pPr>
      <w:widowControl w:val="0"/>
      <w:ind w:firstLine="219"/>
    </w:pPr>
    <w:rPr>
      <w:rFonts w:ascii="ＭＳ 明朝" w:eastAsia="ＭＳ 明朝" w:hAnsi="ＭＳ 明朝" w:cs="ＭＳ 明朝"/>
    </w:rPr>
  </w:style>
  <w:style w:type="paragraph" w:customStyle="1" w:styleId="enff3">
    <w:name w:val="公布文（en）"/>
    <w:basedOn w:val="jaff3"/>
    <w:rsid w:val="009969BA"/>
    <w:rPr>
      <w:rFonts w:ascii="Century" w:eastAsia="Century" w:hAnsi="Century" w:cs="Century"/>
    </w:rPr>
  </w:style>
  <w:style w:type="paragraph" w:customStyle="1" w:styleId="jaen">
    <w:name w:val="表（ja：en）"/>
    <w:basedOn w:val="a"/>
    <w:rsid w:val="009969BA"/>
    <w:pPr>
      <w:widowControl w:val="0"/>
      <w:snapToGrid w:val="0"/>
    </w:pPr>
    <w:rPr>
      <w:rFonts w:ascii="Century" w:eastAsia="ＭＳ 明朝" w:hAnsi="Century"/>
    </w:rPr>
  </w:style>
  <w:style w:type="paragraph" w:customStyle="1" w:styleId="jaff4">
    <w:name w:val="備考（ja）"/>
    <w:basedOn w:val="a"/>
    <w:rsid w:val="009969BA"/>
    <w:pPr>
      <w:widowControl w:val="0"/>
      <w:ind w:left="439" w:hanging="219"/>
    </w:pPr>
    <w:rPr>
      <w:rFonts w:ascii="ＭＳ 明朝" w:eastAsia="ＭＳ 明朝" w:hAnsi="ＭＳ 明朝" w:cs="ＭＳ 明朝"/>
    </w:rPr>
  </w:style>
  <w:style w:type="paragraph" w:customStyle="1" w:styleId="enff4">
    <w:name w:val="備考（en）"/>
    <w:basedOn w:val="jaff4"/>
    <w:rsid w:val="009969BA"/>
    <w:rPr>
      <w:rFonts w:ascii="Century" w:eastAsia="Century" w:hAnsi="Century" w:cs="Century"/>
    </w:rPr>
  </w:style>
  <w:style w:type="paragraph" w:customStyle="1" w:styleId="jaff5">
    <w:name w:val="表タイトル（ja）"/>
    <w:basedOn w:val="a"/>
    <w:rsid w:val="009969BA"/>
    <w:pPr>
      <w:widowControl w:val="0"/>
      <w:ind w:left="219"/>
    </w:pPr>
    <w:rPr>
      <w:rFonts w:ascii="ＭＳ 明朝" w:eastAsia="ＭＳ 明朝" w:hAnsi="ＭＳ 明朝" w:cs="ＭＳ 明朝"/>
    </w:rPr>
  </w:style>
  <w:style w:type="paragraph" w:customStyle="1" w:styleId="enff5">
    <w:name w:val="表タイトル（en）"/>
    <w:basedOn w:val="jaff5"/>
    <w:rsid w:val="009969BA"/>
    <w:rPr>
      <w:rFonts w:ascii="Century" w:eastAsia="Century" w:hAnsi="Century" w:cs="Century"/>
    </w:rPr>
  </w:style>
  <w:style w:type="paragraph" w:customStyle="1" w:styleId="jaff6">
    <w:name w:val="改正規定文（ja）"/>
    <w:basedOn w:val="a"/>
    <w:rsid w:val="009969BA"/>
    <w:pPr>
      <w:widowControl w:val="0"/>
      <w:ind w:left="219" w:firstLine="219"/>
    </w:pPr>
    <w:rPr>
      <w:rFonts w:ascii="ＭＳ 明朝" w:eastAsia="ＭＳ 明朝" w:hAnsi="ＭＳ 明朝" w:cs="ＭＳ 明朝"/>
    </w:rPr>
  </w:style>
  <w:style w:type="paragraph" w:customStyle="1" w:styleId="enff6">
    <w:name w:val="改正規定文（en）"/>
    <w:basedOn w:val="jaff6"/>
    <w:rsid w:val="009969BA"/>
    <w:rPr>
      <w:rFonts w:ascii="Century" w:eastAsia="Century" w:hAnsi="Century" w:cs="Century"/>
    </w:rPr>
  </w:style>
  <w:style w:type="paragraph" w:customStyle="1" w:styleId="jaff7">
    <w:name w:val="付記（ja）"/>
    <w:basedOn w:val="a"/>
    <w:rsid w:val="009969BA"/>
    <w:pPr>
      <w:widowControl w:val="0"/>
      <w:ind w:left="219" w:firstLine="219"/>
    </w:pPr>
    <w:rPr>
      <w:rFonts w:ascii="ＭＳ 明朝" w:eastAsia="ＭＳ 明朝" w:hAnsi="ＭＳ 明朝" w:cs="ＭＳ 明朝"/>
    </w:rPr>
  </w:style>
  <w:style w:type="paragraph" w:customStyle="1" w:styleId="enff7">
    <w:name w:val="付記（en）"/>
    <w:basedOn w:val="jaff7"/>
    <w:rsid w:val="009969BA"/>
    <w:rPr>
      <w:rFonts w:ascii="Century" w:eastAsia="Century" w:hAnsi="Century" w:cs="Century"/>
    </w:rPr>
  </w:style>
  <w:style w:type="paragraph" w:customStyle="1" w:styleId="jaff8">
    <w:name w:val="様式名（ja）"/>
    <w:basedOn w:val="a"/>
    <w:rsid w:val="009969BA"/>
    <w:pPr>
      <w:widowControl w:val="0"/>
      <w:ind w:left="439" w:hanging="219"/>
    </w:pPr>
    <w:rPr>
      <w:rFonts w:ascii="ＭＳ 明朝" w:eastAsia="ＭＳ 明朝" w:hAnsi="ＭＳ 明朝" w:cs="ＭＳ 明朝"/>
    </w:rPr>
  </w:style>
  <w:style w:type="paragraph" w:customStyle="1" w:styleId="enff8">
    <w:name w:val="様式名（en）"/>
    <w:basedOn w:val="jaff8"/>
    <w:rsid w:val="009969BA"/>
    <w:rPr>
      <w:rFonts w:ascii="Century" w:eastAsia="Century" w:hAnsi="Century" w:cs="Century"/>
    </w:rPr>
  </w:style>
  <w:style w:type="paragraph" w:customStyle="1" w:styleId="jaff9">
    <w:name w:val="様式項目（ja）"/>
    <w:basedOn w:val="a"/>
    <w:rsid w:val="009969BA"/>
    <w:pPr>
      <w:widowControl w:val="0"/>
      <w:ind w:left="221" w:firstLine="221"/>
    </w:pPr>
    <w:rPr>
      <w:rFonts w:ascii="ＭＳ 明朝" w:eastAsia="ＭＳ 明朝" w:hAnsi="ＭＳ 明朝" w:cs="ＭＳ 明朝"/>
    </w:rPr>
  </w:style>
  <w:style w:type="paragraph" w:customStyle="1" w:styleId="enff9">
    <w:name w:val="様式項目（en）"/>
    <w:basedOn w:val="jaff9"/>
    <w:rsid w:val="009969BA"/>
    <w:rPr>
      <w:rFonts w:ascii="Century" w:eastAsia="Century" w:hAnsi="Century" w:cs="Century"/>
    </w:rPr>
  </w:style>
  <w:style w:type="table" w:customStyle="1" w:styleId="1">
    <w:name w:val="表1"/>
    <w:rsid w:val="009969BA"/>
    <w:tblPr>
      <w:tblInd w:w="340" w:type="dxa"/>
      <w:tblCellMar>
        <w:top w:w="0" w:type="dxa"/>
        <w:left w:w="0" w:type="dxa"/>
        <w:bottom w:w="0" w:type="dxa"/>
        <w:right w:w="0" w:type="dxa"/>
      </w:tblCellMar>
    </w:tblPr>
  </w:style>
  <w:style w:type="numbering" w:customStyle="1" w:styleId="WW8Num1">
    <w:name w:val="WW8Num1"/>
    <w:rsid w:val="009969BA"/>
    <w:pPr>
      <w:numPr>
        <w:numId w:val="2"/>
      </w:numPr>
    </w:pPr>
  </w:style>
  <w:style w:type="numbering" w:customStyle="1" w:styleId="WW8Num2">
    <w:name w:val="WW8Num2"/>
    <w:rsid w:val="009969BA"/>
    <w:pPr>
      <w:numPr>
        <w:numId w:val="3"/>
      </w:numPr>
    </w:pPr>
  </w:style>
  <w:style w:type="numbering" w:customStyle="1" w:styleId="WW8Num3">
    <w:name w:val="WW8Num3"/>
    <w:rsid w:val="009969BA"/>
    <w:pPr>
      <w:numPr>
        <w:numId w:val="4"/>
      </w:numPr>
    </w:pPr>
  </w:style>
  <w:style w:type="numbering" w:customStyle="1" w:styleId="WW8Num4">
    <w:name w:val="WW8Num4"/>
    <w:rsid w:val="009969BA"/>
    <w:pPr>
      <w:numPr>
        <w:numId w:val="5"/>
      </w:numPr>
    </w:pPr>
  </w:style>
  <w:style w:type="numbering" w:customStyle="1" w:styleId="WW8Num5">
    <w:name w:val="WW8Num5"/>
    <w:rsid w:val="009969BA"/>
    <w:pPr>
      <w:numPr>
        <w:numId w:val="6"/>
      </w:numPr>
    </w:pPr>
  </w:style>
  <w:style w:type="numbering" w:customStyle="1" w:styleId="WW8Num6">
    <w:name w:val="WW8Num6"/>
    <w:rsid w:val="009969BA"/>
    <w:pPr>
      <w:numPr>
        <w:numId w:val="7"/>
      </w:numPr>
    </w:pPr>
  </w:style>
  <w:style w:type="numbering" w:customStyle="1" w:styleId="WW8Num7">
    <w:name w:val="WW8Num7"/>
    <w:rsid w:val="009969BA"/>
    <w:pPr>
      <w:numPr>
        <w:numId w:val="8"/>
      </w:numPr>
    </w:pPr>
  </w:style>
  <w:style w:type="numbering" w:customStyle="1" w:styleId="WW8Num8">
    <w:name w:val="WW8Num8"/>
    <w:rsid w:val="009969BA"/>
    <w:pPr>
      <w:numPr>
        <w:numId w:val="9"/>
      </w:numPr>
    </w:pPr>
  </w:style>
  <w:style w:type="numbering" w:customStyle="1" w:styleId="WW8Num9">
    <w:name w:val="WW8Num9"/>
    <w:rsid w:val="009969BA"/>
    <w:pPr>
      <w:numPr>
        <w:numId w:val="10"/>
      </w:numPr>
    </w:pPr>
  </w:style>
  <w:style w:type="numbering" w:customStyle="1" w:styleId="WW8Num10">
    <w:name w:val="WW8Num10"/>
    <w:rsid w:val="009969BA"/>
    <w:pPr>
      <w:numPr>
        <w:numId w:val="11"/>
      </w:numPr>
    </w:pPr>
  </w:style>
  <w:style w:type="numbering" w:customStyle="1" w:styleId="WW8Num11">
    <w:name w:val="WW8Num11"/>
    <w:rsid w:val="009969BA"/>
    <w:pPr>
      <w:numPr>
        <w:numId w:val="12"/>
      </w:numPr>
    </w:pPr>
  </w:style>
  <w:style w:type="numbering" w:customStyle="1" w:styleId="WW8Num12">
    <w:name w:val="WW8Num12"/>
    <w:rsid w:val="009969BA"/>
    <w:pPr>
      <w:numPr>
        <w:numId w:val="13"/>
      </w:numPr>
    </w:pPr>
  </w:style>
  <w:style w:type="paragraph" w:styleId="a4">
    <w:name w:val="header"/>
    <w:basedOn w:val="a"/>
    <w:link w:val="a5"/>
    <w:uiPriority w:val="99"/>
    <w:unhideWhenUsed/>
    <w:rsid w:val="00E23D9B"/>
    <w:pPr>
      <w:tabs>
        <w:tab w:val="center" w:pos="4252"/>
        <w:tab w:val="right" w:pos="8504"/>
      </w:tabs>
      <w:snapToGrid w:val="0"/>
    </w:pPr>
  </w:style>
  <w:style w:type="character" w:customStyle="1" w:styleId="a5">
    <w:name w:val="ヘッダー (文字)"/>
    <w:basedOn w:val="a0"/>
    <w:link w:val="a4"/>
    <w:uiPriority w:val="99"/>
    <w:rsid w:val="00E23D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5716</Words>
  <Characters>32583</Characters>
  <Application>Microsoft Office Word</Application>
  <DocSecurity>0</DocSecurity>
  <Lines>271</Lines>
  <Paragraphs>76</Paragraphs>
  <ScaleCrop>false</ScaleCrop>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2022-01-04T06:19:00Z</dcterms:created>
  <dcterms:modified xsi:type="dcterms:W3CDTF">2022-01-04T06:19:00Z</dcterms:modified>
</cp:coreProperties>
</file>