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809" w:rsidRDefault="00B153DA">
      <w:pPr>
        <w:pStyle w:val="ja"/>
      </w:pPr>
      <w:r>
        <w:t>証券金融会社に関する内閣府令</w:t>
      </w:r>
    </w:p>
    <w:p w:rsidR="00066809" w:rsidRDefault="00B153DA">
      <w:pPr>
        <w:pStyle w:val="en"/>
      </w:pPr>
      <w:r>
        <w:t>Cabinet Office Ordinance on Securities Finance Companies</w:t>
      </w:r>
    </w:p>
    <w:p w:rsidR="00066809" w:rsidRDefault="00066809"/>
    <w:p w:rsidR="00066809" w:rsidRDefault="00B153DA">
      <w:pPr>
        <w:pStyle w:val="jaf"/>
      </w:pPr>
      <w:r>
        <w:t>（昭和三十年八月一日大蔵省令第四十五号）</w:t>
      </w:r>
    </w:p>
    <w:p w:rsidR="00066809" w:rsidRDefault="00B153DA">
      <w:pPr>
        <w:pStyle w:val="enf"/>
      </w:pPr>
      <w:r>
        <w:t>(Ordinance of the Ministry of Finance No. 45 of August 1, 1955)</w:t>
      </w:r>
    </w:p>
    <w:p w:rsidR="00066809" w:rsidRDefault="00066809"/>
    <w:p w:rsidR="00066809" w:rsidRDefault="00B153DA">
      <w:pPr>
        <w:pStyle w:val="jae"/>
      </w:pPr>
      <w:r>
        <w:t>証券取引法の規定に基き、並びに同法を実施するため、証券金融会社に関する省令を次のように定める。</w:t>
      </w:r>
    </w:p>
    <w:p w:rsidR="00066809" w:rsidRDefault="00B153DA">
      <w:pPr>
        <w:pStyle w:val="ene"/>
      </w:pPr>
      <w:r>
        <w:t xml:space="preserve">Pursuant to the provisions of the </w:t>
      </w:r>
      <w:r>
        <w:t>Securities and Exchange Act, and for the purpose of enforcing said Act, the Ministerial Ordinance on Securities Finance Companies is established as follows.</w:t>
      </w:r>
    </w:p>
    <w:p w:rsidR="00066809" w:rsidRDefault="00066809"/>
    <w:p w:rsidR="00066809" w:rsidRDefault="00B153DA">
      <w:pPr>
        <w:pStyle w:val="jaa"/>
      </w:pPr>
      <w:r>
        <w:t>（免許申請書の経由）</w:t>
      </w:r>
    </w:p>
    <w:p w:rsidR="00066809" w:rsidRDefault="00B153DA">
      <w:pPr>
        <w:pStyle w:val="ena"/>
      </w:pPr>
      <w:r>
        <w:t>(Route of Written Application for License)</w:t>
      </w:r>
    </w:p>
    <w:p w:rsidR="00066809" w:rsidRDefault="00B153DA">
      <w:pPr>
        <w:pStyle w:val="jaf3"/>
      </w:pPr>
      <w:r>
        <w:t>第一条　法第百五十六条の二十四第二項の規定により申請書を内閣総理大臣に提出しようとする者</w:t>
      </w:r>
      <w:r>
        <w:t>は、当該申請書を金融庁長官を経由して提出しなければならない。</w:t>
      </w:r>
    </w:p>
    <w:p w:rsidR="00066809" w:rsidRDefault="00B153DA">
      <w:pPr>
        <w:pStyle w:val="enf3"/>
      </w:pPr>
      <w:r>
        <w:t>Article 1  A person who intends to submit a written application to the Prime Minister pursuant to the provisions of Article 156-24, paragraph (2) of the Act must submit said written application via the Commissioner of the Fin</w:t>
      </w:r>
      <w:r>
        <w:t>ancial Services Agency.</w:t>
      </w:r>
    </w:p>
    <w:p w:rsidR="00066809" w:rsidRDefault="00066809"/>
    <w:p w:rsidR="00066809" w:rsidRDefault="00B153DA">
      <w:pPr>
        <w:pStyle w:val="jaa"/>
      </w:pPr>
      <w:r>
        <w:t>（免許申請書の添付書類）</w:t>
      </w:r>
    </w:p>
    <w:p w:rsidR="00066809" w:rsidRDefault="00B153DA">
      <w:pPr>
        <w:pStyle w:val="ena"/>
      </w:pPr>
      <w:r>
        <w:t>(Documents to be Attached to Written Application for License)</w:t>
      </w:r>
    </w:p>
    <w:p w:rsidR="00066809" w:rsidRDefault="00B153DA">
      <w:pPr>
        <w:pStyle w:val="jaf3"/>
      </w:pPr>
      <w:r>
        <w:t>第一条の二　金融商品取引法　（昭和二十三年法律第二十五号。以下「法」という。）第百五十六条の二十四第三項　に規定する書類は、次の各号に掲げる書類とする。</w:t>
      </w:r>
    </w:p>
    <w:p w:rsidR="00066809" w:rsidRDefault="00B153DA">
      <w:pPr>
        <w:pStyle w:val="enf3"/>
      </w:pPr>
      <w:r>
        <w:t>Article 1-2  (1) Documents prescribed in Article 156-24, paragraph (3) of the F</w:t>
      </w:r>
      <w:r>
        <w:t>inancial Instruments and Exchange Act (Act No. 25 of 1948; hereinafter referred to as the "Act") shall be the documents listed in the following items:</w:t>
      </w:r>
    </w:p>
    <w:p w:rsidR="00066809" w:rsidRDefault="00B153DA">
      <w:pPr>
        <w:pStyle w:val="jaf6"/>
      </w:pPr>
      <w:r>
        <w:t>一　登記事項証明書</w:t>
      </w:r>
    </w:p>
    <w:p w:rsidR="00066809" w:rsidRDefault="00B153DA">
      <w:pPr>
        <w:pStyle w:val="enf6"/>
      </w:pPr>
      <w:r>
        <w:t>(i) certificate of registered information;</w:t>
      </w:r>
    </w:p>
    <w:p w:rsidR="00066809" w:rsidRDefault="00B153DA">
      <w:pPr>
        <w:pStyle w:val="jaf6"/>
      </w:pPr>
      <w:r>
        <w:t>二　役員の履歴書（役員が法人であるときは、当該役員の沿革を記載した書面）及び住民票の抄本（本籍の記載のあ</w:t>
      </w:r>
      <w:r>
        <w:t>るものに限り、役員が法人であるときは、当該役員の登記事項証明書）又はこれに代わる書面並びに役員が法第八十二条第二項第三号　イ、ロ又はホのいずれにも該当しない者であることを当該役員が誓約する書面</w:t>
      </w:r>
    </w:p>
    <w:p w:rsidR="00066809" w:rsidRDefault="00B153DA">
      <w:pPr>
        <w:pStyle w:val="enf6"/>
      </w:pPr>
      <w:r>
        <w:t>(ii) Officers' resume (when the Officer is a juridical person, a document stating the history of said Officer) and extracts of residence certificate (limited t</w:t>
      </w:r>
      <w:r>
        <w:t xml:space="preserve">o those stating the registered domicile; when the Officer is a juridical person, a certificate of registered information of said Officer) or other documents in lieu thereof and a document with which Officers pledge that said Officers do </w:t>
      </w:r>
      <w:r>
        <w:lastRenderedPageBreak/>
        <w:t xml:space="preserve">not fall under any </w:t>
      </w:r>
      <w:r>
        <w:t>of Article 82, paragraph (2), item (iii) (a), (b) or (e) of the Act;</w:t>
      </w:r>
    </w:p>
    <w:p w:rsidR="00066809" w:rsidRDefault="00B153DA">
      <w:pPr>
        <w:pStyle w:val="jaf6"/>
      </w:pPr>
      <w:r>
        <w:t>三　株主の氏名又は商号及びその有する株式の数を記載した書面</w:t>
      </w:r>
    </w:p>
    <w:p w:rsidR="00066809" w:rsidRDefault="00B153DA">
      <w:pPr>
        <w:pStyle w:val="enf6"/>
      </w:pPr>
      <w:r>
        <w:t>(iii) a document stating the name or trade name of shareholders and the number of shares held by said shareholders;</w:t>
      </w:r>
    </w:p>
    <w:p w:rsidR="00066809" w:rsidRDefault="00B153DA">
      <w:pPr>
        <w:pStyle w:val="jaf6"/>
      </w:pPr>
      <w:r>
        <w:t>四　免許申請者が金融商品取引所（法第二条第十六項に規定する金融商品取引所をいう。以</w:t>
      </w:r>
      <w:r>
        <w:t>下同じ。）が開設する取引所金融商品市場（同条第十七項に規定する取引所金融商品市場をいう。以下同じ。）又は認可金融商品取引業協会（同条第十三項に規定する認可金融商品取引業協会をいう。以下同じ。）が開設する店頭売買有価証券市場（法第六十七条第二項に規定する店頭売買有価証券市場をいう。以下同じ。）の決済機構を利用することについて当該金融商品取引所又は当該認可金融商品取引業協会と締結した契約に関する書面の写し</w:t>
      </w:r>
    </w:p>
    <w:p w:rsidR="00066809" w:rsidRDefault="00B153DA">
      <w:pPr>
        <w:pStyle w:val="enf6"/>
      </w:pPr>
      <w:r>
        <w:t>(iv) a copy of a document on a contract concerning th</w:t>
      </w:r>
      <w:r>
        <w:t>e utilization of clearing systems of a Financial Instruments Exchange Market (meaning Financial Instruments Exchange Market prescribed in Article 2, paragraph (17) of the Act; the same shall apply hereinafter) established by a Financial Instruments Exchang</w:t>
      </w:r>
      <w:r>
        <w:t>e (meaning Financial Instruments Exchange prescribed in paragraph (16) of that Article; the same shall apply hereinafter) or an Over-the-Counter Securities Market (meaning Over-the-Counter Securities Market prescribed in Article 67, paragraph (2) of the Ac</w:t>
      </w:r>
      <w:r>
        <w:t>t; the same shall apply hereinafter) established by an Authorized Financial Instruments Business Association (meaning Authorized Financial Instruments Business Association prescribed in Article 2, paragraph (13) of the Act; the same shall apply hereinafter</w:t>
      </w:r>
      <w:r>
        <w:t>) concluded by the applicant for license with said Financial Instruments Exchange or said Authorized Financial Instruments Business Association;</w:t>
      </w:r>
    </w:p>
    <w:p w:rsidR="00066809" w:rsidRDefault="00B153DA">
      <w:pPr>
        <w:pStyle w:val="jaf6"/>
      </w:pPr>
      <w:r>
        <w:t>五　金銭又は有価証券の貸付けの条件に関する書面</w:t>
      </w:r>
    </w:p>
    <w:p w:rsidR="00066809" w:rsidRDefault="00B153DA">
      <w:pPr>
        <w:pStyle w:val="enf6"/>
      </w:pPr>
      <w:r>
        <w:t>(v) a document related to the conditions for lending money or Securities;</w:t>
      </w:r>
    </w:p>
    <w:p w:rsidR="00066809" w:rsidRDefault="00B153DA">
      <w:pPr>
        <w:pStyle w:val="jaf6"/>
      </w:pPr>
      <w:r>
        <w:t>六　資金調達の方法に関する書面</w:t>
      </w:r>
    </w:p>
    <w:p w:rsidR="00066809" w:rsidRDefault="00B153DA">
      <w:pPr>
        <w:pStyle w:val="enf6"/>
      </w:pPr>
      <w:r>
        <w:t>(vi) a document related to fund procurement method;</w:t>
      </w:r>
    </w:p>
    <w:p w:rsidR="00066809" w:rsidRDefault="00B153DA">
      <w:pPr>
        <w:pStyle w:val="jaf6"/>
      </w:pPr>
      <w:r>
        <w:t>七　業務開始後三事業年度（事業年度の期間が一年以上の場合においては、二事業年度。以下同じ。）における取引及び収支の予想を記載した書面</w:t>
      </w:r>
    </w:p>
    <w:p w:rsidR="00066809" w:rsidRDefault="00B153DA">
      <w:pPr>
        <w:pStyle w:val="enf6"/>
      </w:pPr>
      <w:r>
        <w:t>(vii) a document stating the projections for transactions and income and expenditure for the three business years after t</w:t>
      </w:r>
      <w:r>
        <w:t>he commencement of business (if the duration of the business year is one year or more, two business years; the same shall apply hereinafter);</w:t>
      </w:r>
    </w:p>
    <w:p w:rsidR="00066809" w:rsidRDefault="00B153DA">
      <w:pPr>
        <w:pStyle w:val="jaf6"/>
      </w:pPr>
      <w:r>
        <w:t>八　免許申請の際現に金融商品取引所の会員等（法第五十六条の四第一項　に規定する会員等をいう。）又は認可金融商品取引業協会の協会員に対して金銭又は有価証券を貸し付けている場合においては、その貸付けの状況を記載した書面</w:t>
      </w:r>
    </w:p>
    <w:p w:rsidR="00066809" w:rsidRDefault="00B153DA">
      <w:pPr>
        <w:pStyle w:val="enf6"/>
      </w:pPr>
      <w:r>
        <w:t>(viii)</w:t>
      </w:r>
      <w:r>
        <w:t xml:space="preserve"> if money or Securities are loaned to a Member, etc. of a Financial Instruments Exchange (meaning Member, etc. prescribed in Article 56-4, </w:t>
      </w:r>
      <w:r>
        <w:lastRenderedPageBreak/>
        <w:t>paragraph (1) of the Act) or an Association Member of an Authorized Financial Instruments Business Association upon f</w:t>
      </w:r>
      <w:r>
        <w:t>iling an application for a license, a document stating the loan status thereof;</w:t>
      </w:r>
    </w:p>
    <w:p w:rsidR="00066809" w:rsidRDefault="00B153DA">
      <w:pPr>
        <w:pStyle w:val="jaf6"/>
      </w:pPr>
      <w:r>
        <w:t>九　最近三事業年度末の貸借対照表（関連する注記を含む。第三条の三第一項第二号を除き、以下同じ。）及び最近三事業年度の損益計算書（関連する注記を含む。以下同じ。）</w:t>
      </w:r>
    </w:p>
    <w:p w:rsidR="00066809" w:rsidRDefault="00B153DA">
      <w:pPr>
        <w:pStyle w:val="enf6"/>
      </w:pPr>
      <w:r>
        <w:t>(ix) the balance sheet as of the end of the last three business years (including related notes;</w:t>
      </w:r>
      <w:r>
        <w:t xml:space="preserve"> the same shall apply hereinafter, excluding Article 3-3, paragraph (1), item (ii)) and profit and loss statement for the last three business years (including related notes; the same shall apply hereinafter);</w:t>
      </w:r>
    </w:p>
    <w:p w:rsidR="00066809" w:rsidRDefault="00B153DA">
      <w:pPr>
        <w:pStyle w:val="jaf6"/>
      </w:pPr>
      <w:r>
        <w:t>十　最近三事業年度の株主資本等変動計算書（関連する注記を含む。以下同じ。）</w:t>
      </w:r>
    </w:p>
    <w:p w:rsidR="00066809" w:rsidRDefault="00B153DA">
      <w:pPr>
        <w:pStyle w:val="enf6"/>
      </w:pPr>
      <w:r>
        <w:t>(x) the s</w:t>
      </w:r>
      <w:r>
        <w:t>tatements of changes in net assets for the last three business years (including related notes; the same shall apply hereinafter);</w:t>
      </w:r>
    </w:p>
    <w:p w:rsidR="00066809" w:rsidRDefault="00B153DA">
      <w:pPr>
        <w:pStyle w:val="jaf6"/>
      </w:pPr>
      <w:r>
        <w:t>十一　最近の日計表</w:t>
      </w:r>
    </w:p>
    <w:p w:rsidR="00066809" w:rsidRDefault="00B153DA">
      <w:pPr>
        <w:pStyle w:val="enf6"/>
      </w:pPr>
      <w:r>
        <w:t>(xi) recent daily trial balance sheet; and</w:t>
      </w:r>
    </w:p>
    <w:p w:rsidR="00066809" w:rsidRDefault="00B153DA">
      <w:pPr>
        <w:pStyle w:val="jaf6"/>
      </w:pPr>
      <w:r>
        <w:t>十二　その他参考となるべき書類</w:t>
      </w:r>
    </w:p>
    <w:p w:rsidR="00066809" w:rsidRDefault="00B153DA">
      <w:pPr>
        <w:pStyle w:val="enf6"/>
      </w:pPr>
      <w:r>
        <w:t>(xii) other documents that will be helpful.</w:t>
      </w:r>
    </w:p>
    <w:p w:rsidR="00066809" w:rsidRDefault="00B153DA">
      <w:pPr>
        <w:pStyle w:val="jaf4"/>
      </w:pPr>
      <w:r>
        <w:t>２　証券金融会社（法第二条</w:t>
      </w:r>
      <w:r>
        <w:t>第三十項に規定する証券金融会社をいう。以下同じ。）は、次の各号に掲げる場合に該当することとなったときは、速やかに金融庁長官に届出をしなければならない。</w:t>
      </w:r>
    </w:p>
    <w:p w:rsidR="00066809" w:rsidRDefault="00B153DA">
      <w:pPr>
        <w:pStyle w:val="enf4"/>
      </w:pPr>
      <w:r>
        <w:t>(2) If a Securities Finance Company (meaning Securities Finance Company prescribed in Article 2, paragraph (30) of the Act; the same shall apply hereinafter) has come to fall under</w:t>
      </w:r>
      <w:r>
        <w:t xml:space="preserve"> any of the following items, it must promptly give notification to the Commissioner of the Financial Services Agency:</w:t>
      </w:r>
    </w:p>
    <w:p w:rsidR="00066809" w:rsidRDefault="00B153DA">
      <w:pPr>
        <w:pStyle w:val="jaf6"/>
      </w:pPr>
      <w:r>
        <w:t>一　定款（認可及び承認に係る事項を除く。）を変更したとき。</w:t>
      </w:r>
    </w:p>
    <w:p w:rsidR="00066809" w:rsidRDefault="00B153DA">
      <w:pPr>
        <w:pStyle w:val="enf6"/>
      </w:pPr>
      <w:r>
        <w:t>(i) If the articles of incorporation (excluding matters pertaining to authorization and approval) are amende</w:t>
      </w:r>
      <w:r>
        <w:t>d;</w:t>
      </w:r>
    </w:p>
    <w:p w:rsidR="00066809" w:rsidRDefault="00B153DA">
      <w:pPr>
        <w:pStyle w:val="jaf6"/>
      </w:pPr>
      <w:r>
        <w:t>二　業務の内容及び方法（法第百五十六条の二十八第一項　に定める認可に係る事項を除く。）を変更したとき。</w:t>
      </w:r>
    </w:p>
    <w:p w:rsidR="00066809" w:rsidRDefault="00B153DA">
      <w:pPr>
        <w:pStyle w:val="enf6"/>
      </w:pPr>
      <w:r>
        <w:t>(ii) If the contents and methods of business (excluding matters pertaining to authorization prescribed in Article 156-28, paragraph (1)) of the Act are amended; or</w:t>
      </w:r>
    </w:p>
    <w:p w:rsidR="00066809" w:rsidRDefault="00B153DA">
      <w:pPr>
        <w:pStyle w:val="jaf6"/>
      </w:pPr>
      <w:r>
        <w:t>三　金融商品取引所が開設する取引所金融商品市場又は認可金融商品取引業協会が</w:t>
      </w:r>
      <w:r>
        <w:t>開設する店頭売買有価証券市場の決済機構を利用することについて当該金融商品取引所又は当該認可金融商品取引業協会と締結した契約を変更したとき。</w:t>
      </w:r>
    </w:p>
    <w:p w:rsidR="00066809" w:rsidRDefault="00B153DA">
      <w:pPr>
        <w:pStyle w:val="enf6"/>
      </w:pPr>
      <w:r>
        <w:t>(iii) If a contract concerning the utilization of clearing systems of a Financial Instruments Exchange Market established by a Financial Instruments Exchange or an Over-the-Counter Secur</w:t>
      </w:r>
      <w:r>
        <w:t>ities Market established by an Authorized Financial Instruments Business Association concluded with said Financial Instruments Exchange or said Authorized Financial Instruments Business Association are amended.</w:t>
      </w:r>
    </w:p>
    <w:p w:rsidR="00066809" w:rsidRDefault="00066809"/>
    <w:p w:rsidR="00066809" w:rsidRDefault="00B153DA">
      <w:pPr>
        <w:pStyle w:val="jaa"/>
      </w:pPr>
      <w:r>
        <w:t>（免許申請書に添付すべき電磁的記録）</w:t>
      </w:r>
    </w:p>
    <w:p w:rsidR="00066809" w:rsidRDefault="00B153DA">
      <w:pPr>
        <w:pStyle w:val="ena"/>
      </w:pPr>
      <w:r>
        <w:t>(Electronic or magnetic R</w:t>
      </w:r>
      <w:r>
        <w:t>ecords to be Attached to Written Application for License)</w:t>
      </w:r>
    </w:p>
    <w:p w:rsidR="00066809" w:rsidRDefault="00B153DA">
      <w:pPr>
        <w:pStyle w:val="jaf3"/>
      </w:pPr>
      <w:r>
        <w:t>第一条の三　法第百五十六条の二十四第四項において準用する法第八十一条第三項　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066809" w:rsidRDefault="00B153DA">
      <w:pPr>
        <w:pStyle w:val="enf3"/>
      </w:pPr>
      <w:r>
        <w:t>Article 1-3  (1) The electronic or magnetic record specified by Cabinet Office Ordinance p</w:t>
      </w:r>
      <w:r>
        <w:t>rescribed in Article 81, paragraph (3) of the Act applied mutatis mutandis pursuant to Article 156-24, paragraph (4) of the Act shall be a magnetic disk whose structure corresponds to a ninety millimeter flexible disk cartridge compliant with Japanese Indu</w:t>
      </w:r>
      <w:r>
        <w:t>strial Standards (hereinafter referred to as "JIS" in this Article) X6223 based on the Industrial Standardization Act (Act No. 185 of 1949).</w:t>
      </w:r>
    </w:p>
    <w:p w:rsidR="00066809" w:rsidRDefault="00B153DA">
      <w:pPr>
        <w:pStyle w:val="jaf4"/>
      </w:pPr>
      <w:r>
        <w:t>２　前項の電磁的記録への記録は、次に掲げる方式に従つてしなければならない。</w:t>
      </w:r>
    </w:p>
    <w:p w:rsidR="00066809" w:rsidRDefault="00B153DA">
      <w:pPr>
        <w:pStyle w:val="enf4"/>
      </w:pPr>
      <w:r>
        <w:t xml:space="preserve">(2) Recording in the electronic or magnetic record referred to in the </w:t>
      </w:r>
      <w:r>
        <w:t>preceding paragraph must be done in accordance with the following methods:</w:t>
      </w:r>
    </w:p>
    <w:p w:rsidR="00066809" w:rsidRDefault="00B153DA">
      <w:pPr>
        <w:pStyle w:val="jaf6"/>
      </w:pPr>
      <w:r>
        <w:t>一　トラックフォーマットについては、日本工業規格Ｘ六二二五に規定する方式</w:t>
      </w:r>
    </w:p>
    <w:p w:rsidR="00066809" w:rsidRDefault="00B153DA">
      <w:pPr>
        <w:pStyle w:val="enf6"/>
      </w:pPr>
      <w:r>
        <w:t>(i) Track format: Method prescribed in JIS X6225</w:t>
      </w:r>
    </w:p>
    <w:p w:rsidR="00066809" w:rsidRDefault="00B153DA">
      <w:pPr>
        <w:pStyle w:val="jaf6"/>
      </w:pPr>
      <w:r>
        <w:t>二　ボリューム及びファイル構成については、日本工業規格Ｘ〇六〇五に規定する方式</w:t>
      </w:r>
    </w:p>
    <w:p w:rsidR="00066809" w:rsidRDefault="00B153DA">
      <w:pPr>
        <w:pStyle w:val="enf6"/>
      </w:pPr>
      <w:r>
        <w:t xml:space="preserve">(ii) Volume and file composition: Method prescribed in </w:t>
      </w:r>
      <w:r>
        <w:t>JIS X0605</w:t>
      </w:r>
    </w:p>
    <w:p w:rsidR="00066809" w:rsidRDefault="00B153DA">
      <w:pPr>
        <w:pStyle w:val="jaf4"/>
      </w:pPr>
      <w:r>
        <w:t>３　第一項の電磁的記録には、日本工業規格Ｘ六二二三に規定するラベル領域に、次に掲げる事項を記載した書面をはり付けなければならない。</w:t>
      </w:r>
    </w:p>
    <w:p w:rsidR="00066809" w:rsidRDefault="00B153DA">
      <w:pPr>
        <w:pStyle w:val="enf4"/>
      </w:pPr>
      <w:r>
        <w:t>(3) The electronic or magnetic record referred to in paragraph (1) must have a document stating the following matters pasted in the label area prescribed in JIS X6223:</w:t>
      </w:r>
    </w:p>
    <w:p w:rsidR="00066809" w:rsidRDefault="00B153DA">
      <w:pPr>
        <w:pStyle w:val="jaf6"/>
      </w:pPr>
      <w:r>
        <w:t>一　申請者の商号</w:t>
      </w:r>
    </w:p>
    <w:p w:rsidR="00066809" w:rsidRDefault="00B153DA">
      <w:pPr>
        <w:pStyle w:val="enf6"/>
      </w:pPr>
      <w:r>
        <w:t>(i)</w:t>
      </w:r>
      <w:r>
        <w:t xml:space="preserve"> trade name of applicant; and</w:t>
      </w:r>
    </w:p>
    <w:p w:rsidR="00066809" w:rsidRDefault="00B153DA">
      <w:pPr>
        <w:pStyle w:val="jaf6"/>
      </w:pPr>
      <w:r>
        <w:t>二　申請年月日</w:t>
      </w:r>
    </w:p>
    <w:p w:rsidR="00066809" w:rsidRDefault="00B153DA">
      <w:pPr>
        <w:pStyle w:val="enf6"/>
      </w:pPr>
      <w:r>
        <w:t>(ii) application date.</w:t>
      </w:r>
    </w:p>
    <w:p w:rsidR="00066809" w:rsidRDefault="00066809"/>
    <w:p w:rsidR="00066809" w:rsidRDefault="00B153DA">
      <w:pPr>
        <w:pStyle w:val="jaa"/>
      </w:pPr>
      <w:r>
        <w:t>（兼業業務の範囲）</w:t>
      </w:r>
    </w:p>
    <w:p w:rsidR="00066809" w:rsidRDefault="00B153DA">
      <w:pPr>
        <w:pStyle w:val="ena"/>
      </w:pPr>
      <w:r>
        <w:t>(Scope of Concurrent Business)</w:t>
      </w:r>
    </w:p>
    <w:p w:rsidR="00066809" w:rsidRDefault="00B153DA">
      <w:pPr>
        <w:pStyle w:val="jaf3"/>
      </w:pPr>
      <w:r>
        <w:t>第一条の四　法第百五十六条の二十七第一項第四号　に規定する内閣府令で定める業務は、次に掲げる業務とする。</w:t>
      </w:r>
    </w:p>
    <w:p w:rsidR="00066809" w:rsidRDefault="00B153DA">
      <w:pPr>
        <w:pStyle w:val="enf3"/>
      </w:pPr>
      <w:r>
        <w:t xml:space="preserve">Article 1-4  (1) The businesses specified by Cabinet Office Ordinance prescribed in Article 156-27, </w:t>
      </w:r>
      <w:r>
        <w:t>paragraph (1), item (iv) of the Act shall be the following businesses:</w:t>
      </w:r>
    </w:p>
    <w:p w:rsidR="00066809" w:rsidRDefault="00B153DA">
      <w:pPr>
        <w:pStyle w:val="jaf6"/>
      </w:pPr>
      <w:r>
        <w:t>一　有価証券の担保を徴して行う金銭の貸付け（法第百五十六条の二十四第一項並びに法第百五十六条の二十七第一項第二号及び第三号　に掲げる業務を除く。）</w:t>
      </w:r>
    </w:p>
    <w:p w:rsidR="00066809" w:rsidRDefault="00B153DA">
      <w:pPr>
        <w:pStyle w:val="enf6"/>
      </w:pPr>
      <w:r>
        <w:t>(i) lending of money secured by securities (excluding business specified in Article 156-24, paragraph (1) of th</w:t>
      </w:r>
      <w:r>
        <w:t>e Act and Article 156-27, paragraph (1), items (ii) and (iii) of the Act);</w:t>
      </w:r>
    </w:p>
    <w:p w:rsidR="00066809" w:rsidRDefault="00B153DA">
      <w:pPr>
        <w:pStyle w:val="jaf6"/>
      </w:pPr>
      <w:r>
        <w:t>二　有価証券の受渡しに関する代理業務</w:t>
      </w:r>
    </w:p>
    <w:p w:rsidR="00066809" w:rsidRDefault="00B153DA">
      <w:pPr>
        <w:pStyle w:val="enf6"/>
      </w:pPr>
      <w:r>
        <w:t>(ii) agency business related to delivery of securities;</w:t>
      </w:r>
    </w:p>
    <w:p w:rsidR="00066809" w:rsidRDefault="00B153DA">
      <w:pPr>
        <w:pStyle w:val="jaf6"/>
      </w:pPr>
      <w:r>
        <w:t>三　国債証券の元利金支払の代理業務</w:t>
      </w:r>
    </w:p>
    <w:p w:rsidR="00066809" w:rsidRDefault="00B153DA">
      <w:pPr>
        <w:pStyle w:val="enf6"/>
      </w:pPr>
      <w:r>
        <w:t xml:space="preserve">(iii) agency business for payment of principal and interest of national government bond </w:t>
      </w:r>
      <w:r>
        <w:t>securities;</w:t>
      </w:r>
    </w:p>
    <w:p w:rsidR="00066809" w:rsidRDefault="00B153DA">
      <w:pPr>
        <w:pStyle w:val="jaf6"/>
      </w:pPr>
      <w:r>
        <w:t>四　有価証券及び金融庁長官に届け出た証書等の保管業務</w:t>
      </w:r>
    </w:p>
    <w:p w:rsidR="00066809" w:rsidRDefault="00B153DA">
      <w:pPr>
        <w:pStyle w:val="enf6"/>
      </w:pPr>
      <w:r>
        <w:t>(iv) custody business for securities and certificates, etc. notified to the Commissioner of the Financial Services Agency;</w:t>
      </w:r>
    </w:p>
    <w:p w:rsidR="00066809" w:rsidRDefault="00B153DA">
      <w:pPr>
        <w:pStyle w:val="jaf6"/>
      </w:pPr>
      <w:r>
        <w:t>五　法第百五十六条の二十四第一項　、法第百五十六条の二十七第一項第一号　から第三号まで又は前各号に掲げる業務に際し、取引の相手方となる顧客に金銭又は有価証券等を収納するための施設を賃貸する業務</w:t>
      </w:r>
    </w:p>
    <w:p w:rsidR="00066809" w:rsidRDefault="00B153DA">
      <w:pPr>
        <w:pStyle w:val="enf6"/>
      </w:pPr>
      <w:r>
        <w:t>(v) business of leasing facilities to accommodate money or securities, etc. to a customer who will be the counterparty to a transaction when conducting busines</w:t>
      </w:r>
      <w:r>
        <w:t>s specified in Article 156-24, paragraph (1) of the Act, Article 156-27, paragraph (1), items (i) to (iii) inclusive of the Act or the preceding items;</w:t>
      </w:r>
    </w:p>
    <w:p w:rsidR="00066809" w:rsidRDefault="00B153DA">
      <w:pPr>
        <w:pStyle w:val="jaf6"/>
      </w:pPr>
      <w:r>
        <w:t>六　社債、株式等の振替に関する法律　（平成十三年法律第七十五号）第二条第四項の口座管理機関として行う振替業</w:t>
      </w:r>
    </w:p>
    <w:p w:rsidR="00066809" w:rsidRDefault="00B153DA">
      <w:pPr>
        <w:pStyle w:val="enf6"/>
      </w:pPr>
      <w:r>
        <w:t>(vi) transfer business conducted as an account man</w:t>
      </w:r>
      <w:r>
        <w:t>agement institution referred to in Article 2, paragraph (4) of the Act on Book-Entry of Company Bonds, Shares, etc. (Act No. 75 of 2001); and</w:t>
      </w:r>
    </w:p>
    <w:p w:rsidR="00066809" w:rsidRDefault="00B153DA">
      <w:pPr>
        <w:pStyle w:val="jaf6"/>
      </w:pPr>
      <w:r>
        <w:t>七　金融商品取引清算機関（法第二条第二十九項　に規定する金融商品取引清算機関をいう。）の清算参加者（法第百五十六条の七第二項第三号　に規定する清算参加者をいう。）による有価証券等清算取次ぎ（法第二条第二十七項　に規定する有価証券</w:t>
      </w:r>
      <w:r>
        <w:t>等清算取次ぎをいう。）の決済に必要な金銭又は有価証券を取引所金融商品市場又は店頭売買有価証券市場の決済機構を利用して貸し付ける業務（金融商品取引法施行令　（昭和四十年政令第三百二十一号）第十九条の六第二号　及び第三号　に掲げる取引に係る業務を除く。）</w:t>
      </w:r>
    </w:p>
    <w:p w:rsidR="00066809" w:rsidRDefault="00B153DA">
      <w:pPr>
        <w:pStyle w:val="enf6"/>
      </w:pPr>
      <w:r>
        <w:t>(vii) business of lending money or securities as necessary for settlement of Brokerage for Clearing of Securities, etc. (meaning B</w:t>
      </w:r>
      <w:r>
        <w:t>rokerage for Clearing of Securities, etc. prescribed in Article 2, paragraph (27) of the Act) by a Clearing Participant (meaning Clearing Participant prescribed in Article 156-7, paragraph (2), item (iii) of the Act) of a Financial Instruments Clearing Org</w:t>
      </w:r>
      <w:r>
        <w:t>anization (meaning Financial Instruments Clearing Organization prescribed in Article 2, paragraph (29) of the Act) by utilizing clearing systems of a Financial Instruments Exchange Market or Over-the-Counter Securities Market (excluding business pertaining</w:t>
      </w:r>
      <w:r>
        <w:t xml:space="preserve"> to transactions specified in Article 19-6, items (ii) and (iii) of the Order for Enforcement of the Financial Instruments and Exchange Act (Cabinet Order No.321 of 1965).</w:t>
      </w:r>
    </w:p>
    <w:p w:rsidR="00066809" w:rsidRDefault="00B153DA">
      <w:pPr>
        <w:pStyle w:val="jaf4"/>
      </w:pPr>
      <w:r>
        <w:t>２　法第百五十六条の二十七第二項　の規定による届出を行う場合は、届出書に次に掲げる書類を添付して金融庁長官に提出しなければならない。</w:t>
      </w:r>
    </w:p>
    <w:p w:rsidR="00066809" w:rsidRDefault="00B153DA">
      <w:pPr>
        <w:pStyle w:val="enf4"/>
      </w:pPr>
      <w:r>
        <w:t>(2) When filing a</w:t>
      </w:r>
      <w:r>
        <w:t xml:space="preserve"> notification under the provisions of Article 156-27, paragraph (2) of the Act, the following documents must be attached to the written notice and submitted to the Commissioner of the Financial Services Agency:</w:t>
      </w:r>
    </w:p>
    <w:p w:rsidR="00066809" w:rsidRDefault="00B153DA">
      <w:pPr>
        <w:pStyle w:val="jaf6"/>
      </w:pPr>
      <w:r>
        <w:t>一　法第百五十六条の二十七第一項　各号に掲げる業務を行う理由を記載した書面</w:t>
      </w:r>
    </w:p>
    <w:p w:rsidR="00066809" w:rsidRDefault="00B153DA">
      <w:pPr>
        <w:pStyle w:val="enf6"/>
      </w:pPr>
      <w:r>
        <w:t>(i) a d</w:t>
      </w:r>
      <w:r>
        <w:t>ocument stating the reason for conducting the businesses listed in the items of Article 156-27, paragraph (1) of the Act;</w:t>
      </w:r>
    </w:p>
    <w:p w:rsidR="00066809" w:rsidRDefault="00B153DA">
      <w:pPr>
        <w:pStyle w:val="jaf6"/>
      </w:pPr>
      <w:r>
        <w:t>二　業務の方法を記載した書面</w:t>
      </w:r>
    </w:p>
    <w:p w:rsidR="00066809" w:rsidRDefault="00B153DA">
      <w:pPr>
        <w:pStyle w:val="enf6"/>
      </w:pPr>
      <w:r>
        <w:t>(ii) a document stating the methods of business; and</w:t>
      </w:r>
    </w:p>
    <w:p w:rsidR="00066809" w:rsidRDefault="00B153DA">
      <w:pPr>
        <w:pStyle w:val="jaf6"/>
      </w:pPr>
      <w:r>
        <w:t>三　その他参考となる書類</w:t>
      </w:r>
    </w:p>
    <w:p w:rsidR="00066809" w:rsidRDefault="00B153DA">
      <w:pPr>
        <w:pStyle w:val="enf6"/>
      </w:pPr>
      <w:r>
        <w:t>(iii) other documents that will be helpful.</w:t>
      </w:r>
    </w:p>
    <w:p w:rsidR="00066809" w:rsidRDefault="00066809"/>
    <w:p w:rsidR="00066809" w:rsidRDefault="00B153DA">
      <w:pPr>
        <w:pStyle w:val="jaa"/>
      </w:pPr>
      <w:r>
        <w:t>（兼業の承認の申</w:t>
      </w:r>
      <w:r>
        <w:t>請）</w:t>
      </w:r>
    </w:p>
    <w:p w:rsidR="00066809" w:rsidRDefault="00B153DA">
      <w:pPr>
        <w:pStyle w:val="ena"/>
      </w:pPr>
      <w:r>
        <w:t>(Application for Approval of Subsidiary Business)</w:t>
      </w:r>
    </w:p>
    <w:p w:rsidR="00066809" w:rsidRDefault="00B153DA">
      <w:pPr>
        <w:pStyle w:val="jaf3"/>
      </w:pPr>
      <w:r>
        <w:t>第二条　法第百五十六条の二十七第三項　の承認を受けようとする証券金融会社は、次に掲げる書類を添付した承認申請書を金融庁長官に提出しなければならない。</w:t>
      </w:r>
    </w:p>
    <w:p w:rsidR="00066809" w:rsidRDefault="00B153DA">
      <w:pPr>
        <w:pStyle w:val="enf3"/>
      </w:pPr>
      <w:r>
        <w:t xml:space="preserve">Article 2  (1) A Securities Finance Company that intends to obtain the approval referred to in Article 156-27, paragraph (3) of </w:t>
      </w:r>
      <w:r>
        <w:t>the Act must submit a written application for approval to the Commissioner of the Financial Services Agency with the following documents attached:</w:t>
      </w:r>
    </w:p>
    <w:p w:rsidR="00066809" w:rsidRDefault="00B153DA">
      <w:pPr>
        <w:pStyle w:val="jaf6"/>
      </w:pPr>
      <w:r>
        <w:t>一　承認を受けようとする業務の内容及びその収支の予想を記載した書面</w:t>
      </w:r>
    </w:p>
    <w:p w:rsidR="00066809" w:rsidRDefault="00B153DA">
      <w:pPr>
        <w:pStyle w:val="enf6"/>
      </w:pPr>
      <w:r>
        <w:t>(i) a document stating the contents of business to be approved and the proj</w:t>
      </w:r>
      <w:r>
        <w:t>ections of income and expenditure thereof;</w:t>
      </w:r>
    </w:p>
    <w:p w:rsidR="00066809" w:rsidRDefault="00B153DA">
      <w:pPr>
        <w:pStyle w:val="jaf6"/>
      </w:pPr>
      <w:r>
        <w:t>二　定款の変更を必要とする場合には、これに関する株主総会の議事録（会社法　（平成十七年法律第八十六号）第三百十九条第一項の規定により株主総会の決議があったものとみなされる場合にあっては、当該場合に該当することを証する書面。以下同じ。）</w:t>
      </w:r>
    </w:p>
    <w:p w:rsidR="00066809" w:rsidRDefault="00B153DA">
      <w:pPr>
        <w:pStyle w:val="enf6"/>
      </w:pPr>
      <w:r>
        <w:t>(ii) if it is necessary to amend the articles of incorporation, the minutes of the shareholders</w:t>
      </w:r>
      <w:r>
        <w:t xml:space="preserve"> meeting related thereto (if a resolution of the shareholders meeting is deemed to have been made pursuant to the provisions of Article 319, paragraph (1) of the Companies Act (Act No. 86 of 2005), a document proving that such case applies; the same shall </w:t>
      </w:r>
      <w:r>
        <w:t>apply hereinafter); and</w:t>
      </w:r>
    </w:p>
    <w:p w:rsidR="00066809" w:rsidRDefault="00B153DA">
      <w:pPr>
        <w:pStyle w:val="jaf6"/>
      </w:pPr>
      <w:r>
        <w:t>三　最近の日計表</w:t>
      </w:r>
    </w:p>
    <w:p w:rsidR="00066809" w:rsidRDefault="00B153DA">
      <w:pPr>
        <w:pStyle w:val="enf6"/>
      </w:pPr>
      <w:r>
        <w:t>(iii) a recent daily trial balance sheet.</w:t>
      </w:r>
    </w:p>
    <w:p w:rsidR="00066809" w:rsidRDefault="00B153DA">
      <w:pPr>
        <w:pStyle w:val="jaf4"/>
      </w:pPr>
      <w:r>
        <w:t>２　法第百五十六条の二十七第三項　の承認を受けた業務の内容を変更しようとする証券金融会社は、同項　の規定に基づく金融庁長官の承認を受けなければならない。</w:t>
      </w:r>
    </w:p>
    <w:p w:rsidR="00066809" w:rsidRDefault="00B153DA">
      <w:pPr>
        <w:pStyle w:val="enf4"/>
      </w:pPr>
      <w:r>
        <w:t>(2) A Securities Finance Company that intends to change the contents of the business approved under Arti</w:t>
      </w:r>
      <w:r>
        <w:t>cle 156-27, paragraph (3) of the Act must obtain approval from the Commissioner of the Financial Services Agency based on the provisions of that paragraph.</w:t>
      </w:r>
    </w:p>
    <w:p w:rsidR="00066809" w:rsidRDefault="00066809"/>
    <w:p w:rsidR="00066809" w:rsidRDefault="00B153DA">
      <w:pPr>
        <w:pStyle w:val="jaa"/>
      </w:pPr>
      <w:r>
        <w:t>（業務内容の変更等の認可の申請）</w:t>
      </w:r>
    </w:p>
    <w:p w:rsidR="00066809" w:rsidRDefault="00B153DA">
      <w:pPr>
        <w:pStyle w:val="ena"/>
      </w:pPr>
      <w:r>
        <w:t>(Application for Authorization of Changes in Contents of Business)</w:t>
      </w:r>
    </w:p>
    <w:p w:rsidR="00066809" w:rsidRDefault="00B153DA">
      <w:pPr>
        <w:pStyle w:val="jaf3"/>
      </w:pPr>
      <w:r>
        <w:t>第三条　法第百五十六条の二十八第一項　の認可を受けようとする証券金融会社は、認可申請書に次に掲げる書類を添付して金融庁長官に提出しなければならない。</w:t>
      </w:r>
    </w:p>
    <w:p w:rsidR="00066809" w:rsidRDefault="00B153DA">
      <w:pPr>
        <w:pStyle w:val="enf3"/>
      </w:pPr>
      <w:r>
        <w:t>Article 3  A Securities Finance Company that intends to obtain authorization referred to in Article 156-28, paragraph (1) of the Act must submit a written application for authorizat</w:t>
      </w:r>
      <w:r>
        <w:t>ion with the following documents attached to the Commissioner of the Financial Services Agency:</w:t>
      </w:r>
    </w:p>
    <w:p w:rsidR="00066809" w:rsidRDefault="00B153DA">
      <w:pPr>
        <w:pStyle w:val="jaf6"/>
      </w:pPr>
      <w:r>
        <w:t>一　変更の理由を記載した書面</w:t>
      </w:r>
    </w:p>
    <w:p w:rsidR="00066809" w:rsidRDefault="00B153DA">
      <w:pPr>
        <w:pStyle w:val="enf6"/>
      </w:pPr>
      <w:r>
        <w:t>(i) a document stating the reason for the change;</w:t>
      </w:r>
    </w:p>
    <w:p w:rsidR="00066809" w:rsidRDefault="00B153DA">
      <w:pPr>
        <w:pStyle w:val="jaf6"/>
      </w:pPr>
      <w:r>
        <w:t>二　当該認可申請が、資本金の額の減少に係るものであるときは、これに関する株主総会の議事録又は取締役会の議事録その他必要な手続があったことを証する書面</w:t>
      </w:r>
    </w:p>
    <w:p w:rsidR="00066809" w:rsidRDefault="00B153DA">
      <w:pPr>
        <w:pStyle w:val="enf6"/>
      </w:pPr>
      <w:r>
        <w:t>(ii) If said applica</w:t>
      </w:r>
      <w:r>
        <w:t>tion for authorization pertains to the reduction of the amount of the stated capital, the minutes of the shareholders meeting or the minutes of the meeting of the board of directors related thereto, or other document proving that necessary procedures had b</w:t>
      </w:r>
      <w:r>
        <w:t>een taken; and</w:t>
      </w:r>
    </w:p>
    <w:p w:rsidR="00066809" w:rsidRDefault="00B153DA">
      <w:pPr>
        <w:pStyle w:val="jaf6"/>
      </w:pPr>
      <w:r>
        <w:t>三　最近の日計表</w:t>
      </w:r>
    </w:p>
    <w:p w:rsidR="00066809" w:rsidRDefault="00B153DA">
      <w:pPr>
        <w:pStyle w:val="enf6"/>
      </w:pPr>
      <w:r>
        <w:t>(iii) a recent daily trial balance sheet.</w:t>
      </w:r>
    </w:p>
    <w:p w:rsidR="00066809" w:rsidRDefault="00066809"/>
    <w:p w:rsidR="00066809" w:rsidRDefault="00B153DA">
      <w:pPr>
        <w:pStyle w:val="jaa"/>
      </w:pPr>
      <w:r>
        <w:t>（金銭又は有価証券の貸付の条件）</w:t>
      </w:r>
    </w:p>
    <w:p w:rsidR="00066809" w:rsidRDefault="00B153DA">
      <w:pPr>
        <w:pStyle w:val="ena"/>
      </w:pPr>
      <w:r>
        <w:t>(Conditions for Lending Money or Securities)</w:t>
      </w:r>
    </w:p>
    <w:p w:rsidR="00066809" w:rsidRDefault="00B153DA">
      <w:pPr>
        <w:pStyle w:val="jaf3"/>
      </w:pPr>
      <w:r>
        <w:t>第三条の二　法第百五十六条の二十八第二項　に規定する金銭又は有価証券の貸付（法第百五十六条の二十四第一項に規定する業務に係るものに限る。）の条件とは、金利及び貸借取引貸株料の率の上限、担保の種類及び担保掛目の上限並びに貸借担保金の率の下限とする。</w:t>
      </w:r>
    </w:p>
    <w:p w:rsidR="00066809" w:rsidRDefault="00B153DA">
      <w:pPr>
        <w:pStyle w:val="enf3"/>
      </w:pPr>
      <w:r>
        <w:t>Art</w:t>
      </w:r>
      <w:r>
        <w:t>icle 3-2  The conditions for lending money or securities prescribed in Article 156-28, paragraph (2) of the Act (limited to those pertaining to the business prescribed in Article 156-24, paragraph (1) of the Act) shall be the cap on the interest rate and t</w:t>
      </w:r>
      <w:r>
        <w:t>he rate of stock loan fees in loan transactions, the type of security, the cap on the Assessment rate of collateral and the minimum rate of the margin transaction guarantee money.</w:t>
      </w:r>
    </w:p>
    <w:p w:rsidR="00066809" w:rsidRDefault="00066809"/>
    <w:p w:rsidR="00066809" w:rsidRDefault="00B153DA">
      <w:pPr>
        <w:pStyle w:val="jaa"/>
      </w:pPr>
      <w:r>
        <w:t>（届出書の添付書類）</w:t>
      </w:r>
    </w:p>
    <w:p w:rsidR="00066809" w:rsidRDefault="00B153DA">
      <w:pPr>
        <w:pStyle w:val="ena"/>
      </w:pPr>
      <w:r>
        <w:t>(Documents to be Attached to Written Notice)</w:t>
      </w:r>
    </w:p>
    <w:p w:rsidR="00066809" w:rsidRDefault="00B153DA">
      <w:pPr>
        <w:pStyle w:val="jaf3"/>
      </w:pPr>
      <w:r>
        <w:t>第三条の三　法第百五十六条の二十八第二</w:t>
      </w:r>
      <w:r>
        <w:t>項の規定による届出を行う証券金融会社は、理由を記載した書面のほか、次の各号に掲げる区分に応じ、当該各号に掲げる書類を添付して、金融庁長官に提出しなければならない。</w:t>
      </w:r>
    </w:p>
    <w:p w:rsidR="00066809" w:rsidRDefault="00B153DA">
      <w:pPr>
        <w:pStyle w:val="enf3"/>
      </w:pPr>
      <w:r>
        <w:t xml:space="preserve">Article 3-3  (1) A Securities Finance Company that intends to make a notification under the provisions of Article 156-28, paragraph (2) of the Act must, attach the documents </w:t>
      </w:r>
      <w:r>
        <w:t>specified therein and submit said documents to the Commissioner of the Financial Services Agency, in addition to a document stating the reason according to the categories specified in the following items,.</w:t>
      </w:r>
    </w:p>
    <w:p w:rsidR="00066809" w:rsidRDefault="00B153DA">
      <w:pPr>
        <w:pStyle w:val="jaf6"/>
      </w:pPr>
      <w:r>
        <w:t>一　金銭又は有価証券の貸付けの条件を決定又は変更しようとするとき　貸付けの条件を記載した書面の新旧対</w:t>
      </w:r>
      <w:r>
        <w:t>照表</w:t>
      </w:r>
    </w:p>
    <w:p w:rsidR="00066809" w:rsidRDefault="00B153DA">
      <w:pPr>
        <w:pStyle w:val="enf6"/>
      </w:pPr>
      <w:r>
        <w:t>(i) When determining or changing the conditions for lending money or securities: a table comparing the new and old documents stating the conditions for lending.</w:t>
      </w:r>
    </w:p>
    <w:p w:rsidR="00066809" w:rsidRDefault="00B153DA">
      <w:pPr>
        <w:pStyle w:val="jaf6"/>
      </w:pPr>
      <w:r>
        <w:t>二　資本金の額を増加しようとするとき　株主総会の議事録又は取締役会の議事録その他必要な手続があったことを証する書面及び増資の方法を記載した書面並びに増資後に想定される貸借対照表</w:t>
      </w:r>
    </w:p>
    <w:p w:rsidR="00066809" w:rsidRDefault="00B153DA">
      <w:pPr>
        <w:pStyle w:val="enf6"/>
      </w:pPr>
      <w:r>
        <w:t>(ii</w:t>
      </w:r>
      <w:r>
        <w:t>) When increasing the amount of the stated capital: the minutes of the shareholders meeting or the minutes of the meeting of the board of directors or other document proving that necessary procedures had been taken, and a document stating the method of cap</w:t>
      </w:r>
      <w:r>
        <w:t>ital raising as well as the estimated balance sheet after the capital raising.</w:t>
      </w:r>
    </w:p>
    <w:p w:rsidR="00066809" w:rsidRDefault="00B153DA">
      <w:pPr>
        <w:pStyle w:val="jaf6"/>
      </w:pPr>
      <w:r>
        <w:t>三　商号を変更しようとするとき　株主総会の議事録</w:t>
      </w:r>
    </w:p>
    <w:p w:rsidR="00066809" w:rsidRDefault="00B153DA">
      <w:pPr>
        <w:pStyle w:val="enf6"/>
      </w:pPr>
      <w:r>
        <w:t>(iii) When changing the trade name: the minutes of the shareholders meeting.</w:t>
      </w:r>
    </w:p>
    <w:p w:rsidR="00066809" w:rsidRDefault="00B153DA">
      <w:pPr>
        <w:pStyle w:val="jaf4"/>
      </w:pPr>
      <w:r>
        <w:t>２　法第百五十六条の二十八第三項の規定により届出を行う証券金融会社は、届出書に同項　各号に該当することとなった理由を記載した書面を添付して、金融庁長官に提出しなければならない。</w:t>
      </w:r>
    </w:p>
    <w:p w:rsidR="00066809" w:rsidRDefault="00B153DA">
      <w:pPr>
        <w:pStyle w:val="enf4"/>
      </w:pPr>
      <w:r>
        <w:t>(2) A Securities Finance Company that intends to make a notification under the provisions of Article 156-28, paragraph (3) of the Act must attach a document stating th</w:t>
      </w:r>
      <w:r>
        <w:t>e reason for falling under the items of that paragraph to the written notice and submit said documents to the Commissioner of the Financial Services Agency.</w:t>
      </w:r>
    </w:p>
    <w:p w:rsidR="00066809" w:rsidRDefault="00B153DA">
      <w:pPr>
        <w:pStyle w:val="jaf4"/>
      </w:pPr>
      <w:r>
        <w:t>３　第一条の二第二項の規定により届出を行う証券金融会社は、届出書に変更の内容及び理由を記載した書面を添付して、金融庁長官に提出しなければならない。</w:t>
      </w:r>
    </w:p>
    <w:p w:rsidR="00066809" w:rsidRDefault="00B153DA">
      <w:pPr>
        <w:pStyle w:val="enf4"/>
      </w:pPr>
      <w:r>
        <w:t xml:space="preserve">(3) A Securities Finance </w:t>
      </w:r>
      <w:r>
        <w:t>Company that intends to make a notification under the provisions of Article 1-2, paragraph (2) must attach a document stating the description of and reasons for changes to the written notice and submit said documents to the Commissioner of the Financial Se</w:t>
      </w:r>
      <w:r>
        <w:t>rvices Agency.</w:t>
      </w:r>
    </w:p>
    <w:p w:rsidR="00066809" w:rsidRDefault="00066809"/>
    <w:p w:rsidR="00066809" w:rsidRDefault="00B153DA">
      <w:pPr>
        <w:pStyle w:val="jaa"/>
      </w:pPr>
      <w:r>
        <w:t>（報告又は資料の提出）</w:t>
      </w:r>
    </w:p>
    <w:p w:rsidR="00066809" w:rsidRDefault="00B153DA">
      <w:pPr>
        <w:pStyle w:val="ena"/>
      </w:pPr>
      <w:r>
        <w:t>(Submission of Reports or Materials)</w:t>
      </w:r>
    </w:p>
    <w:p w:rsidR="00066809" w:rsidRDefault="00B153DA">
      <w:pPr>
        <w:pStyle w:val="jaf3"/>
      </w:pPr>
      <w:r>
        <w:t>第三条の四　法第百五十六条の三十五に規定する事業報告書は、別紙様式一により作成し、提出しなければならない。</w:t>
      </w:r>
    </w:p>
    <w:p w:rsidR="00066809" w:rsidRDefault="00B153DA">
      <w:pPr>
        <w:pStyle w:val="enf3"/>
      </w:pPr>
      <w:r>
        <w:t>Article 3-4  (1) The business report prescribed in Article 156-35 of the Act must be prepared and submitted by using Appended Form 1.</w:t>
      </w:r>
    </w:p>
    <w:p w:rsidR="00066809" w:rsidRDefault="00B153DA">
      <w:pPr>
        <w:pStyle w:val="jaf4"/>
      </w:pPr>
      <w:r>
        <w:t>２　証</w:t>
      </w:r>
      <w:r>
        <w:t>券金融会社は、法第百八十八条　の規定により、中間決算の取締役会終了後、速やかに別紙様式二による中間決算状況表を作成し、提出しなければならない。</w:t>
      </w:r>
    </w:p>
    <w:p w:rsidR="00066809" w:rsidRDefault="00B153DA">
      <w:pPr>
        <w:pStyle w:val="enf4"/>
      </w:pPr>
      <w:r>
        <w:t>(2) After the close of the meeting of the board of directors for the interim closing of accounts pursuant to the provisions of Article 188 of the Act, a Securities Finance Company must</w:t>
      </w:r>
      <w:r>
        <w:t xml:space="preserve"> promptly prepare and submit an interim closing status table by using Appended Form 2.</w:t>
      </w:r>
    </w:p>
    <w:p w:rsidR="00066809" w:rsidRDefault="00B153DA">
      <w:pPr>
        <w:pStyle w:val="jaf4"/>
      </w:pPr>
      <w:r>
        <w:t>３　証券金融会社は、法第百五十六条の二十四第一項　に規定する取引に関して次の各号に掲げる場合に該当することとなった場合は、速やかにその報告を行わなければならない。</w:t>
      </w:r>
    </w:p>
    <w:p w:rsidR="00066809" w:rsidRDefault="00B153DA">
      <w:pPr>
        <w:pStyle w:val="enf4"/>
      </w:pPr>
      <w:r>
        <w:t>(3) When a Securities Finance Company has come to fall under any of the following items</w:t>
      </w:r>
      <w:r>
        <w:t xml:space="preserve"> in relation to the transactions prescribed in Article 156-24, paragraph (1) of the Act, it must promptly report to that effect:</w:t>
      </w:r>
    </w:p>
    <w:p w:rsidR="00066809" w:rsidRDefault="00B153DA">
      <w:pPr>
        <w:pStyle w:val="jaf6"/>
      </w:pPr>
      <w:r>
        <w:t>一　取引の制限措置を実施又は解除した場合</w:t>
      </w:r>
    </w:p>
    <w:p w:rsidR="00066809" w:rsidRDefault="00B153DA">
      <w:pPr>
        <w:pStyle w:val="enf6"/>
      </w:pPr>
      <w:r>
        <w:t>(i) if restrictive measures for transactions have been implemented or withdrawn;</w:t>
      </w:r>
    </w:p>
    <w:p w:rsidR="00066809" w:rsidRDefault="00B153DA">
      <w:pPr>
        <w:pStyle w:val="jaf6"/>
      </w:pPr>
      <w:r>
        <w:t>二　貸付金利及び貸借取引貸株料の率を設定又は変更し</w:t>
      </w:r>
      <w:r>
        <w:t>た場合</w:t>
      </w:r>
    </w:p>
    <w:p w:rsidR="00066809" w:rsidRDefault="00B153DA">
      <w:pPr>
        <w:pStyle w:val="enf6"/>
      </w:pPr>
      <w:r>
        <w:t>(ii) if the lending interest rate or the rate of stock lending fees in lending transactions has been established or changed; or</w:t>
      </w:r>
    </w:p>
    <w:p w:rsidR="00066809" w:rsidRDefault="00B153DA">
      <w:pPr>
        <w:pStyle w:val="jaf6"/>
      </w:pPr>
      <w:r>
        <w:t>三　融資限度額を設定又は変更した場合</w:t>
      </w:r>
    </w:p>
    <w:p w:rsidR="00066809" w:rsidRDefault="00B153DA">
      <w:pPr>
        <w:pStyle w:val="enf6"/>
      </w:pPr>
      <w:r>
        <w:t>(iii) if the loan limit amount has been established or changed.</w:t>
      </w:r>
    </w:p>
    <w:p w:rsidR="00066809" w:rsidRDefault="00066809"/>
    <w:p w:rsidR="00066809" w:rsidRDefault="00B153DA">
      <w:pPr>
        <w:pStyle w:val="jaa"/>
      </w:pPr>
      <w:r>
        <w:t>（業務の廃止又は解散等の決議に係る認可の申請）</w:t>
      </w:r>
    </w:p>
    <w:p w:rsidR="00066809" w:rsidRDefault="00B153DA">
      <w:pPr>
        <w:pStyle w:val="ena"/>
      </w:pPr>
      <w:r>
        <w:t>(Application for</w:t>
      </w:r>
      <w:r>
        <w:t xml:space="preserve"> Authorization of Resolution of Abolition or Dissolution of Business,)</w:t>
      </w:r>
    </w:p>
    <w:p w:rsidR="00066809" w:rsidRDefault="00B153DA">
      <w:pPr>
        <w:pStyle w:val="jaf3"/>
      </w:pPr>
      <w:r>
        <w:t>第四条　法第百五十六条の三十六　の認可を受けようとする証券金融会社は、認可申請書に次に掲げる書類を添付して金融庁長官に提出しなければならない。</w:t>
      </w:r>
    </w:p>
    <w:p w:rsidR="00066809" w:rsidRDefault="00B153DA">
      <w:pPr>
        <w:pStyle w:val="enf3"/>
      </w:pPr>
      <w:r>
        <w:t>Article 4  A Securities Finance Company that intends to obtain the authorization referred to in Article 156-36 of</w:t>
      </w:r>
      <w:r>
        <w:t xml:space="preserve"> the Act must attach the following documents to the written application for authorization and submit said documents to the Commissioner of the Financial Services Agency:</w:t>
      </w:r>
    </w:p>
    <w:p w:rsidR="00066809" w:rsidRDefault="00B153DA">
      <w:pPr>
        <w:pStyle w:val="jaf6"/>
      </w:pPr>
      <w:r>
        <w:t>一　法第百五十六条の三十六　各号に掲げる事項の決定をした理由を記載した書面</w:t>
      </w:r>
    </w:p>
    <w:p w:rsidR="00066809" w:rsidRDefault="00B153DA">
      <w:pPr>
        <w:pStyle w:val="enf6"/>
      </w:pPr>
      <w:r>
        <w:t>(i) a document stating the reason for determinin</w:t>
      </w:r>
      <w:r>
        <w:t>g the matters listed in the items of Article 156-36 of the Act;</w:t>
      </w:r>
    </w:p>
    <w:p w:rsidR="00066809" w:rsidRDefault="00B153DA">
      <w:pPr>
        <w:pStyle w:val="jaf6"/>
      </w:pPr>
      <w:r>
        <w:t>二　株主総会の議事録その他必要な手続があったことを証する書面</w:t>
      </w:r>
    </w:p>
    <w:p w:rsidR="00066809" w:rsidRDefault="00B153DA">
      <w:pPr>
        <w:pStyle w:val="enf6"/>
      </w:pPr>
      <w:r>
        <w:t>(ii) the minutes of the shareholders meeting or other document proving that necessary procedures had been taken; and</w:t>
      </w:r>
    </w:p>
    <w:p w:rsidR="00066809" w:rsidRDefault="00B153DA">
      <w:pPr>
        <w:pStyle w:val="jaf6"/>
      </w:pPr>
      <w:r>
        <w:t>三　決議時における日計表並びに資産及び負債の内容を明らかにした書面</w:t>
      </w:r>
    </w:p>
    <w:p w:rsidR="00066809" w:rsidRDefault="00B153DA">
      <w:pPr>
        <w:pStyle w:val="enf6"/>
      </w:pPr>
      <w:r>
        <w:t>(iii) a daily trial balance sheet and a document clarifying what assets and liabilities consisted of as at the time of said resolution.</w:t>
      </w:r>
    </w:p>
    <w:p w:rsidR="00066809" w:rsidRDefault="00066809"/>
    <w:p w:rsidR="00066809" w:rsidRDefault="00B153DA">
      <w:pPr>
        <w:pStyle w:val="jaa"/>
      </w:pPr>
      <w:r>
        <w:t>（標準処理期間）</w:t>
      </w:r>
    </w:p>
    <w:p w:rsidR="00066809" w:rsidRDefault="00B153DA">
      <w:pPr>
        <w:pStyle w:val="ena"/>
      </w:pPr>
      <w:r>
        <w:t>(Standard Processing Period)</w:t>
      </w:r>
    </w:p>
    <w:p w:rsidR="00066809" w:rsidRDefault="00B153DA">
      <w:pPr>
        <w:pStyle w:val="jaf3"/>
      </w:pPr>
      <w:r>
        <w:t>第五条　内閣総理大臣又は金融庁長官は、法第百五十六条の二十七第三項　若しくは第二条第二項　に規</w:t>
      </w:r>
      <w:r>
        <w:t>定する承認又は法第百五十六条の二十八第一項　に規定する認可に関する申請がその事務所に到達してから一月以内に、法第百五十六条の二十四第一項　に規定する免許又は法第百五十六条の三十六　に規定する認可に関する申請がその事務所に到達してから二月以内に、それぞれ当該申請に対する処分をするよう努めるものとする。</w:t>
      </w:r>
    </w:p>
    <w:p w:rsidR="00066809" w:rsidRDefault="00B153DA">
      <w:pPr>
        <w:pStyle w:val="enf3"/>
      </w:pPr>
      <w:r>
        <w:t xml:space="preserve">Article 5  (1) The Prime Minister or the Commissioner of the Financial Services Agency shall endeavor to </w:t>
      </w:r>
      <w:r>
        <w:t>process an application for approval prescribed in Article 156-27, paragraph (3) or Article 2, paragraph (2) of the Act, or authorization prescribed in Article 156-28, paragraph (1) of the Act within one month of the arrival of said application at the offic</w:t>
      </w:r>
      <w:r>
        <w:t>e of that person, and an application for license prescribed in Article 156-24, paragraph (1) of the Act or authorization prescribed in Article 156-36 of the Act within two months of the arrival of said application at the said office.</w:t>
      </w:r>
    </w:p>
    <w:p w:rsidR="00066809" w:rsidRDefault="00B153DA">
      <w:pPr>
        <w:pStyle w:val="jaf4"/>
      </w:pPr>
      <w:r>
        <w:t>２　前項に規定する期間には、次に掲げる期間を</w:t>
      </w:r>
      <w:r>
        <w:t>含まないものとする。</w:t>
      </w:r>
    </w:p>
    <w:p w:rsidR="00066809" w:rsidRDefault="00B153DA">
      <w:pPr>
        <w:pStyle w:val="enf4"/>
      </w:pPr>
      <w:r>
        <w:t>(2) The period prescribed in the preceding paragraph shall not include the following periods:</w:t>
      </w:r>
    </w:p>
    <w:p w:rsidR="00066809" w:rsidRDefault="00B153DA">
      <w:pPr>
        <w:pStyle w:val="jaf6"/>
      </w:pPr>
      <w:r>
        <w:t>一　当該申請を補正するために要する期間</w:t>
      </w:r>
    </w:p>
    <w:p w:rsidR="00066809" w:rsidRDefault="00B153DA">
      <w:pPr>
        <w:pStyle w:val="enf6"/>
      </w:pPr>
      <w:r>
        <w:t>(i) period required to make corrections to said application;</w:t>
      </w:r>
    </w:p>
    <w:p w:rsidR="00066809" w:rsidRDefault="00B153DA">
      <w:pPr>
        <w:pStyle w:val="jaf6"/>
      </w:pPr>
      <w:r>
        <w:t>二　当該申請をした者が当該申請の内容を変更するために要する期間</w:t>
      </w:r>
    </w:p>
    <w:p w:rsidR="00066809" w:rsidRDefault="00B153DA">
      <w:pPr>
        <w:pStyle w:val="enf6"/>
      </w:pPr>
      <w:r>
        <w:t>(ii) period required by the person who</w:t>
      </w:r>
      <w:r>
        <w:t xml:space="preserve"> filed said application to change the content of said application; or</w:t>
      </w:r>
    </w:p>
    <w:p w:rsidR="00066809" w:rsidRDefault="00B153DA">
      <w:pPr>
        <w:pStyle w:val="jaf6"/>
      </w:pPr>
      <w:r>
        <w:t>三　当該申請をした者が当該申請に係る審査に必要と認められる資料を追加するために要する期間</w:t>
      </w:r>
    </w:p>
    <w:p w:rsidR="00066809" w:rsidRDefault="00B153DA">
      <w:pPr>
        <w:pStyle w:val="enf6"/>
      </w:pPr>
      <w:r>
        <w:t>(iii) period required by the person who filed said application to add materials deemed necessary for examination of said application.</w:t>
      </w:r>
    </w:p>
    <w:sectPr w:rsidR="00066809" w:rsidSect="000668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809" w:rsidRDefault="00066809" w:rsidP="00066809">
      <w:r>
        <w:separator/>
      </w:r>
    </w:p>
  </w:endnote>
  <w:endnote w:type="continuationSeparator" w:id="0">
    <w:p w:rsidR="00066809" w:rsidRDefault="00066809" w:rsidP="0006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809" w:rsidRDefault="00066809">
    <w:pPr>
      <w:pStyle w:val="a3"/>
    </w:pPr>
    <w:r>
      <w:fldChar w:fldCharType="begin"/>
    </w:r>
    <w:r>
      <w:instrText xml:space="preserve"> PAGE  \* MERGEFORMAT </w:instrText>
    </w:r>
    <w:r>
      <w:fldChar w:fldCharType="separate"/>
    </w:r>
    <w:r w:rsidR="00B153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809" w:rsidRDefault="00066809" w:rsidP="00066809">
      <w:r>
        <w:separator/>
      </w:r>
    </w:p>
  </w:footnote>
  <w:footnote w:type="continuationSeparator" w:id="0">
    <w:p w:rsidR="00066809" w:rsidRDefault="00066809" w:rsidP="0006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2497"/>
    <w:multiLevelType w:val="multilevel"/>
    <w:tmpl w:val="EEC464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D5585E"/>
    <w:multiLevelType w:val="multilevel"/>
    <w:tmpl w:val="C55E43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374D57"/>
    <w:multiLevelType w:val="multilevel"/>
    <w:tmpl w:val="AF584D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AD618F"/>
    <w:multiLevelType w:val="multilevel"/>
    <w:tmpl w:val="E1DC3F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9E1324"/>
    <w:multiLevelType w:val="multilevel"/>
    <w:tmpl w:val="26389A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F5251D"/>
    <w:multiLevelType w:val="multilevel"/>
    <w:tmpl w:val="E8E8C7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C0F1D"/>
    <w:multiLevelType w:val="multilevel"/>
    <w:tmpl w:val="011015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7D2726"/>
    <w:multiLevelType w:val="multilevel"/>
    <w:tmpl w:val="52F265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022160"/>
    <w:multiLevelType w:val="multilevel"/>
    <w:tmpl w:val="3BDA7A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C11B16"/>
    <w:multiLevelType w:val="multilevel"/>
    <w:tmpl w:val="7D7EEC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045CC0"/>
    <w:multiLevelType w:val="multilevel"/>
    <w:tmpl w:val="F5CEA0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B6474"/>
    <w:multiLevelType w:val="multilevel"/>
    <w:tmpl w:val="1AA45D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1312AB"/>
    <w:multiLevelType w:val="multilevel"/>
    <w:tmpl w:val="AB9056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3"/>
  </w:num>
  <w:num w:numId="4">
    <w:abstractNumId w:val="12"/>
  </w:num>
  <w:num w:numId="5">
    <w:abstractNumId w:val="9"/>
  </w:num>
  <w:num w:numId="6">
    <w:abstractNumId w:val="10"/>
  </w:num>
  <w:num w:numId="7">
    <w:abstractNumId w:val="1"/>
  </w:num>
  <w:num w:numId="8">
    <w:abstractNumId w:val="4"/>
  </w:num>
  <w:num w:numId="9">
    <w:abstractNumId w:val="5"/>
  </w:num>
  <w:num w:numId="10">
    <w:abstractNumId w:val="2"/>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6809"/>
    <w:rsid w:val="00066809"/>
    <w:rsid w:val="00B153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8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68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6809"/>
    <w:rPr>
      <w:rFonts w:ascii="Century" w:eastAsia="Century" w:hAnsi="Century"/>
    </w:rPr>
  </w:style>
  <w:style w:type="paragraph" w:customStyle="1" w:styleId="ja0">
    <w:name w:val="款（ja）"/>
    <w:basedOn w:val="a"/>
    <w:rsid w:val="00066809"/>
    <w:pPr>
      <w:widowControl w:val="0"/>
      <w:ind w:left="1321" w:hanging="221"/>
    </w:pPr>
    <w:rPr>
      <w:rFonts w:ascii="ＭＳ 明朝" w:eastAsia="ＭＳ 明朝" w:hAnsi="ＭＳ 明朝" w:cs="ＭＳ 明朝"/>
      <w:b/>
    </w:rPr>
  </w:style>
  <w:style w:type="paragraph" w:customStyle="1" w:styleId="en0">
    <w:name w:val="款（en）"/>
    <w:basedOn w:val="ja0"/>
    <w:rsid w:val="00066809"/>
    <w:rPr>
      <w:rFonts w:ascii="Century" w:eastAsia="Century" w:hAnsi="Century" w:cs="Century"/>
    </w:rPr>
  </w:style>
  <w:style w:type="paragraph" w:customStyle="1" w:styleId="ja1">
    <w:name w:val="前文（ja）"/>
    <w:basedOn w:val="a"/>
    <w:rsid w:val="00066809"/>
    <w:pPr>
      <w:widowControl w:val="0"/>
      <w:ind w:firstLine="219"/>
    </w:pPr>
    <w:rPr>
      <w:rFonts w:ascii="ＭＳ 明朝" w:eastAsia="ＭＳ 明朝" w:hAnsi="ＭＳ 明朝" w:cs="ＭＳ 明朝"/>
    </w:rPr>
  </w:style>
  <w:style w:type="paragraph" w:customStyle="1" w:styleId="en1">
    <w:name w:val="前文（en）"/>
    <w:basedOn w:val="ja1"/>
    <w:rsid w:val="00066809"/>
    <w:rPr>
      <w:rFonts w:ascii="Century" w:eastAsia="Century" w:hAnsi="Century" w:cs="Century"/>
    </w:rPr>
  </w:style>
  <w:style w:type="paragraph" w:customStyle="1" w:styleId="ja2">
    <w:name w:val="附則（ja）"/>
    <w:basedOn w:val="a"/>
    <w:rsid w:val="00066809"/>
    <w:pPr>
      <w:widowControl w:val="0"/>
      <w:ind w:left="881" w:hanging="221"/>
    </w:pPr>
    <w:rPr>
      <w:rFonts w:ascii="ＭＳ 明朝" w:eastAsia="ＭＳ 明朝" w:hAnsi="ＭＳ 明朝" w:cs="ＭＳ 明朝"/>
      <w:b/>
    </w:rPr>
  </w:style>
  <w:style w:type="paragraph" w:customStyle="1" w:styleId="en2">
    <w:name w:val="附則（en）"/>
    <w:basedOn w:val="ja2"/>
    <w:rsid w:val="00066809"/>
    <w:rPr>
      <w:rFonts w:ascii="Century" w:hAnsi="Century" w:cs="Century"/>
    </w:rPr>
  </w:style>
  <w:style w:type="paragraph" w:customStyle="1" w:styleId="ja3">
    <w:name w:val="章（ja）"/>
    <w:basedOn w:val="a"/>
    <w:rsid w:val="00066809"/>
    <w:pPr>
      <w:widowControl w:val="0"/>
      <w:ind w:left="881" w:hanging="221"/>
    </w:pPr>
    <w:rPr>
      <w:rFonts w:ascii="ＭＳ 明朝" w:eastAsia="ＭＳ 明朝" w:hAnsi="ＭＳ 明朝" w:cs="ＭＳ 明朝"/>
      <w:b/>
    </w:rPr>
  </w:style>
  <w:style w:type="paragraph" w:customStyle="1" w:styleId="en3">
    <w:name w:val="章（en）"/>
    <w:basedOn w:val="ja3"/>
    <w:rsid w:val="00066809"/>
    <w:rPr>
      <w:rFonts w:ascii="Century" w:eastAsia="Century" w:hAnsi="Century" w:cs="Century"/>
    </w:rPr>
  </w:style>
  <w:style w:type="paragraph" w:customStyle="1" w:styleId="ja4">
    <w:name w:val="目次編（ja）"/>
    <w:basedOn w:val="a"/>
    <w:rsid w:val="00066809"/>
    <w:pPr>
      <w:widowControl w:val="0"/>
      <w:ind w:left="219" w:hanging="219"/>
    </w:pPr>
    <w:rPr>
      <w:rFonts w:ascii="ＭＳ 明朝" w:eastAsia="ＭＳ 明朝" w:hAnsi="ＭＳ 明朝"/>
    </w:rPr>
  </w:style>
  <w:style w:type="paragraph" w:customStyle="1" w:styleId="en4">
    <w:name w:val="目次編（en）"/>
    <w:basedOn w:val="ja4"/>
    <w:rsid w:val="00066809"/>
    <w:rPr>
      <w:rFonts w:ascii="Century" w:eastAsia="Century" w:hAnsi="Century"/>
    </w:rPr>
  </w:style>
  <w:style w:type="paragraph" w:customStyle="1" w:styleId="ja5">
    <w:name w:val="目次章（ja）"/>
    <w:basedOn w:val="a"/>
    <w:rsid w:val="00066809"/>
    <w:pPr>
      <w:widowControl w:val="0"/>
      <w:ind w:left="439" w:hanging="219"/>
    </w:pPr>
    <w:rPr>
      <w:rFonts w:ascii="ＭＳ 明朝" w:eastAsia="ＭＳ 明朝" w:hAnsi="ＭＳ 明朝"/>
    </w:rPr>
  </w:style>
  <w:style w:type="paragraph" w:customStyle="1" w:styleId="en5">
    <w:name w:val="目次章（en）"/>
    <w:basedOn w:val="ja5"/>
    <w:rsid w:val="00066809"/>
    <w:rPr>
      <w:rFonts w:ascii="Century" w:eastAsia="Century" w:hAnsi="Century"/>
    </w:rPr>
  </w:style>
  <w:style w:type="paragraph" w:customStyle="1" w:styleId="ja6">
    <w:name w:val="目次節（ja）"/>
    <w:basedOn w:val="a"/>
    <w:rsid w:val="00066809"/>
    <w:pPr>
      <w:widowControl w:val="0"/>
      <w:ind w:left="659" w:hanging="219"/>
    </w:pPr>
    <w:rPr>
      <w:rFonts w:ascii="ＭＳ 明朝" w:eastAsia="ＭＳ 明朝" w:hAnsi="ＭＳ 明朝"/>
    </w:rPr>
  </w:style>
  <w:style w:type="paragraph" w:customStyle="1" w:styleId="en6">
    <w:name w:val="目次節（en）"/>
    <w:basedOn w:val="ja6"/>
    <w:rsid w:val="00066809"/>
    <w:rPr>
      <w:rFonts w:ascii="Century" w:eastAsia="Century" w:hAnsi="Century"/>
    </w:rPr>
  </w:style>
  <w:style w:type="paragraph" w:customStyle="1" w:styleId="ja7">
    <w:name w:val="目次款（ja）"/>
    <w:basedOn w:val="a"/>
    <w:rsid w:val="00066809"/>
    <w:pPr>
      <w:widowControl w:val="0"/>
      <w:ind w:left="879" w:hanging="219"/>
    </w:pPr>
    <w:rPr>
      <w:rFonts w:ascii="ＭＳ 明朝" w:eastAsia="ＭＳ 明朝" w:hAnsi="ＭＳ 明朝" w:cs="Kochi Mincho"/>
    </w:rPr>
  </w:style>
  <w:style w:type="paragraph" w:customStyle="1" w:styleId="en7">
    <w:name w:val="目次款（en）"/>
    <w:basedOn w:val="ja7"/>
    <w:rsid w:val="00066809"/>
    <w:rPr>
      <w:rFonts w:ascii="Century" w:eastAsia="Century" w:hAnsi="Century"/>
    </w:rPr>
  </w:style>
  <w:style w:type="paragraph" w:customStyle="1" w:styleId="ja8">
    <w:name w:val="別表名（ja）"/>
    <w:basedOn w:val="a"/>
    <w:rsid w:val="000668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6809"/>
    <w:rPr>
      <w:rFonts w:ascii="Century" w:eastAsia="Century" w:hAnsi="Century" w:cs="Century"/>
    </w:rPr>
  </w:style>
  <w:style w:type="paragraph" w:customStyle="1" w:styleId="ja9">
    <w:name w:val="目（ja）"/>
    <w:basedOn w:val="a"/>
    <w:rsid w:val="00066809"/>
    <w:pPr>
      <w:widowControl w:val="0"/>
      <w:ind w:left="1541" w:hanging="221"/>
    </w:pPr>
    <w:rPr>
      <w:rFonts w:ascii="ＭＳ 明朝" w:eastAsia="ＭＳ 明朝" w:hAnsi="ＭＳ 明朝" w:cs="ＭＳ 明朝"/>
      <w:b/>
    </w:rPr>
  </w:style>
  <w:style w:type="paragraph" w:customStyle="1" w:styleId="en9">
    <w:name w:val="目（en）"/>
    <w:basedOn w:val="ja9"/>
    <w:rsid w:val="00066809"/>
    <w:rPr>
      <w:rFonts w:ascii="Century" w:eastAsia="Century" w:hAnsi="Century" w:cs="Century"/>
    </w:rPr>
  </w:style>
  <w:style w:type="paragraph" w:customStyle="1" w:styleId="jaa">
    <w:name w:val="見出し（ja）"/>
    <w:basedOn w:val="a"/>
    <w:rsid w:val="00066809"/>
    <w:pPr>
      <w:widowControl w:val="0"/>
      <w:ind w:left="439" w:hanging="219"/>
    </w:pPr>
    <w:rPr>
      <w:rFonts w:ascii="ＭＳ 明朝" w:eastAsia="ＭＳ 明朝" w:hAnsi="ＭＳ 明朝" w:cs="ＭＳ 明朝"/>
    </w:rPr>
  </w:style>
  <w:style w:type="paragraph" w:customStyle="1" w:styleId="ena">
    <w:name w:val="見出し（en）"/>
    <w:basedOn w:val="jaa"/>
    <w:rsid w:val="00066809"/>
    <w:rPr>
      <w:rFonts w:ascii="Century" w:eastAsia="Century" w:hAnsi="Century" w:cs="Century"/>
    </w:rPr>
  </w:style>
  <w:style w:type="paragraph" w:styleId="a3">
    <w:name w:val="footer"/>
    <w:basedOn w:val="a"/>
    <w:rsid w:val="000668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6809"/>
    <w:pPr>
      <w:widowControl w:val="0"/>
      <w:ind w:left="1099" w:hanging="219"/>
    </w:pPr>
    <w:rPr>
      <w:rFonts w:ascii="ＭＳ 明朝" w:eastAsia="ＭＳ 明朝" w:hAnsi="ＭＳ 明朝" w:cs="Kochi Mincho"/>
    </w:rPr>
  </w:style>
  <w:style w:type="paragraph" w:customStyle="1" w:styleId="enb">
    <w:name w:val="目次目（en）"/>
    <w:basedOn w:val="jab"/>
    <w:rsid w:val="00066809"/>
    <w:rPr>
      <w:rFonts w:ascii="Century" w:eastAsia="Century" w:hAnsi="Century"/>
    </w:rPr>
  </w:style>
  <w:style w:type="paragraph" w:customStyle="1" w:styleId="jac">
    <w:name w:val="目次附則（ja）"/>
    <w:basedOn w:val="a"/>
    <w:rsid w:val="00066809"/>
    <w:pPr>
      <w:widowControl w:val="0"/>
      <w:ind w:left="439" w:hanging="219"/>
    </w:pPr>
    <w:rPr>
      <w:rFonts w:ascii="ＭＳ 明朝" w:eastAsia="ＭＳ 明朝" w:hAnsi="ＭＳ 明朝" w:cs="Kochi Mincho"/>
    </w:rPr>
  </w:style>
  <w:style w:type="paragraph" w:customStyle="1" w:styleId="enc">
    <w:name w:val="目次附則（en）"/>
    <w:basedOn w:val="jac"/>
    <w:rsid w:val="00066809"/>
    <w:rPr>
      <w:rFonts w:ascii="Century" w:eastAsia="Century" w:hAnsi="Century" w:cs="Century"/>
    </w:rPr>
  </w:style>
  <w:style w:type="paragraph" w:customStyle="1" w:styleId="jad">
    <w:name w:val="目次前文（ja）"/>
    <w:basedOn w:val="jac"/>
    <w:rsid w:val="00066809"/>
  </w:style>
  <w:style w:type="paragraph" w:customStyle="1" w:styleId="end">
    <w:name w:val="目次前文（en）"/>
    <w:basedOn w:val="enc"/>
    <w:rsid w:val="00066809"/>
  </w:style>
  <w:style w:type="paragraph" w:customStyle="1" w:styleId="jae">
    <w:name w:val="制定文（ja）"/>
    <w:basedOn w:val="a"/>
    <w:rsid w:val="00066809"/>
    <w:pPr>
      <w:widowControl w:val="0"/>
      <w:ind w:firstLine="219"/>
    </w:pPr>
    <w:rPr>
      <w:rFonts w:ascii="ＭＳ 明朝" w:eastAsia="ＭＳ 明朝" w:hAnsi="ＭＳ 明朝" w:cs="ＭＳ 明朝"/>
    </w:rPr>
  </w:style>
  <w:style w:type="paragraph" w:customStyle="1" w:styleId="ene">
    <w:name w:val="制定文（en）"/>
    <w:basedOn w:val="jae"/>
    <w:rsid w:val="00066809"/>
    <w:rPr>
      <w:rFonts w:ascii="Century" w:eastAsia="Century" w:hAnsi="Century" w:cs="Century"/>
    </w:rPr>
  </w:style>
  <w:style w:type="paragraph" w:customStyle="1" w:styleId="jaf">
    <w:name w:val="法令番号（ja）"/>
    <w:basedOn w:val="a"/>
    <w:rsid w:val="00066809"/>
    <w:pPr>
      <w:widowControl w:val="0"/>
      <w:jc w:val="right"/>
    </w:pPr>
    <w:rPr>
      <w:rFonts w:ascii="ＭＳ 明朝" w:eastAsia="ＭＳ 明朝" w:hAnsi="ＭＳ 明朝" w:cs="Kochi Mincho"/>
    </w:rPr>
  </w:style>
  <w:style w:type="paragraph" w:customStyle="1" w:styleId="enf">
    <w:name w:val="法令番号（en）"/>
    <w:basedOn w:val="jaf"/>
    <w:rsid w:val="00066809"/>
    <w:rPr>
      <w:rFonts w:ascii="Century" w:eastAsia="Century" w:hAnsi="Century" w:cs="Century"/>
    </w:rPr>
  </w:style>
  <w:style w:type="paragraph" w:customStyle="1" w:styleId="jaf0">
    <w:name w:val="目次（ja）"/>
    <w:basedOn w:val="a"/>
    <w:rsid w:val="00066809"/>
    <w:rPr>
      <w:rFonts w:ascii="ＭＳ 明朝" w:eastAsia="ＭＳ 明朝" w:hAnsi="ＭＳ 明朝"/>
    </w:rPr>
  </w:style>
  <w:style w:type="paragraph" w:customStyle="1" w:styleId="enf0">
    <w:name w:val="目次（en）"/>
    <w:basedOn w:val="jaf0"/>
    <w:rsid w:val="00066809"/>
    <w:rPr>
      <w:rFonts w:ascii="Century" w:eastAsia="Century" w:hAnsi="Century"/>
    </w:rPr>
  </w:style>
  <w:style w:type="paragraph" w:customStyle="1" w:styleId="jaf1">
    <w:name w:val="編（ja）"/>
    <w:basedOn w:val="a"/>
    <w:rsid w:val="00066809"/>
    <w:pPr>
      <w:widowControl w:val="0"/>
      <w:ind w:left="661" w:hanging="221"/>
    </w:pPr>
    <w:rPr>
      <w:rFonts w:ascii="ＭＳ 明朝" w:eastAsia="ＭＳ 明朝" w:hAnsi="ＭＳ 明朝" w:cs="ＭＳ 明朝"/>
      <w:b/>
    </w:rPr>
  </w:style>
  <w:style w:type="paragraph" w:customStyle="1" w:styleId="enf1">
    <w:name w:val="編（en）"/>
    <w:basedOn w:val="jaf1"/>
    <w:rsid w:val="00066809"/>
    <w:rPr>
      <w:rFonts w:ascii="Century" w:eastAsia="Century" w:hAnsi="Century" w:cs="Century"/>
    </w:rPr>
  </w:style>
  <w:style w:type="paragraph" w:customStyle="1" w:styleId="jaf2">
    <w:name w:val="節（ja）"/>
    <w:basedOn w:val="a"/>
    <w:rsid w:val="00066809"/>
    <w:pPr>
      <w:widowControl w:val="0"/>
      <w:ind w:left="1101" w:hanging="221"/>
    </w:pPr>
    <w:rPr>
      <w:rFonts w:ascii="ＭＳ 明朝" w:eastAsia="ＭＳ 明朝" w:hAnsi="ＭＳ 明朝" w:cs="ＭＳ 明朝"/>
      <w:b/>
    </w:rPr>
  </w:style>
  <w:style w:type="paragraph" w:customStyle="1" w:styleId="enf2">
    <w:name w:val="節（en）"/>
    <w:basedOn w:val="jaf2"/>
    <w:rsid w:val="00066809"/>
    <w:rPr>
      <w:rFonts w:ascii="Century" w:eastAsia="Century" w:hAnsi="Century" w:cs="Century"/>
    </w:rPr>
  </w:style>
  <w:style w:type="paragraph" w:customStyle="1" w:styleId="jaf3">
    <w:name w:val="条（ja）"/>
    <w:basedOn w:val="a"/>
    <w:rsid w:val="00066809"/>
    <w:pPr>
      <w:widowControl w:val="0"/>
      <w:ind w:left="219" w:hanging="219"/>
    </w:pPr>
    <w:rPr>
      <w:rFonts w:ascii="ＭＳ 明朝" w:eastAsia="ＭＳ 明朝" w:hAnsi="ＭＳ 明朝" w:cs="ＭＳ 明朝"/>
    </w:rPr>
  </w:style>
  <w:style w:type="paragraph" w:customStyle="1" w:styleId="enf3">
    <w:name w:val="条（en）"/>
    <w:basedOn w:val="jaf3"/>
    <w:rsid w:val="00066809"/>
    <w:rPr>
      <w:rFonts w:ascii="Century" w:eastAsia="Century" w:hAnsi="Century" w:cs="Century"/>
    </w:rPr>
  </w:style>
  <w:style w:type="paragraph" w:customStyle="1" w:styleId="jaf4">
    <w:name w:val="項（ja）"/>
    <w:basedOn w:val="a"/>
    <w:rsid w:val="00066809"/>
    <w:pPr>
      <w:widowControl w:val="0"/>
      <w:ind w:left="219" w:hanging="219"/>
    </w:pPr>
    <w:rPr>
      <w:rFonts w:ascii="ＭＳ 明朝" w:eastAsia="ＭＳ 明朝" w:hAnsi="ＭＳ 明朝" w:cs="ＭＳ 明朝"/>
    </w:rPr>
  </w:style>
  <w:style w:type="paragraph" w:customStyle="1" w:styleId="enf4">
    <w:name w:val="項（en）"/>
    <w:basedOn w:val="jaf4"/>
    <w:rsid w:val="00066809"/>
    <w:rPr>
      <w:rFonts w:ascii="Century" w:eastAsia="Century" w:hAnsi="Century" w:cs="Century"/>
    </w:rPr>
  </w:style>
  <w:style w:type="paragraph" w:customStyle="1" w:styleId="jaf5">
    <w:name w:val="項　番号なし（ja）"/>
    <w:basedOn w:val="a"/>
    <w:rsid w:val="00066809"/>
    <w:pPr>
      <w:widowControl w:val="0"/>
      <w:ind w:firstLine="221"/>
    </w:pPr>
    <w:rPr>
      <w:rFonts w:ascii="ＭＳ 明朝" w:eastAsia="ＭＳ 明朝" w:hAnsi="ＭＳ 明朝" w:cs="ＭＳ 明朝"/>
    </w:rPr>
  </w:style>
  <w:style w:type="paragraph" w:customStyle="1" w:styleId="enf5">
    <w:name w:val="項　番号なし（en）"/>
    <w:basedOn w:val="jaf5"/>
    <w:rsid w:val="00066809"/>
    <w:rPr>
      <w:rFonts w:ascii="Century" w:eastAsia="Century" w:hAnsi="Century" w:cs="Century"/>
    </w:rPr>
  </w:style>
  <w:style w:type="paragraph" w:customStyle="1" w:styleId="jaf6">
    <w:name w:val="号（ja）"/>
    <w:basedOn w:val="a"/>
    <w:rsid w:val="00066809"/>
    <w:pPr>
      <w:widowControl w:val="0"/>
      <w:ind w:left="439" w:hanging="219"/>
    </w:pPr>
    <w:rPr>
      <w:rFonts w:ascii="ＭＳ 明朝" w:eastAsia="ＭＳ 明朝" w:hAnsi="ＭＳ 明朝" w:cs="ＭＳ 明朝"/>
    </w:rPr>
  </w:style>
  <w:style w:type="paragraph" w:customStyle="1" w:styleId="enf6">
    <w:name w:val="号（en）"/>
    <w:basedOn w:val="jaf6"/>
    <w:rsid w:val="00066809"/>
    <w:rPr>
      <w:rFonts w:ascii="Century" w:eastAsia="Century" w:hAnsi="Century" w:cs="Century"/>
    </w:rPr>
  </w:style>
  <w:style w:type="paragraph" w:customStyle="1" w:styleId="jaf7">
    <w:name w:val="号　番号なし（ja）"/>
    <w:basedOn w:val="a"/>
    <w:rsid w:val="00066809"/>
    <w:pPr>
      <w:widowControl w:val="0"/>
      <w:ind w:left="221" w:firstLine="221"/>
    </w:pPr>
    <w:rPr>
      <w:rFonts w:ascii="ＭＳ 明朝" w:eastAsia="ＭＳ 明朝" w:hAnsi="ＭＳ 明朝" w:cs="ＭＳ 明朝"/>
    </w:rPr>
  </w:style>
  <w:style w:type="paragraph" w:customStyle="1" w:styleId="enf7">
    <w:name w:val="号　番号なし（en）"/>
    <w:basedOn w:val="jaf7"/>
    <w:rsid w:val="00066809"/>
    <w:rPr>
      <w:rFonts w:ascii="Century" w:eastAsia="Century" w:hAnsi="Century" w:cs="Century"/>
    </w:rPr>
  </w:style>
  <w:style w:type="paragraph" w:customStyle="1" w:styleId="jaf8">
    <w:name w:val="備考号（ja）"/>
    <w:basedOn w:val="a"/>
    <w:rsid w:val="00066809"/>
    <w:pPr>
      <w:widowControl w:val="0"/>
      <w:ind w:left="659" w:hanging="219"/>
    </w:pPr>
    <w:rPr>
      <w:rFonts w:ascii="ＭＳ 明朝" w:eastAsia="ＭＳ 明朝" w:hAnsi="ＭＳ 明朝" w:cs="ＭＳ 明朝"/>
    </w:rPr>
  </w:style>
  <w:style w:type="paragraph" w:customStyle="1" w:styleId="enf8">
    <w:name w:val="備考号（en）"/>
    <w:basedOn w:val="jaf8"/>
    <w:rsid w:val="00066809"/>
    <w:rPr>
      <w:rFonts w:ascii="Century" w:eastAsia="Century" w:hAnsi="Century" w:cs="Century"/>
    </w:rPr>
  </w:style>
  <w:style w:type="paragraph" w:customStyle="1" w:styleId="jaf9">
    <w:name w:val="号細分（ja）"/>
    <w:basedOn w:val="a"/>
    <w:rsid w:val="00066809"/>
    <w:pPr>
      <w:widowControl w:val="0"/>
      <w:ind w:left="659" w:hanging="219"/>
    </w:pPr>
    <w:rPr>
      <w:rFonts w:ascii="ＭＳ 明朝" w:eastAsia="ＭＳ 明朝" w:hAnsi="ＭＳ 明朝" w:cs="ＭＳ 明朝"/>
    </w:rPr>
  </w:style>
  <w:style w:type="paragraph" w:customStyle="1" w:styleId="enf9">
    <w:name w:val="号細分（en）"/>
    <w:basedOn w:val="jaf9"/>
    <w:rsid w:val="00066809"/>
    <w:rPr>
      <w:rFonts w:ascii="Century" w:eastAsia="Century" w:hAnsi="Century" w:cs="Century"/>
    </w:rPr>
  </w:style>
  <w:style w:type="paragraph" w:customStyle="1" w:styleId="jafa">
    <w:name w:val="号細分　番号なし（ja）"/>
    <w:basedOn w:val="a"/>
    <w:rsid w:val="00066809"/>
    <w:pPr>
      <w:widowControl w:val="0"/>
      <w:ind w:left="439"/>
    </w:pPr>
    <w:rPr>
      <w:rFonts w:ascii="ＭＳ 明朝" w:eastAsia="ＭＳ 明朝" w:hAnsi="ＭＳ 明朝" w:cs="ＭＳ 明朝"/>
    </w:rPr>
  </w:style>
  <w:style w:type="paragraph" w:customStyle="1" w:styleId="enfa">
    <w:name w:val="号細分　番号なし（en）"/>
    <w:basedOn w:val="jafa"/>
    <w:rsid w:val="00066809"/>
    <w:rPr>
      <w:rFonts w:ascii="Century" w:eastAsia="Century" w:hAnsi="Century" w:cs="Century"/>
    </w:rPr>
  </w:style>
  <w:style w:type="paragraph" w:customStyle="1" w:styleId="jafb">
    <w:name w:val="備考号細分（ja）"/>
    <w:basedOn w:val="a"/>
    <w:rsid w:val="00066809"/>
    <w:pPr>
      <w:widowControl w:val="0"/>
      <w:ind w:left="1099" w:hanging="439"/>
    </w:pPr>
    <w:rPr>
      <w:rFonts w:ascii="ＭＳ 明朝" w:eastAsia="ＭＳ 明朝" w:hAnsi="ＭＳ 明朝" w:cs="ＭＳ 明朝"/>
    </w:rPr>
  </w:style>
  <w:style w:type="paragraph" w:customStyle="1" w:styleId="enfb">
    <w:name w:val="備考号細分（en）"/>
    <w:basedOn w:val="jafb"/>
    <w:rsid w:val="00066809"/>
    <w:rPr>
      <w:rFonts w:ascii="Century" w:eastAsia="Century" w:hAnsi="Century" w:cs="Century"/>
    </w:rPr>
  </w:style>
  <w:style w:type="paragraph" w:customStyle="1" w:styleId="jafc">
    <w:name w:val="号細細分（ja）"/>
    <w:basedOn w:val="a"/>
    <w:rsid w:val="00066809"/>
    <w:pPr>
      <w:widowControl w:val="0"/>
      <w:ind w:left="1099" w:hanging="439"/>
    </w:pPr>
    <w:rPr>
      <w:rFonts w:ascii="ＭＳ 明朝" w:eastAsia="ＭＳ 明朝" w:hAnsi="ＭＳ 明朝" w:cs="ＭＳ 明朝"/>
    </w:rPr>
  </w:style>
  <w:style w:type="paragraph" w:customStyle="1" w:styleId="enfc">
    <w:name w:val="号細細分（en）"/>
    <w:basedOn w:val="jafc"/>
    <w:rsid w:val="00066809"/>
    <w:rPr>
      <w:rFonts w:ascii="Century" w:eastAsia="Century" w:hAnsi="Century" w:cs="Century"/>
    </w:rPr>
  </w:style>
  <w:style w:type="paragraph" w:customStyle="1" w:styleId="jafd">
    <w:name w:val="号細細分　番号なし（ja）"/>
    <w:basedOn w:val="a"/>
    <w:rsid w:val="00066809"/>
    <w:pPr>
      <w:widowControl w:val="0"/>
      <w:ind w:left="659"/>
    </w:pPr>
    <w:rPr>
      <w:rFonts w:ascii="ＭＳ 明朝" w:eastAsia="ＭＳ 明朝" w:hAnsi="ＭＳ 明朝" w:cs="ＭＳ 明朝"/>
    </w:rPr>
  </w:style>
  <w:style w:type="paragraph" w:customStyle="1" w:styleId="enfd">
    <w:name w:val="号細細分　番号なし（en）"/>
    <w:basedOn w:val="jafd"/>
    <w:rsid w:val="00066809"/>
    <w:rPr>
      <w:rFonts w:ascii="Century" w:eastAsia="Century" w:hAnsi="Century" w:cs="Century"/>
    </w:rPr>
  </w:style>
  <w:style w:type="paragraph" w:customStyle="1" w:styleId="jafe">
    <w:name w:val="備考号細細分（ja）"/>
    <w:basedOn w:val="a"/>
    <w:rsid w:val="00066809"/>
    <w:pPr>
      <w:widowControl w:val="0"/>
      <w:ind w:left="1319" w:hanging="439"/>
    </w:pPr>
    <w:rPr>
      <w:rFonts w:ascii="ＭＳ 明朝" w:eastAsia="ＭＳ 明朝" w:hAnsi="ＭＳ 明朝" w:cs="ＭＳ 明朝"/>
    </w:rPr>
  </w:style>
  <w:style w:type="paragraph" w:customStyle="1" w:styleId="enfe">
    <w:name w:val="備考号細細分（en）"/>
    <w:basedOn w:val="jafe"/>
    <w:rsid w:val="00066809"/>
    <w:rPr>
      <w:rFonts w:ascii="Century" w:eastAsia="Century" w:hAnsi="Century" w:cs="Century"/>
    </w:rPr>
  </w:style>
  <w:style w:type="paragraph" w:customStyle="1" w:styleId="jaff">
    <w:name w:val="号細細細分（ja）"/>
    <w:basedOn w:val="a"/>
    <w:rsid w:val="00066809"/>
    <w:pPr>
      <w:widowControl w:val="0"/>
      <w:ind w:left="1319" w:hanging="439"/>
    </w:pPr>
    <w:rPr>
      <w:rFonts w:ascii="ＭＳ 明朝" w:eastAsia="ＭＳ 明朝" w:hAnsi="ＭＳ 明朝" w:cs="ＭＳ 明朝"/>
    </w:rPr>
  </w:style>
  <w:style w:type="paragraph" w:customStyle="1" w:styleId="enff">
    <w:name w:val="号細細細分（en）"/>
    <w:basedOn w:val="jaff"/>
    <w:rsid w:val="00066809"/>
    <w:rPr>
      <w:rFonts w:ascii="Century" w:eastAsia="Century" w:hAnsi="Century" w:cs="Century"/>
    </w:rPr>
  </w:style>
  <w:style w:type="paragraph" w:customStyle="1" w:styleId="jaff0">
    <w:name w:val="号細細細分　番号なし（ja）"/>
    <w:basedOn w:val="a"/>
    <w:rsid w:val="00066809"/>
    <w:pPr>
      <w:widowControl w:val="0"/>
      <w:ind w:left="879"/>
    </w:pPr>
    <w:rPr>
      <w:rFonts w:ascii="ＭＳ 明朝" w:eastAsia="ＭＳ 明朝" w:hAnsi="ＭＳ 明朝" w:cs="ＭＳ 明朝"/>
    </w:rPr>
  </w:style>
  <w:style w:type="paragraph" w:customStyle="1" w:styleId="enff0">
    <w:name w:val="号細細細分　番号なし（en）"/>
    <w:basedOn w:val="jaff0"/>
    <w:rsid w:val="00066809"/>
    <w:rPr>
      <w:rFonts w:ascii="Century" w:eastAsia="Century" w:hAnsi="Century" w:cs="Century"/>
    </w:rPr>
  </w:style>
  <w:style w:type="paragraph" w:customStyle="1" w:styleId="jaff1">
    <w:name w:val="備考号細細細分（ja）"/>
    <w:basedOn w:val="a"/>
    <w:rsid w:val="000668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6809"/>
    <w:rPr>
      <w:rFonts w:ascii="Century" w:eastAsia="Century" w:hAnsi="Century" w:cs="Century"/>
    </w:rPr>
  </w:style>
  <w:style w:type="paragraph" w:customStyle="1" w:styleId="jaff2">
    <w:name w:val="類（ja）"/>
    <w:basedOn w:val="a"/>
    <w:rsid w:val="00066809"/>
    <w:pPr>
      <w:widowControl w:val="0"/>
      <w:ind w:left="439" w:hanging="219"/>
    </w:pPr>
    <w:rPr>
      <w:rFonts w:ascii="ＭＳ 明朝" w:eastAsia="ＭＳ 明朝" w:hAnsi="ＭＳ 明朝" w:cs="ＭＳ 明朝"/>
    </w:rPr>
  </w:style>
  <w:style w:type="paragraph" w:customStyle="1" w:styleId="enff2">
    <w:name w:val="類（en）"/>
    <w:basedOn w:val="jaff2"/>
    <w:rsid w:val="00066809"/>
    <w:rPr>
      <w:rFonts w:ascii="Century" w:eastAsia="Century" w:hAnsi="Century" w:cs="Century"/>
    </w:rPr>
  </w:style>
  <w:style w:type="paragraph" w:customStyle="1" w:styleId="jaff3">
    <w:name w:val="公布文（ja）"/>
    <w:basedOn w:val="a"/>
    <w:rsid w:val="00066809"/>
    <w:pPr>
      <w:widowControl w:val="0"/>
      <w:ind w:firstLine="219"/>
    </w:pPr>
    <w:rPr>
      <w:rFonts w:ascii="ＭＳ 明朝" w:eastAsia="ＭＳ 明朝" w:hAnsi="ＭＳ 明朝" w:cs="ＭＳ 明朝"/>
    </w:rPr>
  </w:style>
  <w:style w:type="paragraph" w:customStyle="1" w:styleId="enff3">
    <w:name w:val="公布文（en）"/>
    <w:basedOn w:val="jaff3"/>
    <w:rsid w:val="00066809"/>
    <w:rPr>
      <w:rFonts w:ascii="Century" w:eastAsia="Century" w:hAnsi="Century" w:cs="Century"/>
    </w:rPr>
  </w:style>
  <w:style w:type="paragraph" w:customStyle="1" w:styleId="jaen">
    <w:name w:val="表（ja：en）"/>
    <w:basedOn w:val="a"/>
    <w:rsid w:val="00066809"/>
    <w:pPr>
      <w:widowControl w:val="0"/>
      <w:snapToGrid w:val="0"/>
    </w:pPr>
    <w:rPr>
      <w:rFonts w:ascii="Century" w:eastAsia="ＭＳ 明朝" w:hAnsi="Century"/>
    </w:rPr>
  </w:style>
  <w:style w:type="paragraph" w:customStyle="1" w:styleId="jaff4">
    <w:name w:val="備考（ja）"/>
    <w:basedOn w:val="a"/>
    <w:rsid w:val="00066809"/>
    <w:pPr>
      <w:widowControl w:val="0"/>
      <w:ind w:left="439" w:hanging="219"/>
    </w:pPr>
    <w:rPr>
      <w:rFonts w:ascii="ＭＳ 明朝" w:eastAsia="ＭＳ 明朝" w:hAnsi="ＭＳ 明朝" w:cs="ＭＳ 明朝"/>
    </w:rPr>
  </w:style>
  <w:style w:type="paragraph" w:customStyle="1" w:styleId="enff4">
    <w:name w:val="備考（en）"/>
    <w:basedOn w:val="jaff4"/>
    <w:rsid w:val="00066809"/>
    <w:rPr>
      <w:rFonts w:ascii="Century" w:eastAsia="Century" w:hAnsi="Century" w:cs="Century"/>
    </w:rPr>
  </w:style>
  <w:style w:type="paragraph" w:customStyle="1" w:styleId="jaff5">
    <w:name w:val="表タイトル（ja）"/>
    <w:basedOn w:val="a"/>
    <w:rsid w:val="00066809"/>
    <w:pPr>
      <w:widowControl w:val="0"/>
      <w:ind w:left="219"/>
    </w:pPr>
    <w:rPr>
      <w:rFonts w:ascii="ＭＳ 明朝" w:eastAsia="ＭＳ 明朝" w:hAnsi="ＭＳ 明朝" w:cs="ＭＳ 明朝"/>
    </w:rPr>
  </w:style>
  <w:style w:type="paragraph" w:customStyle="1" w:styleId="enff5">
    <w:name w:val="表タイトル（en）"/>
    <w:basedOn w:val="jaff5"/>
    <w:rsid w:val="00066809"/>
    <w:rPr>
      <w:rFonts w:ascii="Century" w:eastAsia="Century" w:hAnsi="Century" w:cs="Century"/>
    </w:rPr>
  </w:style>
  <w:style w:type="paragraph" w:customStyle="1" w:styleId="jaff6">
    <w:name w:val="改正規定文（ja）"/>
    <w:basedOn w:val="a"/>
    <w:rsid w:val="00066809"/>
    <w:pPr>
      <w:widowControl w:val="0"/>
      <w:ind w:left="219" w:firstLine="219"/>
    </w:pPr>
    <w:rPr>
      <w:rFonts w:ascii="ＭＳ 明朝" w:eastAsia="ＭＳ 明朝" w:hAnsi="ＭＳ 明朝" w:cs="ＭＳ 明朝"/>
    </w:rPr>
  </w:style>
  <w:style w:type="paragraph" w:customStyle="1" w:styleId="enff6">
    <w:name w:val="改正規定文（en）"/>
    <w:basedOn w:val="jaff6"/>
    <w:rsid w:val="00066809"/>
    <w:rPr>
      <w:rFonts w:ascii="Century" w:eastAsia="Century" w:hAnsi="Century" w:cs="Century"/>
    </w:rPr>
  </w:style>
  <w:style w:type="paragraph" w:customStyle="1" w:styleId="jaff7">
    <w:name w:val="付記（ja）"/>
    <w:basedOn w:val="a"/>
    <w:rsid w:val="00066809"/>
    <w:pPr>
      <w:widowControl w:val="0"/>
      <w:ind w:left="219" w:firstLine="219"/>
    </w:pPr>
    <w:rPr>
      <w:rFonts w:ascii="ＭＳ 明朝" w:eastAsia="ＭＳ 明朝" w:hAnsi="ＭＳ 明朝" w:cs="ＭＳ 明朝"/>
    </w:rPr>
  </w:style>
  <w:style w:type="paragraph" w:customStyle="1" w:styleId="enff7">
    <w:name w:val="付記（en）"/>
    <w:basedOn w:val="jaff7"/>
    <w:rsid w:val="00066809"/>
    <w:rPr>
      <w:rFonts w:ascii="Century" w:eastAsia="Century" w:hAnsi="Century" w:cs="Century"/>
    </w:rPr>
  </w:style>
  <w:style w:type="paragraph" w:customStyle="1" w:styleId="jaff8">
    <w:name w:val="様式名（ja）"/>
    <w:basedOn w:val="a"/>
    <w:rsid w:val="00066809"/>
    <w:pPr>
      <w:widowControl w:val="0"/>
      <w:ind w:left="439" w:hanging="219"/>
    </w:pPr>
    <w:rPr>
      <w:rFonts w:ascii="ＭＳ 明朝" w:eastAsia="ＭＳ 明朝" w:hAnsi="ＭＳ 明朝" w:cs="ＭＳ 明朝"/>
    </w:rPr>
  </w:style>
  <w:style w:type="paragraph" w:customStyle="1" w:styleId="enff8">
    <w:name w:val="様式名（en）"/>
    <w:basedOn w:val="jaff8"/>
    <w:rsid w:val="00066809"/>
    <w:rPr>
      <w:rFonts w:ascii="Century" w:eastAsia="Century" w:hAnsi="Century" w:cs="Century"/>
    </w:rPr>
  </w:style>
  <w:style w:type="paragraph" w:customStyle="1" w:styleId="jaff9">
    <w:name w:val="様式項目（ja）"/>
    <w:basedOn w:val="a"/>
    <w:rsid w:val="00066809"/>
    <w:pPr>
      <w:widowControl w:val="0"/>
      <w:ind w:left="221" w:firstLine="221"/>
    </w:pPr>
    <w:rPr>
      <w:rFonts w:ascii="ＭＳ 明朝" w:eastAsia="ＭＳ 明朝" w:hAnsi="ＭＳ 明朝" w:cs="ＭＳ 明朝"/>
    </w:rPr>
  </w:style>
  <w:style w:type="paragraph" w:customStyle="1" w:styleId="enff9">
    <w:name w:val="様式項目（en）"/>
    <w:basedOn w:val="jaff9"/>
    <w:rsid w:val="00066809"/>
    <w:rPr>
      <w:rFonts w:ascii="Century" w:eastAsia="Century" w:hAnsi="Century" w:cs="Century"/>
    </w:rPr>
  </w:style>
  <w:style w:type="table" w:customStyle="1" w:styleId="1">
    <w:name w:val="表1"/>
    <w:rsid w:val="00066809"/>
    <w:tblPr>
      <w:tblInd w:w="340" w:type="dxa"/>
      <w:tblCellMar>
        <w:top w:w="0" w:type="dxa"/>
        <w:left w:w="0" w:type="dxa"/>
        <w:bottom w:w="0" w:type="dxa"/>
        <w:right w:w="0" w:type="dxa"/>
      </w:tblCellMar>
    </w:tblPr>
  </w:style>
  <w:style w:type="numbering" w:customStyle="1" w:styleId="WW8Num1">
    <w:name w:val="WW8Num1"/>
    <w:rsid w:val="00066809"/>
    <w:pPr>
      <w:numPr>
        <w:numId w:val="2"/>
      </w:numPr>
    </w:pPr>
  </w:style>
  <w:style w:type="numbering" w:customStyle="1" w:styleId="WW8Num2">
    <w:name w:val="WW8Num2"/>
    <w:rsid w:val="00066809"/>
    <w:pPr>
      <w:numPr>
        <w:numId w:val="3"/>
      </w:numPr>
    </w:pPr>
  </w:style>
  <w:style w:type="numbering" w:customStyle="1" w:styleId="WW8Num3">
    <w:name w:val="WW8Num3"/>
    <w:rsid w:val="00066809"/>
    <w:pPr>
      <w:numPr>
        <w:numId w:val="4"/>
      </w:numPr>
    </w:pPr>
  </w:style>
  <w:style w:type="numbering" w:customStyle="1" w:styleId="WW8Num4">
    <w:name w:val="WW8Num4"/>
    <w:rsid w:val="00066809"/>
    <w:pPr>
      <w:numPr>
        <w:numId w:val="5"/>
      </w:numPr>
    </w:pPr>
  </w:style>
  <w:style w:type="numbering" w:customStyle="1" w:styleId="WW8Num5">
    <w:name w:val="WW8Num5"/>
    <w:rsid w:val="00066809"/>
    <w:pPr>
      <w:numPr>
        <w:numId w:val="6"/>
      </w:numPr>
    </w:pPr>
  </w:style>
  <w:style w:type="numbering" w:customStyle="1" w:styleId="WW8Num6">
    <w:name w:val="WW8Num6"/>
    <w:rsid w:val="00066809"/>
    <w:pPr>
      <w:numPr>
        <w:numId w:val="7"/>
      </w:numPr>
    </w:pPr>
  </w:style>
  <w:style w:type="numbering" w:customStyle="1" w:styleId="WW8Num7">
    <w:name w:val="WW8Num7"/>
    <w:rsid w:val="00066809"/>
    <w:pPr>
      <w:numPr>
        <w:numId w:val="8"/>
      </w:numPr>
    </w:pPr>
  </w:style>
  <w:style w:type="numbering" w:customStyle="1" w:styleId="WW8Num8">
    <w:name w:val="WW8Num8"/>
    <w:rsid w:val="00066809"/>
    <w:pPr>
      <w:numPr>
        <w:numId w:val="9"/>
      </w:numPr>
    </w:pPr>
  </w:style>
  <w:style w:type="numbering" w:customStyle="1" w:styleId="WW8Num9">
    <w:name w:val="WW8Num9"/>
    <w:rsid w:val="00066809"/>
    <w:pPr>
      <w:numPr>
        <w:numId w:val="10"/>
      </w:numPr>
    </w:pPr>
  </w:style>
  <w:style w:type="numbering" w:customStyle="1" w:styleId="WW8Num10">
    <w:name w:val="WW8Num10"/>
    <w:rsid w:val="00066809"/>
    <w:pPr>
      <w:numPr>
        <w:numId w:val="11"/>
      </w:numPr>
    </w:pPr>
  </w:style>
  <w:style w:type="numbering" w:customStyle="1" w:styleId="WW8Num11">
    <w:name w:val="WW8Num11"/>
    <w:rsid w:val="00066809"/>
    <w:pPr>
      <w:numPr>
        <w:numId w:val="12"/>
      </w:numPr>
    </w:pPr>
  </w:style>
  <w:style w:type="numbering" w:customStyle="1" w:styleId="WW8Num12">
    <w:name w:val="WW8Num12"/>
    <w:rsid w:val="00066809"/>
    <w:pPr>
      <w:numPr>
        <w:numId w:val="13"/>
      </w:numPr>
    </w:pPr>
  </w:style>
  <w:style w:type="paragraph" w:styleId="a4">
    <w:name w:val="header"/>
    <w:basedOn w:val="a"/>
    <w:link w:val="a5"/>
    <w:uiPriority w:val="99"/>
    <w:unhideWhenUsed/>
    <w:rsid w:val="00B153DA"/>
    <w:pPr>
      <w:tabs>
        <w:tab w:val="center" w:pos="4252"/>
        <w:tab w:val="right" w:pos="8504"/>
      </w:tabs>
      <w:snapToGrid w:val="0"/>
    </w:pPr>
  </w:style>
  <w:style w:type="character" w:customStyle="1" w:styleId="a5">
    <w:name w:val="ヘッダー (文字)"/>
    <w:basedOn w:val="a0"/>
    <w:link w:val="a4"/>
    <w:uiPriority w:val="99"/>
    <w:rsid w:val="00B153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2872</Words>
  <Characters>16372</Characters>
  <Application>Microsoft Office Word</Application>
  <DocSecurity>0</DocSecurity>
  <Lines>136</Lines>
  <Paragraphs>38</Paragraphs>
  <ScaleCrop>false</ScaleCrop>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2022-01-04T06:35:00Z</dcterms:created>
  <dcterms:modified xsi:type="dcterms:W3CDTF">2022-01-04T06:35:00Z</dcterms:modified>
</cp:coreProperties>
</file>