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B1E" w:rsidRDefault="00FB670B">
      <w:pPr>
        <w:pStyle w:val="ja"/>
      </w:pPr>
      <w:r>
        <w:t>森林病害虫等防除法施行令</w:t>
      </w:r>
    </w:p>
    <w:p w:rsidR="00E60B1E" w:rsidRDefault="00FB670B">
      <w:pPr>
        <w:pStyle w:val="en"/>
      </w:pPr>
      <w:r>
        <w:t>Order for Enforcement of the Forest Pest Control Act</w:t>
      </w:r>
    </w:p>
    <w:p w:rsidR="00E60B1E" w:rsidRDefault="00E60B1E"/>
    <w:p w:rsidR="00E60B1E" w:rsidRDefault="00FB670B">
      <w:pPr>
        <w:pStyle w:val="jaf"/>
      </w:pPr>
      <w:r>
        <w:t>（平成九年三月二十八日政令第八十七号）</w:t>
      </w:r>
    </w:p>
    <w:p w:rsidR="00E60B1E" w:rsidRDefault="00FB670B">
      <w:pPr>
        <w:pStyle w:val="enf"/>
      </w:pPr>
      <w:r>
        <w:t>(Cabinet Order No. 87 of March 28, 1997)</w:t>
      </w:r>
    </w:p>
    <w:p w:rsidR="00E60B1E" w:rsidRDefault="00E60B1E"/>
    <w:p w:rsidR="00E60B1E" w:rsidRDefault="00FB670B">
      <w:pPr>
        <w:pStyle w:val="jae"/>
      </w:pPr>
      <w:r>
        <w:t>内閣は、森林病害虫等防除法（昭和二十五年法律第五十三号）第二条第一項第三号及び第四項並びに第九条の規定に基づき、森林病害虫等防除法施行令（昭和五十一年政令第百四十四号）の全部を改正するこの政令を制定する。</w:t>
      </w:r>
    </w:p>
    <w:p w:rsidR="00E60B1E" w:rsidRDefault="00FB670B">
      <w:pPr>
        <w:pStyle w:val="ene"/>
      </w:pPr>
      <w:r>
        <w:t>The Cabinet hereby enacts this Cabinet Order to fully revise the Order for the Forest Pest Control Act (Cabinet Order No. 144 of 1976) pursuant to the pr</w:t>
      </w:r>
      <w:r>
        <w:t>ovisions of Article 2, paragraph (1), item (iii) and paragraph (4), and Article 9 of the Forest Pest Control Act (Act No. 53 of 1950).</w:t>
      </w:r>
    </w:p>
    <w:p w:rsidR="00E60B1E" w:rsidRDefault="00E60B1E"/>
    <w:p w:rsidR="00E60B1E" w:rsidRDefault="00FB670B">
      <w:pPr>
        <w:pStyle w:val="jaa"/>
      </w:pPr>
      <w:r>
        <w:t>（松くい虫及び特定せん孔虫以外の森林病害虫等）</w:t>
      </w:r>
    </w:p>
    <w:p w:rsidR="00E60B1E" w:rsidRDefault="00FB670B">
      <w:pPr>
        <w:pStyle w:val="ena"/>
      </w:pPr>
      <w:r>
        <w:t>(Forest Pests Other than Weevils and Specified Borers)</w:t>
      </w:r>
    </w:p>
    <w:p w:rsidR="00E60B1E" w:rsidRDefault="00FB670B">
      <w:pPr>
        <w:pStyle w:val="jaf3"/>
      </w:pPr>
      <w:r>
        <w:t>第一条　森林病害虫等防除法（以下「法」という。）第二条第一項第三号の政令で定めるも</w:t>
      </w:r>
      <w:r>
        <w:t>のは、次に掲げるものとする。</w:t>
      </w:r>
    </w:p>
    <w:p w:rsidR="00E60B1E" w:rsidRDefault="00FB670B">
      <w:pPr>
        <w:pStyle w:val="enf3"/>
      </w:pPr>
      <w:r>
        <w:t>Article 1  Pests provided by the Cabinet Order in Article 2, paragraph (1), item (iii) of the Forest Pest Control Act (hereinafter referred to as the "Act") are as follows:</w:t>
      </w:r>
    </w:p>
    <w:p w:rsidR="00E60B1E" w:rsidRDefault="00FB670B">
      <w:pPr>
        <w:pStyle w:val="jaf6"/>
      </w:pPr>
      <w:r>
        <w:t>一　樹木に付着してその生育を害するせん孔虫類</w:t>
      </w:r>
    </w:p>
    <w:p w:rsidR="00E60B1E" w:rsidRDefault="00FB670B">
      <w:pPr>
        <w:pStyle w:val="enf6"/>
      </w:pPr>
      <w:r>
        <w:t>(i) borers that attach to and impede the grow</w:t>
      </w:r>
      <w:r>
        <w:t>th of trees;</w:t>
      </w:r>
    </w:p>
    <w:p w:rsidR="00E60B1E" w:rsidRDefault="00FB670B">
      <w:pPr>
        <w:pStyle w:val="jaf6"/>
      </w:pPr>
      <w:r>
        <w:t>二　松毛虫</w:t>
      </w:r>
    </w:p>
    <w:p w:rsidR="00E60B1E" w:rsidRDefault="00FB670B">
      <w:pPr>
        <w:pStyle w:val="enf6"/>
      </w:pPr>
      <w:r>
        <w:t>(ii) pine caterpillars;</w:t>
      </w:r>
    </w:p>
    <w:p w:rsidR="00E60B1E" w:rsidRDefault="00FB670B">
      <w:pPr>
        <w:pStyle w:val="jaf6"/>
      </w:pPr>
      <w:r>
        <w:t>三　まつばのたまばえ</w:t>
      </w:r>
    </w:p>
    <w:p w:rsidR="00E60B1E" w:rsidRDefault="00FB670B">
      <w:pPr>
        <w:pStyle w:val="enf6"/>
      </w:pPr>
      <w:r>
        <w:t>(iii) pine needle gall midges;</w:t>
      </w:r>
    </w:p>
    <w:p w:rsidR="00E60B1E" w:rsidRDefault="00FB670B">
      <w:pPr>
        <w:pStyle w:val="jaf6"/>
      </w:pPr>
      <w:r>
        <w:t>四　すぎたまば</w:t>
      </w:r>
    </w:p>
    <w:p w:rsidR="00E60B1E" w:rsidRDefault="00FB670B">
      <w:pPr>
        <w:pStyle w:val="enf6"/>
      </w:pPr>
      <w:r>
        <w:t>(iv) cryptomeria needle gall midges;</w:t>
      </w:r>
    </w:p>
    <w:p w:rsidR="00E60B1E" w:rsidRDefault="00FB670B">
      <w:pPr>
        <w:pStyle w:val="jaf6"/>
      </w:pPr>
      <w:r>
        <w:t>五　まいまいが</w:t>
      </w:r>
    </w:p>
    <w:p w:rsidR="00E60B1E" w:rsidRDefault="00FB670B">
      <w:pPr>
        <w:pStyle w:val="enf6"/>
      </w:pPr>
      <w:r>
        <w:t>(v) gypsy moths;</w:t>
      </w:r>
    </w:p>
    <w:p w:rsidR="00E60B1E" w:rsidRDefault="00FB670B">
      <w:pPr>
        <w:pStyle w:val="jaf6"/>
      </w:pPr>
      <w:r>
        <w:t>六　すぎはだに</w:t>
      </w:r>
    </w:p>
    <w:p w:rsidR="00E60B1E" w:rsidRDefault="00FB670B">
      <w:pPr>
        <w:pStyle w:val="enf6"/>
      </w:pPr>
      <w:r>
        <w:t>(vi) cedar spider mites;</w:t>
      </w:r>
    </w:p>
    <w:p w:rsidR="00E60B1E" w:rsidRDefault="00FB670B">
      <w:pPr>
        <w:pStyle w:val="jaf6"/>
      </w:pPr>
      <w:r>
        <w:t>七　くりたまばち</w:t>
      </w:r>
    </w:p>
    <w:p w:rsidR="00E60B1E" w:rsidRDefault="00FB670B">
      <w:pPr>
        <w:pStyle w:val="enf6"/>
      </w:pPr>
      <w:r>
        <w:t>(vii) chestnut gall wasps;</w:t>
      </w:r>
    </w:p>
    <w:p w:rsidR="00E60B1E" w:rsidRDefault="00FB670B">
      <w:pPr>
        <w:pStyle w:val="jaf6"/>
      </w:pPr>
      <w:r>
        <w:t>八　のねずみ</w:t>
      </w:r>
    </w:p>
    <w:p w:rsidR="00E60B1E" w:rsidRDefault="00FB670B">
      <w:pPr>
        <w:pStyle w:val="enf6"/>
      </w:pPr>
      <w:r>
        <w:t>(viii) field mice; and</w:t>
      </w:r>
    </w:p>
    <w:p w:rsidR="00E60B1E" w:rsidRDefault="00FB670B">
      <w:pPr>
        <w:pStyle w:val="jaf6"/>
      </w:pPr>
      <w:r>
        <w:t>九　からまつ先枯病菌</w:t>
      </w:r>
    </w:p>
    <w:p w:rsidR="00E60B1E" w:rsidRDefault="00FB670B">
      <w:pPr>
        <w:pStyle w:val="enf6"/>
      </w:pPr>
      <w:r>
        <w:t>(ix) guignardia laricina.</w:t>
      </w:r>
    </w:p>
    <w:p w:rsidR="00E60B1E" w:rsidRDefault="00E60B1E"/>
    <w:p w:rsidR="00E60B1E" w:rsidRDefault="00FB670B">
      <w:pPr>
        <w:pStyle w:val="jaa"/>
      </w:pPr>
      <w:r>
        <w:t>（高度公益機能森林）</w:t>
      </w:r>
    </w:p>
    <w:p w:rsidR="00E60B1E" w:rsidRDefault="00FB670B">
      <w:pPr>
        <w:pStyle w:val="ena"/>
      </w:pPr>
      <w:r>
        <w:t>(Forests with Highly Publically Beneficial Functionality)</w:t>
      </w:r>
    </w:p>
    <w:p w:rsidR="00E60B1E" w:rsidRDefault="00FB670B">
      <w:pPr>
        <w:pStyle w:val="jaf3"/>
      </w:pPr>
      <w:r>
        <w:t>第二条　法第二条第四項の政令で定める特定森林は、次に掲げる要件に該当する特定森林（森林法（昭和二十六年法律第二百四十九号）第二十五条第一項若しくは第二項又は第二十五条の二第一項若しくは第二項の規定により保安林として指定された特定森林を除く。）とする。</w:t>
      </w:r>
    </w:p>
    <w:p w:rsidR="00E60B1E" w:rsidRDefault="00FB670B">
      <w:pPr>
        <w:pStyle w:val="enf3"/>
      </w:pPr>
      <w:r>
        <w:t xml:space="preserve">Article 2  A specified </w:t>
      </w:r>
      <w:r>
        <w:t xml:space="preserve">forest provided by the Cabinet Order in Article 2, paragraph (4) of the Act is a specified forest that falls under the requirements set forth below (excluding specified forests designated as protected forests pursuant to the provisions of paragraph (1) or </w:t>
      </w:r>
      <w:r>
        <w:t>(2) of Article 25 or paragraph (1) or (2) of Article 25-2 of the Forest Act (Act No. 249 of 1951)):</w:t>
      </w:r>
    </w:p>
    <w:p w:rsidR="00E60B1E" w:rsidRDefault="00FB670B">
      <w:pPr>
        <w:pStyle w:val="jaf6"/>
      </w:pPr>
      <w:r>
        <w:t>一　土地に関する災害の防止、水源のかん養又は環境の保全について高い機能を有すると認められること。</w:t>
      </w:r>
    </w:p>
    <w:p w:rsidR="00E60B1E" w:rsidRDefault="00FB670B">
      <w:pPr>
        <w:pStyle w:val="enf6"/>
      </w:pPr>
      <w:r>
        <w:t>(i) The forest is found to have high functionality for land disaster prevention, water resource recharge, o</w:t>
      </w:r>
      <w:r>
        <w:t>r environmental conservation; and</w:t>
      </w:r>
    </w:p>
    <w:p w:rsidR="00E60B1E" w:rsidRDefault="00FB670B">
      <w:pPr>
        <w:pStyle w:val="jaf6"/>
      </w:pPr>
      <w:r>
        <w:t>二　特定樹種以外の樹種からなる森林へ転換する場合には、土壌の性質、樹木の生育状況、所在地域の景観等からみて、当該特定森林の現に有する前号に掲げる機能を確保することが困難となると認められること。</w:t>
      </w:r>
    </w:p>
    <w:p w:rsidR="00E60B1E" w:rsidRDefault="00FB670B">
      <w:pPr>
        <w:pStyle w:val="enf6"/>
      </w:pPr>
      <w:r>
        <w:t>(ii) In case of conversion to a forest consisting of tree species other than the specified tree species, the said specified f</w:t>
      </w:r>
      <w:r>
        <w:t>orest is found to be difficult to secure the functionality that are set forth in the preceding item, in terms of the type of soil, growing conditions of trees, landscape of location, and so forth.</w:t>
      </w:r>
    </w:p>
    <w:p w:rsidR="00E60B1E" w:rsidRDefault="00E60B1E"/>
    <w:p w:rsidR="00E60B1E" w:rsidRDefault="00FB670B">
      <w:pPr>
        <w:pStyle w:val="jaa"/>
      </w:pPr>
      <w:r>
        <w:t>（国庫補助）</w:t>
      </w:r>
    </w:p>
    <w:p w:rsidR="00E60B1E" w:rsidRDefault="00FB670B">
      <w:pPr>
        <w:pStyle w:val="ena"/>
      </w:pPr>
      <w:r>
        <w:t>(Subsidies from the National Treasury)</w:t>
      </w:r>
    </w:p>
    <w:p w:rsidR="00E60B1E" w:rsidRDefault="00FB670B">
      <w:pPr>
        <w:pStyle w:val="jaf3"/>
      </w:pPr>
      <w:r>
        <w:t>第三条　法第九条の規定に</w:t>
      </w:r>
      <w:r>
        <w:t>よる国の補助は、各年度において、法第五条第四項において準用する法第四条第一項の規定による森林病害虫等の駆除又はそのまん延の防止のため必要な措置（法第三条第一項第三号に掲げる措置に係るものを除く。）に要する費用、法第七条第二項の規定による森林害虫防除員の行う処分（法第三条第一項第三号に掲げる措置に係るものを除く。以下この条において同じ。）に要する費用及び法第五条第一項から第三項までの規定による命令（法第三条第一項第三号及び第五号に掲げる措置に係るものを除く。）、法第七条第一項の規定による指示（法第三条第一項第</w:t>
      </w:r>
      <w:r>
        <w:t>三号に掲げる措置に係るものを除く。）又は法第七条第二項の規定による森林害虫防除員の行う処分に係る法第八条第一項の規定による損失補償に要する費用につき、次に掲げる額の合計額について行う。</w:t>
      </w:r>
    </w:p>
    <w:p w:rsidR="00E60B1E" w:rsidRDefault="00FB670B">
      <w:pPr>
        <w:pStyle w:val="enf3"/>
      </w:pPr>
      <w:r>
        <w:t>Article 3  Government subsidies prescribed in Article 9 of the Act are provided, for each fiscal year, with regard to the total of the following amounts for the co</w:t>
      </w:r>
      <w:r>
        <w:t xml:space="preserve">sts required for measures concerning extermination or prevention of the spread of Forest Pests, etc. under the provisions of Article 4, paragraph (1) as </w:t>
      </w:r>
      <w:r>
        <w:lastRenderedPageBreak/>
        <w:t>applied mutatis mutandis pursuant to Article 5, paragraph (4) of the Act (excluding those pertaining to</w:t>
      </w:r>
      <w:r>
        <w:t xml:space="preserve"> measures set forth in Article 3, paragraph (1), item (iii) of the Act), the costs required for dispositions made by forest pest control officials under the provisions of Article 7, paragraph (2) of the Act (excluding those pertaining to measures set forth</w:t>
      </w:r>
      <w:r>
        <w:t xml:space="preserve"> in Article 3, paragraph (1), item (iii) of the Act; hereinafter the same applies in this Article) and the costs required for compensation for loss under the provisions of Article 8, paragraph (1) pertaining to orders under the provisions of paragraphs (1)</w:t>
      </w:r>
      <w:r>
        <w:t xml:space="preserve"> to (3) of Article 5 of the Act (excluding those pertaining to measures set forth in items (iii) and (v) of Article 3, paragraph (1) of the Act), the instructions under the provisions of Article 7, paragraph (1) of the Act (excluding those pertaining to me</w:t>
      </w:r>
      <w:r>
        <w:t>asures set forth in Article 3, paragraph (1), item (iii) of the Act) or dispositions made by forest pest control officials under the provisions of Article 7, paragraph (2) of the Act:</w:t>
      </w:r>
    </w:p>
    <w:p w:rsidR="00E60B1E" w:rsidRDefault="00FB670B">
      <w:pPr>
        <w:pStyle w:val="jaf6"/>
      </w:pPr>
      <w:r>
        <w:t>一　農林水産大臣が森林病害虫等の種類、防除措置の内容等を考慮して定める基準により算定した薬剤購入費、薬剤散布費、樹木の焼却費、補償費その他の経費</w:t>
      </w:r>
      <w:r>
        <w:t>の額（法第十条の規定による分担金があるときは、当該経費の額から分担金の額を控除した額）の二分の一（法第三条第一項第四号に掲げる措置のうち当該森林病害虫等がのねずみであるものに係るものについては、北海道以外の地域にあっては三分の一、北海道にあっては八分の三）に相当する額</w:t>
      </w:r>
    </w:p>
    <w:p w:rsidR="00E60B1E" w:rsidRDefault="00FB670B">
      <w:pPr>
        <w:pStyle w:val="enf6"/>
      </w:pPr>
      <w:r>
        <w:t>(i) the amount equivalent to one-half of the amount incurred in purchase of pesticides, spraying of pesticides, incinerat</w:t>
      </w:r>
      <w:r>
        <w:t>ion of trees, compensation and other expenses that are calculated in accordance with the standards specified by the Minister of Agriculture, Forestry and Fisheries by taking into account the type of forest pests, etc., details of pest control measures, and</w:t>
      </w:r>
      <w:r>
        <w:t xml:space="preserve"> so forth (if a contribution under the provisions of Article 10 of the Act is available, the amount reached by deducting the amount of contribution from the amount of said expenses) (for measures set forth in Article 3, paragraph (1), item (iv) of the Act </w:t>
      </w:r>
      <w:r>
        <w:t>if said forest pests, etc. are field mice, one-third for areas other than Hokkaido and three-eighths for Hokkaido); and</w:t>
      </w:r>
    </w:p>
    <w:p w:rsidR="00E60B1E" w:rsidRDefault="00FB670B">
      <w:pPr>
        <w:pStyle w:val="jaf6"/>
      </w:pPr>
      <w:r>
        <w:t>二　農林水産大臣が定める基準により算定した事務費の額の二分の一に相当する額</w:t>
      </w:r>
    </w:p>
    <w:p w:rsidR="00E60B1E" w:rsidRDefault="00FB670B">
      <w:pPr>
        <w:pStyle w:val="enf6"/>
      </w:pPr>
      <w:r>
        <w:t>(ii) the amount equivalent to one-half of the amount of office costs that are calculated in accord</w:t>
      </w:r>
      <w:r>
        <w:t>ance with the standards specified by the Minister of Agriculture, Forestry and Fisheries.</w:t>
      </w:r>
    </w:p>
    <w:p w:rsidR="00E60B1E" w:rsidRDefault="00E60B1E"/>
    <w:p w:rsidR="00E60B1E" w:rsidRDefault="00FB670B">
      <w:pPr>
        <w:pStyle w:val="ja2"/>
      </w:pPr>
      <w:r>
        <w:t>附　則　〔抄〕</w:t>
      </w:r>
    </w:p>
    <w:p w:rsidR="00E60B1E" w:rsidRDefault="00FB670B">
      <w:pPr>
        <w:pStyle w:val="en2"/>
      </w:pPr>
      <w:r>
        <w:t>Supplementary Provisions  [Extract]</w:t>
      </w:r>
    </w:p>
    <w:p w:rsidR="00E60B1E" w:rsidRDefault="00E60B1E"/>
    <w:p w:rsidR="00E60B1E" w:rsidRDefault="00FB670B">
      <w:pPr>
        <w:pStyle w:val="jaa"/>
      </w:pPr>
      <w:r>
        <w:t>（施行期日）</w:t>
      </w:r>
    </w:p>
    <w:p w:rsidR="00E60B1E" w:rsidRDefault="00FB670B">
      <w:pPr>
        <w:pStyle w:val="ena"/>
      </w:pPr>
      <w:r>
        <w:t>(Effective Date)</w:t>
      </w:r>
    </w:p>
    <w:p w:rsidR="00E60B1E" w:rsidRDefault="00FB670B">
      <w:pPr>
        <w:pStyle w:val="jaf3"/>
      </w:pPr>
      <w:r>
        <w:t>第一条　この政令は、平成九年四月一日から施行する。</w:t>
      </w:r>
    </w:p>
    <w:p w:rsidR="00E60B1E" w:rsidRDefault="00FB670B">
      <w:pPr>
        <w:pStyle w:val="enf3"/>
      </w:pPr>
      <w:r>
        <w:t xml:space="preserve">Article 1  This Cabinet Order comes into effect as from April 1, </w:t>
      </w:r>
      <w:r>
        <w:t>1997.</w:t>
      </w:r>
    </w:p>
    <w:p w:rsidR="00E60B1E" w:rsidRDefault="00E60B1E"/>
    <w:p w:rsidR="00E60B1E" w:rsidRDefault="00FB670B">
      <w:pPr>
        <w:pStyle w:val="jaa"/>
      </w:pPr>
      <w:r>
        <w:t>（森林病害虫等を定める政令等の廃止）</w:t>
      </w:r>
    </w:p>
    <w:p w:rsidR="00E60B1E" w:rsidRDefault="00FB670B">
      <w:pPr>
        <w:pStyle w:val="ena"/>
      </w:pPr>
      <w:r>
        <w:t>(Repeal of Cabinet Order on Specifying Forest Pests)</w:t>
      </w:r>
    </w:p>
    <w:p w:rsidR="00E60B1E" w:rsidRDefault="00FB670B">
      <w:pPr>
        <w:pStyle w:val="jaf3"/>
      </w:pPr>
      <w:r>
        <w:t>第二条　次に掲げる政令は、廃止する。</w:t>
      </w:r>
    </w:p>
    <w:p w:rsidR="00E60B1E" w:rsidRDefault="00FB670B">
      <w:pPr>
        <w:pStyle w:val="enf3"/>
      </w:pPr>
      <w:r>
        <w:t>Article 2  The following Cabinet Orders are repealed:</w:t>
      </w:r>
    </w:p>
    <w:p w:rsidR="00E60B1E" w:rsidRDefault="00FB670B">
      <w:pPr>
        <w:pStyle w:val="jaf6"/>
      </w:pPr>
      <w:r>
        <w:t>一　森林病害虫等を定める政令（昭和二十七年政令第六十七号）</w:t>
      </w:r>
    </w:p>
    <w:p w:rsidR="00E60B1E" w:rsidRDefault="00FB670B">
      <w:pPr>
        <w:pStyle w:val="enf6"/>
      </w:pPr>
      <w:r>
        <w:t xml:space="preserve">(i) Cabinet Order on Specifying Forest Pests (Cabinet Order No. 67 of </w:t>
      </w:r>
      <w:r>
        <w:t>1952); and</w:t>
      </w:r>
    </w:p>
    <w:p w:rsidR="00E60B1E" w:rsidRDefault="00FB670B">
      <w:pPr>
        <w:pStyle w:val="jaf6"/>
      </w:pPr>
      <w:r>
        <w:t>二　松くい虫被害対策特別措置法施行令（昭和五十二年政令第百号）</w:t>
      </w:r>
    </w:p>
    <w:p w:rsidR="00E60B1E" w:rsidRDefault="00FB670B">
      <w:pPr>
        <w:pStyle w:val="enf6"/>
      </w:pPr>
      <w:r>
        <w:t>(ii) Order for Enforcement of the Act on Special Measures against Damage Caused by Weevils (Cabinet Order No. 100 of 1977).</w:t>
      </w:r>
    </w:p>
    <w:p w:rsidR="00E60B1E" w:rsidRDefault="00E60B1E"/>
    <w:p w:rsidR="00E60B1E" w:rsidRDefault="00FB670B">
      <w:pPr>
        <w:pStyle w:val="jaa"/>
      </w:pPr>
      <w:r>
        <w:t>（経過措置）</w:t>
      </w:r>
    </w:p>
    <w:p w:rsidR="00E60B1E" w:rsidRDefault="00FB670B">
      <w:pPr>
        <w:pStyle w:val="ena"/>
      </w:pPr>
      <w:r>
        <w:t>(Transitional Measure)</w:t>
      </w:r>
    </w:p>
    <w:p w:rsidR="00E60B1E" w:rsidRDefault="00FB670B">
      <w:pPr>
        <w:pStyle w:val="jaf3"/>
      </w:pPr>
      <w:r>
        <w:t>第三条　この政令の施行前に森林病害虫等防除法第六条第一項の規定により森林害虫防除員が行った立入検査に要する費用につい</w:t>
      </w:r>
      <w:r>
        <w:t>ての国の補助については、なお従前の例による。</w:t>
      </w:r>
    </w:p>
    <w:p w:rsidR="00E60B1E" w:rsidRDefault="00FB670B">
      <w:pPr>
        <w:pStyle w:val="enf3"/>
      </w:pPr>
      <w:r>
        <w:t>Article 3  With regard to government subsidies for the costs required for on-site inspections conducted by forest pest control officials pursuant to the provisions of Article 6, paragraph (1) of the Forest Pest Control Act prior to t</w:t>
      </w:r>
      <w:r>
        <w:t>he enforcement of this Cabinet Order, the provisions then in force remain applicable.</w:t>
      </w:r>
    </w:p>
    <w:p w:rsidR="00E60B1E" w:rsidRDefault="00E60B1E"/>
    <w:p w:rsidR="00E60B1E" w:rsidRDefault="00FB670B">
      <w:pPr>
        <w:pStyle w:val="ja2"/>
      </w:pPr>
      <w:r>
        <w:t>附　則　〔平成十一年十二月二十二日政令第四百十六号〕〔抄〕</w:t>
      </w:r>
    </w:p>
    <w:p w:rsidR="00E60B1E" w:rsidRDefault="00FB670B">
      <w:pPr>
        <w:pStyle w:val="en2"/>
      </w:pPr>
      <w:r>
        <w:t>Supplementary Provisions  [Cabinet Order No. 416 of December 22, 1999 Extract]  [Extract]</w:t>
      </w:r>
    </w:p>
    <w:p w:rsidR="00E60B1E" w:rsidRDefault="00E60B1E"/>
    <w:p w:rsidR="00E60B1E" w:rsidRDefault="00FB670B">
      <w:pPr>
        <w:pStyle w:val="jaa"/>
      </w:pPr>
      <w:r>
        <w:t>（施行期日）</w:t>
      </w:r>
    </w:p>
    <w:p w:rsidR="00E60B1E" w:rsidRDefault="00FB670B">
      <w:pPr>
        <w:pStyle w:val="ena"/>
      </w:pPr>
      <w:r>
        <w:t>(Effective Date)</w:t>
      </w:r>
    </w:p>
    <w:p w:rsidR="00E60B1E" w:rsidRDefault="00FB670B">
      <w:pPr>
        <w:pStyle w:val="jaf3"/>
      </w:pPr>
      <w:r>
        <w:t>第一条　この政令は、平成十二年四月一日から施行す</w:t>
      </w:r>
      <w:r>
        <w:t>る。</w:t>
      </w:r>
    </w:p>
    <w:p w:rsidR="00E60B1E" w:rsidRDefault="00FB670B">
      <w:pPr>
        <w:pStyle w:val="enf3"/>
      </w:pPr>
      <w:r>
        <w:t>Article 1  This Cabinet Order comes into effect as from April 1, 2000.</w:t>
      </w:r>
    </w:p>
    <w:p w:rsidR="00E60B1E" w:rsidRDefault="00E60B1E"/>
    <w:p w:rsidR="00E60B1E" w:rsidRDefault="00FB670B">
      <w:pPr>
        <w:pStyle w:val="jaa"/>
      </w:pPr>
      <w:r>
        <w:t>（罰則に関する経過措置）</w:t>
      </w:r>
    </w:p>
    <w:p w:rsidR="00E60B1E" w:rsidRDefault="00FB670B">
      <w:pPr>
        <w:pStyle w:val="ena"/>
      </w:pPr>
      <w:r>
        <w:t>(Transitional Measures Concerning Penal Provisions)</w:t>
      </w:r>
    </w:p>
    <w:p w:rsidR="00E60B1E" w:rsidRDefault="00FB670B">
      <w:pPr>
        <w:pStyle w:val="jaf3"/>
      </w:pPr>
      <w:r>
        <w:t>第二十二条　この政令の施行前にした行為に対する罰則の適用については、なお従前の例による。</w:t>
      </w:r>
    </w:p>
    <w:p w:rsidR="00E60B1E" w:rsidRDefault="00FB670B">
      <w:pPr>
        <w:pStyle w:val="enf3"/>
      </w:pPr>
      <w:r>
        <w:t xml:space="preserve">Article 22  With regard to the application of penal </w:t>
      </w:r>
      <w:r>
        <w:t>provisions to acts committed prior to the enforcement of this Cabinet Order, the provisions then in force remain applicable.</w:t>
      </w:r>
    </w:p>
    <w:sectPr w:rsidR="00E60B1E" w:rsidSect="00E60B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B1E" w:rsidRDefault="00E60B1E" w:rsidP="00E60B1E">
      <w:r>
        <w:separator/>
      </w:r>
    </w:p>
  </w:endnote>
  <w:endnote w:type="continuationSeparator" w:id="0">
    <w:p w:rsidR="00E60B1E" w:rsidRDefault="00E60B1E" w:rsidP="00E6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B1E" w:rsidRDefault="00E60B1E">
    <w:pPr>
      <w:pStyle w:val="a3"/>
    </w:pPr>
    <w:r>
      <w:fldChar w:fldCharType="begin"/>
    </w:r>
    <w:r>
      <w:instrText xml:space="preserve"> PAGE  \* MERGEFORMAT </w:instrText>
    </w:r>
    <w:r>
      <w:fldChar w:fldCharType="separate"/>
    </w:r>
    <w:r w:rsidR="00FB67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B1E" w:rsidRDefault="00E60B1E" w:rsidP="00E60B1E">
      <w:r>
        <w:separator/>
      </w:r>
    </w:p>
  </w:footnote>
  <w:footnote w:type="continuationSeparator" w:id="0">
    <w:p w:rsidR="00E60B1E" w:rsidRDefault="00E60B1E" w:rsidP="00E6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3009"/>
    <w:multiLevelType w:val="multilevel"/>
    <w:tmpl w:val="02387D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501D6C"/>
    <w:multiLevelType w:val="multilevel"/>
    <w:tmpl w:val="E8CC83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A3CB8"/>
    <w:multiLevelType w:val="multilevel"/>
    <w:tmpl w:val="442A5D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D430C"/>
    <w:multiLevelType w:val="multilevel"/>
    <w:tmpl w:val="466CF1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2516BF"/>
    <w:multiLevelType w:val="multilevel"/>
    <w:tmpl w:val="8D16F3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5F448D"/>
    <w:multiLevelType w:val="multilevel"/>
    <w:tmpl w:val="0F0802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50110"/>
    <w:multiLevelType w:val="multilevel"/>
    <w:tmpl w:val="FDAEA1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A6DF0"/>
    <w:multiLevelType w:val="multilevel"/>
    <w:tmpl w:val="A8400E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A2BD6"/>
    <w:multiLevelType w:val="multilevel"/>
    <w:tmpl w:val="C82CBC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93754"/>
    <w:multiLevelType w:val="multilevel"/>
    <w:tmpl w:val="BB1CBF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A0179"/>
    <w:multiLevelType w:val="multilevel"/>
    <w:tmpl w:val="501EF6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E1BBB"/>
    <w:multiLevelType w:val="multilevel"/>
    <w:tmpl w:val="33328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457F3"/>
    <w:multiLevelType w:val="multilevel"/>
    <w:tmpl w:val="A8E618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2"/>
  </w:num>
  <w:num w:numId="4">
    <w:abstractNumId w:val="12"/>
  </w:num>
  <w:num w:numId="5">
    <w:abstractNumId w:val="1"/>
  </w:num>
  <w:num w:numId="6">
    <w:abstractNumId w:val="10"/>
  </w:num>
  <w:num w:numId="7">
    <w:abstractNumId w:val="7"/>
  </w:num>
  <w:num w:numId="8">
    <w:abstractNumId w:val="6"/>
  </w:num>
  <w:num w:numId="9">
    <w:abstractNumId w:val="8"/>
  </w:num>
  <w:num w:numId="10">
    <w:abstractNumId w:val="11"/>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0B1E"/>
    <w:rsid w:val="00E60B1E"/>
    <w:rsid w:val="00FB67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B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0B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0B1E"/>
    <w:rPr>
      <w:rFonts w:ascii="Century" w:eastAsia="Century" w:hAnsi="Century"/>
    </w:rPr>
  </w:style>
  <w:style w:type="paragraph" w:customStyle="1" w:styleId="ja0">
    <w:name w:val="款（ja）"/>
    <w:basedOn w:val="a"/>
    <w:rsid w:val="00E60B1E"/>
    <w:pPr>
      <w:widowControl w:val="0"/>
      <w:ind w:left="1321" w:hanging="221"/>
    </w:pPr>
    <w:rPr>
      <w:rFonts w:ascii="ＭＳ 明朝" w:eastAsia="ＭＳ 明朝" w:hAnsi="ＭＳ 明朝" w:cs="ＭＳ 明朝"/>
      <w:b/>
    </w:rPr>
  </w:style>
  <w:style w:type="paragraph" w:customStyle="1" w:styleId="en0">
    <w:name w:val="款（en）"/>
    <w:basedOn w:val="ja0"/>
    <w:rsid w:val="00E60B1E"/>
    <w:rPr>
      <w:rFonts w:ascii="Century" w:eastAsia="Century" w:hAnsi="Century" w:cs="Century"/>
    </w:rPr>
  </w:style>
  <w:style w:type="paragraph" w:customStyle="1" w:styleId="ja1">
    <w:name w:val="前文（ja）"/>
    <w:basedOn w:val="a"/>
    <w:rsid w:val="00E60B1E"/>
    <w:pPr>
      <w:widowControl w:val="0"/>
      <w:ind w:firstLine="219"/>
    </w:pPr>
    <w:rPr>
      <w:rFonts w:ascii="ＭＳ 明朝" w:eastAsia="ＭＳ 明朝" w:hAnsi="ＭＳ 明朝" w:cs="ＭＳ 明朝"/>
    </w:rPr>
  </w:style>
  <w:style w:type="paragraph" w:customStyle="1" w:styleId="en1">
    <w:name w:val="前文（en）"/>
    <w:basedOn w:val="ja1"/>
    <w:rsid w:val="00E60B1E"/>
    <w:rPr>
      <w:rFonts w:ascii="Century" w:eastAsia="Century" w:hAnsi="Century" w:cs="Century"/>
    </w:rPr>
  </w:style>
  <w:style w:type="paragraph" w:customStyle="1" w:styleId="ja2">
    <w:name w:val="附則（ja）"/>
    <w:basedOn w:val="a"/>
    <w:rsid w:val="00E60B1E"/>
    <w:pPr>
      <w:widowControl w:val="0"/>
      <w:ind w:left="881" w:hanging="221"/>
    </w:pPr>
    <w:rPr>
      <w:rFonts w:ascii="ＭＳ 明朝" w:eastAsia="ＭＳ 明朝" w:hAnsi="ＭＳ 明朝" w:cs="ＭＳ 明朝"/>
      <w:b/>
    </w:rPr>
  </w:style>
  <w:style w:type="paragraph" w:customStyle="1" w:styleId="en2">
    <w:name w:val="附則（en）"/>
    <w:basedOn w:val="ja2"/>
    <w:rsid w:val="00E60B1E"/>
    <w:rPr>
      <w:rFonts w:ascii="Century" w:hAnsi="Century" w:cs="Century"/>
    </w:rPr>
  </w:style>
  <w:style w:type="paragraph" w:customStyle="1" w:styleId="ja3">
    <w:name w:val="章（ja）"/>
    <w:basedOn w:val="a"/>
    <w:rsid w:val="00E60B1E"/>
    <w:pPr>
      <w:widowControl w:val="0"/>
      <w:ind w:left="881" w:hanging="221"/>
    </w:pPr>
    <w:rPr>
      <w:rFonts w:ascii="ＭＳ 明朝" w:eastAsia="ＭＳ 明朝" w:hAnsi="ＭＳ 明朝" w:cs="ＭＳ 明朝"/>
      <w:b/>
    </w:rPr>
  </w:style>
  <w:style w:type="paragraph" w:customStyle="1" w:styleId="en3">
    <w:name w:val="章（en）"/>
    <w:basedOn w:val="ja3"/>
    <w:rsid w:val="00E60B1E"/>
    <w:rPr>
      <w:rFonts w:ascii="Century" w:eastAsia="Century" w:hAnsi="Century" w:cs="Century"/>
    </w:rPr>
  </w:style>
  <w:style w:type="paragraph" w:customStyle="1" w:styleId="ja4">
    <w:name w:val="目次編（ja）"/>
    <w:basedOn w:val="a"/>
    <w:rsid w:val="00E60B1E"/>
    <w:pPr>
      <w:widowControl w:val="0"/>
      <w:ind w:left="219" w:hanging="219"/>
    </w:pPr>
    <w:rPr>
      <w:rFonts w:ascii="ＭＳ 明朝" w:eastAsia="ＭＳ 明朝" w:hAnsi="ＭＳ 明朝"/>
    </w:rPr>
  </w:style>
  <w:style w:type="paragraph" w:customStyle="1" w:styleId="en4">
    <w:name w:val="目次編（en）"/>
    <w:basedOn w:val="ja4"/>
    <w:rsid w:val="00E60B1E"/>
    <w:rPr>
      <w:rFonts w:ascii="Century" w:eastAsia="Century" w:hAnsi="Century"/>
    </w:rPr>
  </w:style>
  <w:style w:type="paragraph" w:customStyle="1" w:styleId="ja5">
    <w:name w:val="目次章（ja）"/>
    <w:basedOn w:val="a"/>
    <w:rsid w:val="00E60B1E"/>
    <w:pPr>
      <w:widowControl w:val="0"/>
      <w:ind w:left="439" w:hanging="219"/>
    </w:pPr>
    <w:rPr>
      <w:rFonts w:ascii="ＭＳ 明朝" w:eastAsia="ＭＳ 明朝" w:hAnsi="ＭＳ 明朝"/>
    </w:rPr>
  </w:style>
  <w:style w:type="paragraph" w:customStyle="1" w:styleId="en5">
    <w:name w:val="目次章（en）"/>
    <w:basedOn w:val="ja5"/>
    <w:rsid w:val="00E60B1E"/>
    <w:rPr>
      <w:rFonts w:ascii="Century" w:eastAsia="Century" w:hAnsi="Century"/>
    </w:rPr>
  </w:style>
  <w:style w:type="paragraph" w:customStyle="1" w:styleId="ja6">
    <w:name w:val="目次節（ja）"/>
    <w:basedOn w:val="a"/>
    <w:rsid w:val="00E60B1E"/>
    <w:pPr>
      <w:widowControl w:val="0"/>
      <w:ind w:left="659" w:hanging="219"/>
    </w:pPr>
    <w:rPr>
      <w:rFonts w:ascii="ＭＳ 明朝" w:eastAsia="ＭＳ 明朝" w:hAnsi="ＭＳ 明朝"/>
    </w:rPr>
  </w:style>
  <w:style w:type="paragraph" w:customStyle="1" w:styleId="en6">
    <w:name w:val="目次節（en）"/>
    <w:basedOn w:val="ja6"/>
    <w:rsid w:val="00E60B1E"/>
    <w:rPr>
      <w:rFonts w:ascii="Century" w:eastAsia="Century" w:hAnsi="Century"/>
    </w:rPr>
  </w:style>
  <w:style w:type="paragraph" w:customStyle="1" w:styleId="ja7">
    <w:name w:val="目次款（ja）"/>
    <w:basedOn w:val="a"/>
    <w:rsid w:val="00E60B1E"/>
    <w:pPr>
      <w:widowControl w:val="0"/>
      <w:ind w:left="879" w:hanging="219"/>
    </w:pPr>
    <w:rPr>
      <w:rFonts w:ascii="ＭＳ 明朝" w:eastAsia="ＭＳ 明朝" w:hAnsi="ＭＳ 明朝" w:cs="Kochi Mincho"/>
    </w:rPr>
  </w:style>
  <w:style w:type="paragraph" w:customStyle="1" w:styleId="en7">
    <w:name w:val="目次款（en）"/>
    <w:basedOn w:val="ja7"/>
    <w:rsid w:val="00E60B1E"/>
    <w:rPr>
      <w:rFonts w:ascii="Century" w:eastAsia="Century" w:hAnsi="Century"/>
    </w:rPr>
  </w:style>
  <w:style w:type="paragraph" w:customStyle="1" w:styleId="ja8">
    <w:name w:val="別表名（ja）"/>
    <w:basedOn w:val="a"/>
    <w:rsid w:val="00E60B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0B1E"/>
    <w:rPr>
      <w:rFonts w:ascii="Century" w:eastAsia="Century" w:hAnsi="Century" w:cs="Century"/>
    </w:rPr>
  </w:style>
  <w:style w:type="paragraph" w:customStyle="1" w:styleId="ja9">
    <w:name w:val="目（ja）"/>
    <w:basedOn w:val="a"/>
    <w:rsid w:val="00E60B1E"/>
    <w:pPr>
      <w:widowControl w:val="0"/>
      <w:ind w:left="1541" w:hanging="221"/>
    </w:pPr>
    <w:rPr>
      <w:rFonts w:ascii="ＭＳ 明朝" w:eastAsia="ＭＳ 明朝" w:hAnsi="ＭＳ 明朝" w:cs="ＭＳ 明朝"/>
      <w:b/>
    </w:rPr>
  </w:style>
  <w:style w:type="paragraph" w:customStyle="1" w:styleId="en9">
    <w:name w:val="目（en）"/>
    <w:basedOn w:val="ja9"/>
    <w:rsid w:val="00E60B1E"/>
    <w:rPr>
      <w:rFonts w:ascii="Century" w:eastAsia="Century" w:hAnsi="Century" w:cs="Century"/>
    </w:rPr>
  </w:style>
  <w:style w:type="paragraph" w:customStyle="1" w:styleId="jaa">
    <w:name w:val="見出し（ja）"/>
    <w:basedOn w:val="a"/>
    <w:rsid w:val="00E60B1E"/>
    <w:pPr>
      <w:widowControl w:val="0"/>
      <w:ind w:left="439" w:hanging="219"/>
    </w:pPr>
    <w:rPr>
      <w:rFonts w:ascii="ＭＳ 明朝" w:eastAsia="ＭＳ 明朝" w:hAnsi="ＭＳ 明朝" w:cs="ＭＳ 明朝"/>
    </w:rPr>
  </w:style>
  <w:style w:type="paragraph" w:customStyle="1" w:styleId="ena">
    <w:name w:val="見出し（en）"/>
    <w:basedOn w:val="jaa"/>
    <w:rsid w:val="00E60B1E"/>
    <w:rPr>
      <w:rFonts w:ascii="Century" w:eastAsia="Century" w:hAnsi="Century" w:cs="Century"/>
    </w:rPr>
  </w:style>
  <w:style w:type="paragraph" w:styleId="a3">
    <w:name w:val="footer"/>
    <w:basedOn w:val="a"/>
    <w:rsid w:val="00E60B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0B1E"/>
    <w:pPr>
      <w:widowControl w:val="0"/>
      <w:ind w:left="1099" w:hanging="219"/>
    </w:pPr>
    <w:rPr>
      <w:rFonts w:ascii="ＭＳ 明朝" w:eastAsia="ＭＳ 明朝" w:hAnsi="ＭＳ 明朝" w:cs="Kochi Mincho"/>
    </w:rPr>
  </w:style>
  <w:style w:type="paragraph" w:customStyle="1" w:styleId="enb">
    <w:name w:val="目次目（en）"/>
    <w:basedOn w:val="jab"/>
    <w:rsid w:val="00E60B1E"/>
    <w:rPr>
      <w:rFonts w:ascii="Century" w:eastAsia="Century" w:hAnsi="Century"/>
    </w:rPr>
  </w:style>
  <w:style w:type="paragraph" w:customStyle="1" w:styleId="jac">
    <w:name w:val="目次附則（ja）"/>
    <w:basedOn w:val="a"/>
    <w:rsid w:val="00E60B1E"/>
    <w:pPr>
      <w:widowControl w:val="0"/>
      <w:ind w:left="439" w:hanging="219"/>
    </w:pPr>
    <w:rPr>
      <w:rFonts w:ascii="ＭＳ 明朝" w:eastAsia="ＭＳ 明朝" w:hAnsi="ＭＳ 明朝" w:cs="Kochi Mincho"/>
    </w:rPr>
  </w:style>
  <w:style w:type="paragraph" w:customStyle="1" w:styleId="enc">
    <w:name w:val="目次附則（en）"/>
    <w:basedOn w:val="jac"/>
    <w:rsid w:val="00E60B1E"/>
    <w:rPr>
      <w:rFonts w:ascii="Century" w:eastAsia="Century" w:hAnsi="Century" w:cs="Century"/>
    </w:rPr>
  </w:style>
  <w:style w:type="paragraph" w:customStyle="1" w:styleId="jad">
    <w:name w:val="目次前文（ja）"/>
    <w:basedOn w:val="jac"/>
    <w:rsid w:val="00E60B1E"/>
  </w:style>
  <w:style w:type="paragraph" w:customStyle="1" w:styleId="end">
    <w:name w:val="目次前文（en）"/>
    <w:basedOn w:val="enc"/>
    <w:rsid w:val="00E60B1E"/>
  </w:style>
  <w:style w:type="paragraph" w:customStyle="1" w:styleId="jae">
    <w:name w:val="制定文（ja）"/>
    <w:basedOn w:val="a"/>
    <w:rsid w:val="00E60B1E"/>
    <w:pPr>
      <w:widowControl w:val="0"/>
      <w:ind w:firstLine="219"/>
    </w:pPr>
    <w:rPr>
      <w:rFonts w:ascii="ＭＳ 明朝" w:eastAsia="ＭＳ 明朝" w:hAnsi="ＭＳ 明朝" w:cs="ＭＳ 明朝"/>
    </w:rPr>
  </w:style>
  <w:style w:type="paragraph" w:customStyle="1" w:styleId="ene">
    <w:name w:val="制定文（en）"/>
    <w:basedOn w:val="jae"/>
    <w:rsid w:val="00E60B1E"/>
    <w:rPr>
      <w:rFonts w:ascii="Century" w:eastAsia="Century" w:hAnsi="Century" w:cs="Century"/>
    </w:rPr>
  </w:style>
  <w:style w:type="paragraph" w:customStyle="1" w:styleId="jaf">
    <w:name w:val="法令番号（ja）"/>
    <w:basedOn w:val="a"/>
    <w:rsid w:val="00E60B1E"/>
    <w:pPr>
      <w:widowControl w:val="0"/>
      <w:jc w:val="right"/>
    </w:pPr>
    <w:rPr>
      <w:rFonts w:ascii="ＭＳ 明朝" w:eastAsia="ＭＳ 明朝" w:hAnsi="ＭＳ 明朝" w:cs="Kochi Mincho"/>
    </w:rPr>
  </w:style>
  <w:style w:type="paragraph" w:customStyle="1" w:styleId="enf">
    <w:name w:val="法令番号（en）"/>
    <w:basedOn w:val="jaf"/>
    <w:rsid w:val="00E60B1E"/>
    <w:rPr>
      <w:rFonts w:ascii="Century" w:eastAsia="Century" w:hAnsi="Century" w:cs="Century"/>
    </w:rPr>
  </w:style>
  <w:style w:type="paragraph" w:customStyle="1" w:styleId="jaf0">
    <w:name w:val="目次（ja）"/>
    <w:basedOn w:val="a"/>
    <w:rsid w:val="00E60B1E"/>
    <w:rPr>
      <w:rFonts w:ascii="ＭＳ 明朝" w:eastAsia="ＭＳ 明朝" w:hAnsi="ＭＳ 明朝"/>
    </w:rPr>
  </w:style>
  <w:style w:type="paragraph" w:customStyle="1" w:styleId="enf0">
    <w:name w:val="目次（en）"/>
    <w:basedOn w:val="jaf0"/>
    <w:rsid w:val="00E60B1E"/>
    <w:rPr>
      <w:rFonts w:ascii="Century" w:eastAsia="Century" w:hAnsi="Century"/>
    </w:rPr>
  </w:style>
  <w:style w:type="paragraph" w:customStyle="1" w:styleId="jaf1">
    <w:name w:val="編（ja）"/>
    <w:basedOn w:val="a"/>
    <w:rsid w:val="00E60B1E"/>
    <w:pPr>
      <w:widowControl w:val="0"/>
      <w:ind w:left="661" w:hanging="221"/>
    </w:pPr>
    <w:rPr>
      <w:rFonts w:ascii="ＭＳ 明朝" w:eastAsia="ＭＳ 明朝" w:hAnsi="ＭＳ 明朝" w:cs="ＭＳ 明朝"/>
      <w:b/>
    </w:rPr>
  </w:style>
  <w:style w:type="paragraph" w:customStyle="1" w:styleId="enf1">
    <w:name w:val="編（en）"/>
    <w:basedOn w:val="jaf1"/>
    <w:rsid w:val="00E60B1E"/>
    <w:rPr>
      <w:rFonts w:ascii="Century" w:eastAsia="Century" w:hAnsi="Century" w:cs="Century"/>
    </w:rPr>
  </w:style>
  <w:style w:type="paragraph" w:customStyle="1" w:styleId="jaf2">
    <w:name w:val="節（ja）"/>
    <w:basedOn w:val="a"/>
    <w:rsid w:val="00E60B1E"/>
    <w:pPr>
      <w:widowControl w:val="0"/>
      <w:ind w:left="1101" w:hanging="221"/>
    </w:pPr>
    <w:rPr>
      <w:rFonts w:ascii="ＭＳ 明朝" w:eastAsia="ＭＳ 明朝" w:hAnsi="ＭＳ 明朝" w:cs="ＭＳ 明朝"/>
      <w:b/>
    </w:rPr>
  </w:style>
  <w:style w:type="paragraph" w:customStyle="1" w:styleId="enf2">
    <w:name w:val="節（en）"/>
    <w:basedOn w:val="jaf2"/>
    <w:rsid w:val="00E60B1E"/>
    <w:rPr>
      <w:rFonts w:ascii="Century" w:eastAsia="Century" w:hAnsi="Century" w:cs="Century"/>
    </w:rPr>
  </w:style>
  <w:style w:type="paragraph" w:customStyle="1" w:styleId="jaf3">
    <w:name w:val="条（ja）"/>
    <w:basedOn w:val="a"/>
    <w:rsid w:val="00E60B1E"/>
    <w:pPr>
      <w:widowControl w:val="0"/>
      <w:ind w:left="219" w:hanging="219"/>
    </w:pPr>
    <w:rPr>
      <w:rFonts w:ascii="ＭＳ 明朝" w:eastAsia="ＭＳ 明朝" w:hAnsi="ＭＳ 明朝" w:cs="ＭＳ 明朝"/>
    </w:rPr>
  </w:style>
  <w:style w:type="paragraph" w:customStyle="1" w:styleId="enf3">
    <w:name w:val="条（en）"/>
    <w:basedOn w:val="jaf3"/>
    <w:rsid w:val="00E60B1E"/>
    <w:rPr>
      <w:rFonts w:ascii="Century" w:eastAsia="Century" w:hAnsi="Century" w:cs="Century"/>
    </w:rPr>
  </w:style>
  <w:style w:type="paragraph" w:customStyle="1" w:styleId="jaf4">
    <w:name w:val="項（ja）"/>
    <w:basedOn w:val="a"/>
    <w:rsid w:val="00E60B1E"/>
    <w:pPr>
      <w:widowControl w:val="0"/>
      <w:ind w:left="219" w:hanging="219"/>
    </w:pPr>
    <w:rPr>
      <w:rFonts w:ascii="ＭＳ 明朝" w:eastAsia="ＭＳ 明朝" w:hAnsi="ＭＳ 明朝" w:cs="ＭＳ 明朝"/>
    </w:rPr>
  </w:style>
  <w:style w:type="paragraph" w:customStyle="1" w:styleId="enf4">
    <w:name w:val="項（en）"/>
    <w:basedOn w:val="jaf4"/>
    <w:rsid w:val="00E60B1E"/>
    <w:rPr>
      <w:rFonts w:ascii="Century" w:eastAsia="Century" w:hAnsi="Century" w:cs="Century"/>
    </w:rPr>
  </w:style>
  <w:style w:type="paragraph" w:customStyle="1" w:styleId="jaf5">
    <w:name w:val="項　番号なし（ja）"/>
    <w:basedOn w:val="a"/>
    <w:rsid w:val="00E60B1E"/>
    <w:pPr>
      <w:widowControl w:val="0"/>
      <w:ind w:firstLine="221"/>
    </w:pPr>
    <w:rPr>
      <w:rFonts w:ascii="ＭＳ 明朝" w:eastAsia="ＭＳ 明朝" w:hAnsi="ＭＳ 明朝" w:cs="ＭＳ 明朝"/>
    </w:rPr>
  </w:style>
  <w:style w:type="paragraph" w:customStyle="1" w:styleId="enf5">
    <w:name w:val="項　番号なし（en）"/>
    <w:basedOn w:val="jaf5"/>
    <w:rsid w:val="00E60B1E"/>
    <w:rPr>
      <w:rFonts w:ascii="Century" w:eastAsia="Century" w:hAnsi="Century" w:cs="Century"/>
    </w:rPr>
  </w:style>
  <w:style w:type="paragraph" w:customStyle="1" w:styleId="jaf6">
    <w:name w:val="号（ja）"/>
    <w:basedOn w:val="a"/>
    <w:rsid w:val="00E60B1E"/>
    <w:pPr>
      <w:widowControl w:val="0"/>
      <w:ind w:left="439" w:hanging="219"/>
    </w:pPr>
    <w:rPr>
      <w:rFonts w:ascii="ＭＳ 明朝" w:eastAsia="ＭＳ 明朝" w:hAnsi="ＭＳ 明朝" w:cs="ＭＳ 明朝"/>
    </w:rPr>
  </w:style>
  <w:style w:type="paragraph" w:customStyle="1" w:styleId="enf6">
    <w:name w:val="号（en）"/>
    <w:basedOn w:val="jaf6"/>
    <w:rsid w:val="00E60B1E"/>
    <w:rPr>
      <w:rFonts w:ascii="Century" w:eastAsia="Century" w:hAnsi="Century" w:cs="Century"/>
    </w:rPr>
  </w:style>
  <w:style w:type="paragraph" w:customStyle="1" w:styleId="jaf7">
    <w:name w:val="号　番号なし（ja）"/>
    <w:basedOn w:val="a"/>
    <w:rsid w:val="00E60B1E"/>
    <w:pPr>
      <w:widowControl w:val="0"/>
      <w:ind w:left="221" w:firstLine="221"/>
    </w:pPr>
    <w:rPr>
      <w:rFonts w:ascii="ＭＳ 明朝" w:eastAsia="ＭＳ 明朝" w:hAnsi="ＭＳ 明朝" w:cs="ＭＳ 明朝"/>
    </w:rPr>
  </w:style>
  <w:style w:type="paragraph" w:customStyle="1" w:styleId="enf7">
    <w:name w:val="号　番号なし（en）"/>
    <w:basedOn w:val="jaf7"/>
    <w:rsid w:val="00E60B1E"/>
    <w:rPr>
      <w:rFonts w:ascii="Century" w:eastAsia="Century" w:hAnsi="Century" w:cs="Century"/>
    </w:rPr>
  </w:style>
  <w:style w:type="paragraph" w:customStyle="1" w:styleId="jaf8">
    <w:name w:val="備考号（ja）"/>
    <w:basedOn w:val="a"/>
    <w:rsid w:val="00E60B1E"/>
    <w:pPr>
      <w:widowControl w:val="0"/>
      <w:ind w:left="659" w:hanging="219"/>
    </w:pPr>
    <w:rPr>
      <w:rFonts w:ascii="ＭＳ 明朝" w:eastAsia="ＭＳ 明朝" w:hAnsi="ＭＳ 明朝" w:cs="ＭＳ 明朝"/>
    </w:rPr>
  </w:style>
  <w:style w:type="paragraph" w:customStyle="1" w:styleId="enf8">
    <w:name w:val="備考号（en）"/>
    <w:basedOn w:val="jaf8"/>
    <w:rsid w:val="00E60B1E"/>
    <w:rPr>
      <w:rFonts w:ascii="Century" w:eastAsia="Century" w:hAnsi="Century" w:cs="Century"/>
    </w:rPr>
  </w:style>
  <w:style w:type="paragraph" w:customStyle="1" w:styleId="jaf9">
    <w:name w:val="号細分（ja）"/>
    <w:basedOn w:val="a"/>
    <w:rsid w:val="00E60B1E"/>
    <w:pPr>
      <w:widowControl w:val="0"/>
      <w:ind w:left="659" w:hanging="219"/>
    </w:pPr>
    <w:rPr>
      <w:rFonts w:ascii="ＭＳ 明朝" w:eastAsia="ＭＳ 明朝" w:hAnsi="ＭＳ 明朝" w:cs="ＭＳ 明朝"/>
    </w:rPr>
  </w:style>
  <w:style w:type="paragraph" w:customStyle="1" w:styleId="enf9">
    <w:name w:val="号細分（en）"/>
    <w:basedOn w:val="jaf9"/>
    <w:rsid w:val="00E60B1E"/>
    <w:rPr>
      <w:rFonts w:ascii="Century" w:eastAsia="Century" w:hAnsi="Century" w:cs="Century"/>
    </w:rPr>
  </w:style>
  <w:style w:type="paragraph" w:customStyle="1" w:styleId="jafa">
    <w:name w:val="号細分　番号なし（ja）"/>
    <w:basedOn w:val="a"/>
    <w:rsid w:val="00E60B1E"/>
    <w:pPr>
      <w:widowControl w:val="0"/>
      <w:ind w:left="439"/>
    </w:pPr>
    <w:rPr>
      <w:rFonts w:ascii="ＭＳ 明朝" w:eastAsia="ＭＳ 明朝" w:hAnsi="ＭＳ 明朝" w:cs="ＭＳ 明朝"/>
    </w:rPr>
  </w:style>
  <w:style w:type="paragraph" w:customStyle="1" w:styleId="enfa">
    <w:name w:val="号細分　番号なし（en）"/>
    <w:basedOn w:val="jafa"/>
    <w:rsid w:val="00E60B1E"/>
    <w:rPr>
      <w:rFonts w:ascii="Century" w:eastAsia="Century" w:hAnsi="Century" w:cs="Century"/>
    </w:rPr>
  </w:style>
  <w:style w:type="paragraph" w:customStyle="1" w:styleId="jafb">
    <w:name w:val="備考号細分（ja）"/>
    <w:basedOn w:val="a"/>
    <w:rsid w:val="00E60B1E"/>
    <w:pPr>
      <w:widowControl w:val="0"/>
      <w:ind w:left="1099" w:hanging="439"/>
    </w:pPr>
    <w:rPr>
      <w:rFonts w:ascii="ＭＳ 明朝" w:eastAsia="ＭＳ 明朝" w:hAnsi="ＭＳ 明朝" w:cs="ＭＳ 明朝"/>
    </w:rPr>
  </w:style>
  <w:style w:type="paragraph" w:customStyle="1" w:styleId="enfb">
    <w:name w:val="備考号細分（en）"/>
    <w:basedOn w:val="jafb"/>
    <w:rsid w:val="00E60B1E"/>
    <w:rPr>
      <w:rFonts w:ascii="Century" w:eastAsia="Century" w:hAnsi="Century" w:cs="Century"/>
    </w:rPr>
  </w:style>
  <w:style w:type="paragraph" w:customStyle="1" w:styleId="jafc">
    <w:name w:val="号細細分（ja）"/>
    <w:basedOn w:val="a"/>
    <w:rsid w:val="00E60B1E"/>
    <w:pPr>
      <w:widowControl w:val="0"/>
      <w:ind w:left="1099" w:hanging="439"/>
    </w:pPr>
    <w:rPr>
      <w:rFonts w:ascii="ＭＳ 明朝" w:eastAsia="ＭＳ 明朝" w:hAnsi="ＭＳ 明朝" w:cs="ＭＳ 明朝"/>
    </w:rPr>
  </w:style>
  <w:style w:type="paragraph" w:customStyle="1" w:styleId="enfc">
    <w:name w:val="号細細分（en）"/>
    <w:basedOn w:val="jafc"/>
    <w:rsid w:val="00E60B1E"/>
    <w:rPr>
      <w:rFonts w:ascii="Century" w:eastAsia="Century" w:hAnsi="Century" w:cs="Century"/>
    </w:rPr>
  </w:style>
  <w:style w:type="paragraph" w:customStyle="1" w:styleId="jafd">
    <w:name w:val="号細細分　番号なし（ja）"/>
    <w:basedOn w:val="a"/>
    <w:rsid w:val="00E60B1E"/>
    <w:pPr>
      <w:widowControl w:val="0"/>
      <w:ind w:left="659"/>
    </w:pPr>
    <w:rPr>
      <w:rFonts w:ascii="ＭＳ 明朝" w:eastAsia="ＭＳ 明朝" w:hAnsi="ＭＳ 明朝" w:cs="ＭＳ 明朝"/>
    </w:rPr>
  </w:style>
  <w:style w:type="paragraph" w:customStyle="1" w:styleId="enfd">
    <w:name w:val="号細細分　番号なし（en）"/>
    <w:basedOn w:val="jafd"/>
    <w:rsid w:val="00E60B1E"/>
    <w:rPr>
      <w:rFonts w:ascii="Century" w:eastAsia="Century" w:hAnsi="Century" w:cs="Century"/>
    </w:rPr>
  </w:style>
  <w:style w:type="paragraph" w:customStyle="1" w:styleId="jafe">
    <w:name w:val="備考号細細分（ja）"/>
    <w:basedOn w:val="a"/>
    <w:rsid w:val="00E60B1E"/>
    <w:pPr>
      <w:widowControl w:val="0"/>
      <w:ind w:left="1319" w:hanging="439"/>
    </w:pPr>
    <w:rPr>
      <w:rFonts w:ascii="ＭＳ 明朝" w:eastAsia="ＭＳ 明朝" w:hAnsi="ＭＳ 明朝" w:cs="ＭＳ 明朝"/>
    </w:rPr>
  </w:style>
  <w:style w:type="paragraph" w:customStyle="1" w:styleId="enfe">
    <w:name w:val="備考号細細分（en）"/>
    <w:basedOn w:val="jafe"/>
    <w:rsid w:val="00E60B1E"/>
    <w:rPr>
      <w:rFonts w:ascii="Century" w:eastAsia="Century" w:hAnsi="Century" w:cs="Century"/>
    </w:rPr>
  </w:style>
  <w:style w:type="paragraph" w:customStyle="1" w:styleId="jaff">
    <w:name w:val="号細細細分（ja）"/>
    <w:basedOn w:val="a"/>
    <w:rsid w:val="00E60B1E"/>
    <w:pPr>
      <w:widowControl w:val="0"/>
      <w:ind w:left="1319" w:hanging="439"/>
    </w:pPr>
    <w:rPr>
      <w:rFonts w:ascii="ＭＳ 明朝" w:eastAsia="ＭＳ 明朝" w:hAnsi="ＭＳ 明朝" w:cs="ＭＳ 明朝"/>
    </w:rPr>
  </w:style>
  <w:style w:type="paragraph" w:customStyle="1" w:styleId="enff">
    <w:name w:val="号細細細分（en）"/>
    <w:basedOn w:val="jaff"/>
    <w:rsid w:val="00E60B1E"/>
    <w:rPr>
      <w:rFonts w:ascii="Century" w:eastAsia="Century" w:hAnsi="Century" w:cs="Century"/>
    </w:rPr>
  </w:style>
  <w:style w:type="paragraph" w:customStyle="1" w:styleId="jaff0">
    <w:name w:val="号細細細分　番号なし（ja）"/>
    <w:basedOn w:val="a"/>
    <w:rsid w:val="00E60B1E"/>
    <w:pPr>
      <w:widowControl w:val="0"/>
      <w:ind w:left="879"/>
    </w:pPr>
    <w:rPr>
      <w:rFonts w:ascii="ＭＳ 明朝" w:eastAsia="ＭＳ 明朝" w:hAnsi="ＭＳ 明朝" w:cs="ＭＳ 明朝"/>
    </w:rPr>
  </w:style>
  <w:style w:type="paragraph" w:customStyle="1" w:styleId="enff0">
    <w:name w:val="号細細細分　番号なし（en）"/>
    <w:basedOn w:val="jaff0"/>
    <w:rsid w:val="00E60B1E"/>
    <w:rPr>
      <w:rFonts w:ascii="Century" w:eastAsia="Century" w:hAnsi="Century" w:cs="Century"/>
    </w:rPr>
  </w:style>
  <w:style w:type="paragraph" w:customStyle="1" w:styleId="jaff1">
    <w:name w:val="備考号細細細分（ja）"/>
    <w:basedOn w:val="a"/>
    <w:rsid w:val="00E60B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0B1E"/>
    <w:rPr>
      <w:rFonts w:ascii="Century" w:eastAsia="Century" w:hAnsi="Century" w:cs="Century"/>
    </w:rPr>
  </w:style>
  <w:style w:type="paragraph" w:customStyle="1" w:styleId="jaff2">
    <w:name w:val="類（ja）"/>
    <w:basedOn w:val="a"/>
    <w:rsid w:val="00E60B1E"/>
    <w:pPr>
      <w:widowControl w:val="0"/>
      <w:ind w:left="439" w:hanging="219"/>
    </w:pPr>
    <w:rPr>
      <w:rFonts w:ascii="ＭＳ 明朝" w:eastAsia="ＭＳ 明朝" w:hAnsi="ＭＳ 明朝" w:cs="ＭＳ 明朝"/>
    </w:rPr>
  </w:style>
  <w:style w:type="paragraph" w:customStyle="1" w:styleId="enff2">
    <w:name w:val="類（en）"/>
    <w:basedOn w:val="jaff2"/>
    <w:rsid w:val="00E60B1E"/>
    <w:rPr>
      <w:rFonts w:ascii="Century" w:eastAsia="Century" w:hAnsi="Century" w:cs="Century"/>
    </w:rPr>
  </w:style>
  <w:style w:type="paragraph" w:customStyle="1" w:styleId="jaff3">
    <w:name w:val="公布文（ja）"/>
    <w:basedOn w:val="a"/>
    <w:rsid w:val="00E60B1E"/>
    <w:pPr>
      <w:widowControl w:val="0"/>
      <w:ind w:firstLine="219"/>
    </w:pPr>
    <w:rPr>
      <w:rFonts w:ascii="ＭＳ 明朝" w:eastAsia="ＭＳ 明朝" w:hAnsi="ＭＳ 明朝" w:cs="ＭＳ 明朝"/>
    </w:rPr>
  </w:style>
  <w:style w:type="paragraph" w:customStyle="1" w:styleId="enff3">
    <w:name w:val="公布文（en）"/>
    <w:basedOn w:val="jaff3"/>
    <w:rsid w:val="00E60B1E"/>
    <w:rPr>
      <w:rFonts w:ascii="Century" w:eastAsia="Century" w:hAnsi="Century" w:cs="Century"/>
    </w:rPr>
  </w:style>
  <w:style w:type="paragraph" w:customStyle="1" w:styleId="jaen">
    <w:name w:val="表（ja：en）"/>
    <w:basedOn w:val="a"/>
    <w:rsid w:val="00E60B1E"/>
    <w:pPr>
      <w:widowControl w:val="0"/>
      <w:snapToGrid w:val="0"/>
    </w:pPr>
    <w:rPr>
      <w:rFonts w:ascii="Century" w:eastAsia="ＭＳ 明朝" w:hAnsi="Century"/>
    </w:rPr>
  </w:style>
  <w:style w:type="paragraph" w:customStyle="1" w:styleId="jaff4">
    <w:name w:val="備考（ja）"/>
    <w:basedOn w:val="a"/>
    <w:rsid w:val="00E60B1E"/>
    <w:pPr>
      <w:widowControl w:val="0"/>
      <w:ind w:left="439" w:hanging="219"/>
    </w:pPr>
    <w:rPr>
      <w:rFonts w:ascii="ＭＳ 明朝" w:eastAsia="ＭＳ 明朝" w:hAnsi="ＭＳ 明朝" w:cs="ＭＳ 明朝"/>
    </w:rPr>
  </w:style>
  <w:style w:type="paragraph" w:customStyle="1" w:styleId="enff4">
    <w:name w:val="備考（en）"/>
    <w:basedOn w:val="jaff4"/>
    <w:rsid w:val="00E60B1E"/>
    <w:rPr>
      <w:rFonts w:ascii="Century" w:eastAsia="Century" w:hAnsi="Century" w:cs="Century"/>
    </w:rPr>
  </w:style>
  <w:style w:type="paragraph" w:customStyle="1" w:styleId="jaff5">
    <w:name w:val="表タイトル（ja）"/>
    <w:basedOn w:val="a"/>
    <w:rsid w:val="00E60B1E"/>
    <w:pPr>
      <w:widowControl w:val="0"/>
      <w:ind w:left="219"/>
    </w:pPr>
    <w:rPr>
      <w:rFonts w:ascii="ＭＳ 明朝" w:eastAsia="ＭＳ 明朝" w:hAnsi="ＭＳ 明朝" w:cs="ＭＳ 明朝"/>
    </w:rPr>
  </w:style>
  <w:style w:type="paragraph" w:customStyle="1" w:styleId="enff5">
    <w:name w:val="表タイトル（en）"/>
    <w:basedOn w:val="jaff5"/>
    <w:rsid w:val="00E60B1E"/>
    <w:rPr>
      <w:rFonts w:ascii="Century" w:eastAsia="Century" w:hAnsi="Century" w:cs="Century"/>
    </w:rPr>
  </w:style>
  <w:style w:type="paragraph" w:customStyle="1" w:styleId="jaff6">
    <w:name w:val="改正規定文（ja）"/>
    <w:basedOn w:val="a"/>
    <w:rsid w:val="00E60B1E"/>
    <w:pPr>
      <w:widowControl w:val="0"/>
      <w:ind w:left="219" w:firstLine="219"/>
    </w:pPr>
    <w:rPr>
      <w:rFonts w:ascii="ＭＳ 明朝" w:eastAsia="ＭＳ 明朝" w:hAnsi="ＭＳ 明朝" w:cs="ＭＳ 明朝"/>
    </w:rPr>
  </w:style>
  <w:style w:type="paragraph" w:customStyle="1" w:styleId="enff6">
    <w:name w:val="改正規定文（en）"/>
    <w:basedOn w:val="jaff6"/>
    <w:rsid w:val="00E60B1E"/>
    <w:rPr>
      <w:rFonts w:ascii="Century" w:eastAsia="Century" w:hAnsi="Century" w:cs="Century"/>
    </w:rPr>
  </w:style>
  <w:style w:type="paragraph" w:customStyle="1" w:styleId="jaff7">
    <w:name w:val="付記（ja）"/>
    <w:basedOn w:val="a"/>
    <w:rsid w:val="00E60B1E"/>
    <w:pPr>
      <w:widowControl w:val="0"/>
      <w:ind w:left="219" w:firstLine="219"/>
    </w:pPr>
    <w:rPr>
      <w:rFonts w:ascii="ＭＳ 明朝" w:eastAsia="ＭＳ 明朝" w:hAnsi="ＭＳ 明朝" w:cs="ＭＳ 明朝"/>
    </w:rPr>
  </w:style>
  <w:style w:type="paragraph" w:customStyle="1" w:styleId="enff7">
    <w:name w:val="付記（en）"/>
    <w:basedOn w:val="jaff7"/>
    <w:rsid w:val="00E60B1E"/>
    <w:rPr>
      <w:rFonts w:ascii="Century" w:eastAsia="Century" w:hAnsi="Century" w:cs="Century"/>
    </w:rPr>
  </w:style>
  <w:style w:type="paragraph" w:customStyle="1" w:styleId="jaff8">
    <w:name w:val="様式名（ja）"/>
    <w:basedOn w:val="a"/>
    <w:rsid w:val="00E60B1E"/>
    <w:pPr>
      <w:widowControl w:val="0"/>
      <w:ind w:left="439" w:hanging="219"/>
    </w:pPr>
    <w:rPr>
      <w:rFonts w:ascii="ＭＳ 明朝" w:eastAsia="ＭＳ 明朝" w:hAnsi="ＭＳ 明朝" w:cs="ＭＳ 明朝"/>
    </w:rPr>
  </w:style>
  <w:style w:type="paragraph" w:customStyle="1" w:styleId="enff8">
    <w:name w:val="様式名（en）"/>
    <w:basedOn w:val="jaff8"/>
    <w:rsid w:val="00E60B1E"/>
    <w:rPr>
      <w:rFonts w:ascii="Century" w:eastAsia="Century" w:hAnsi="Century" w:cs="Century"/>
    </w:rPr>
  </w:style>
  <w:style w:type="paragraph" w:customStyle="1" w:styleId="jaff9">
    <w:name w:val="様式項目（ja）"/>
    <w:basedOn w:val="a"/>
    <w:rsid w:val="00E60B1E"/>
    <w:pPr>
      <w:widowControl w:val="0"/>
      <w:ind w:left="221" w:firstLine="221"/>
    </w:pPr>
    <w:rPr>
      <w:rFonts w:ascii="ＭＳ 明朝" w:eastAsia="ＭＳ 明朝" w:hAnsi="ＭＳ 明朝" w:cs="ＭＳ 明朝"/>
    </w:rPr>
  </w:style>
  <w:style w:type="paragraph" w:customStyle="1" w:styleId="enff9">
    <w:name w:val="様式項目（en）"/>
    <w:basedOn w:val="jaff9"/>
    <w:rsid w:val="00E60B1E"/>
    <w:rPr>
      <w:rFonts w:ascii="Century" w:eastAsia="Century" w:hAnsi="Century" w:cs="Century"/>
    </w:rPr>
  </w:style>
  <w:style w:type="table" w:customStyle="1" w:styleId="1">
    <w:name w:val="表1"/>
    <w:rsid w:val="00E60B1E"/>
    <w:tblPr>
      <w:tblInd w:w="340" w:type="dxa"/>
      <w:tblCellMar>
        <w:top w:w="0" w:type="dxa"/>
        <w:left w:w="0" w:type="dxa"/>
        <w:bottom w:w="0" w:type="dxa"/>
        <w:right w:w="0" w:type="dxa"/>
      </w:tblCellMar>
    </w:tblPr>
  </w:style>
  <w:style w:type="numbering" w:customStyle="1" w:styleId="WW8Num1">
    <w:name w:val="WW8Num1"/>
    <w:rsid w:val="00E60B1E"/>
    <w:pPr>
      <w:numPr>
        <w:numId w:val="2"/>
      </w:numPr>
    </w:pPr>
  </w:style>
  <w:style w:type="numbering" w:customStyle="1" w:styleId="WW8Num2">
    <w:name w:val="WW8Num2"/>
    <w:rsid w:val="00E60B1E"/>
    <w:pPr>
      <w:numPr>
        <w:numId w:val="3"/>
      </w:numPr>
    </w:pPr>
  </w:style>
  <w:style w:type="numbering" w:customStyle="1" w:styleId="WW8Num3">
    <w:name w:val="WW8Num3"/>
    <w:rsid w:val="00E60B1E"/>
    <w:pPr>
      <w:numPr>
        <w:numId w:val="4"/>
      </w:numPr>
    </w:pPr>
  </w:style>
  <w:style w:type="numbering" w:customStyle="1" w:styleId="WW8Num4">
    <w:name w:val="WW8Num4"/>
    <w:rsid w:val="00E60B1E"/>
    <w:pPr>
      <w:numPr>
        <w:numId w:val="5"/>
      </w:numPr>
    </w:pPr>
  </w:style>
  <w:style w:type="numbering" w:customStyle="1" w:styleId="WW8Num5">
    <w:name w:val="WW8Num5"/>
    <w:rsid w:val="00E60B1E"/>
    <w:pPr>
      <w:numPr>
        <w:numId w:val="6"/>
      </w:numPr>
    </w:pPr>
  </w:style>
  <w:style w:type="numbering" w:customStyle="1" w:styleId="WW8Num6">
    <w:name w:val="WW8Num6"/>
    <w:rsid w:val="00E60B1E"/>
    <w:pPr>
      <w:numPr>
        <w:numId w:val="7"/>
      </w:numPr>
    </w:pPr>
  </w:style>
  <w:style w:type="numbering" w:customStyle="1" w:styleId="WW8Num7">
    <w:name w:val="WW8Num7"/>
    <w:rsid w:val="00E60B1E"/>
    <w:pPr>
      <w:numPr>
        <w:numId w:val="8"/>
      </w:numPr>
    </w:pPr>
  </w:style>
  <w:style w:type="numbering" w:customStyle="1" w:styleId="WW8Num8">
    <w:name w:val="WW8Num8"/>
    <w:rsid w:val="00E60B1E"/>
    <w:pPr>
      <w:numPr>
        <w:numId w:val="9"/>
      </w:numPr>
    </w:pPr>
  </w:style>
  <w:style w:type="numbering" w:customStyle="1" w:styleId="WW8Num9">
    <w:name w:val="WW8Num9"/>
    <w:rsid w:val="00E60B1E"/>
    <w:pPr>
      <w:numPr>
        <w:numId w:val="10"/>
      </w:numPr>
    </w:pPr>
  </w:style>
  <w:style w:type="numbering" w:customStyle="1" w:styleId="WW8Num10">
    <w:name w:val="WW8Num10"/>
    <w:rsid w:val="00E60B1E"/>
    <w:pPr>
      <w:numPr>
        <w:numId w:val="11"/>
      </w:numPr>
    </w:pPr>
  </w:style>
  <w:style w:type="numbering" w:customStyle="1" w:styleId="WW8Num11">
    <w:name w:val="WW8Num11"/>
    <w:rsid w:val="00E60B1E"/>
    <w:pPr>
      <w:numPr>
        <w:numId w:val="12"/>
      </w:numPr>
    </w:pPr>
  </w:style>
  <w:style w:type="numbering" w:customStyle="1" w:styleId="WW8Num12">
    <w:name w:val="WW8Num12"/>
    <w:rsid w:val="00E60B1E"/>
    <w:pPr>
      <w:numPr>
        <w:numId w:val="13"/>
      </w:numPr>
    </w:pPr>
  </w:style>
  <w:style w:type="paragraph" w:styleId="a4">
    <w:name w:val="header"/>
    <w:basedOn w:val="a"/>
    <w:link w:val="a5"/>
    <w:uiPriority w:val="99"/>
    <w:unhideWhenUsed/>
    <w:rsid w:val="00FB670B"/>
    <w:pPr>
      <w:tabs>
        <w:tab w:val="center" w:pos="4252"/>
        <w:tab w:val="right" w:pos="8504"/>
      </w:tabs>
      <w:snapToGrid w:val="0"/>
    </w:pPr>
  </w:style>
  <w:style w:type="character" w:customStyle="1" w:styleId="a5">
    <w:name w:val="ヘッダー (文字)"/>
    <w:basedOn w:val="a0"/>
    <w:link w:val="a4"/>
    <w:uiPriority w:val="99"/>
    <w:rsid w:val="00FB67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