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49D2" w:rsidRDefault="00FC47F9">
      <w:pPr>
        <w:pStyle w:val="en"/>
      </w:pPr>
      <w:r>
        <w:t>Rules on Investigation of Criminal Cases by the Fair Trade Commission</w:t>
      </w:r>
    </w:p>
    <w:p w:rsidR="003F49D2" w:rsidRDefault="003F49D2"/>
    <w:p w:rsidR="003F49D2" w:rsidRDefault="00FC47F9">
      <w:pPr>
        <w:pStyle w:val="enf"/>
      </w:pPr>
      <w:r>
        <w:t>(Fair Trade Commission Rule No. 6 of October 19, 2005)</w:t>
      </w:r>
    </w:p>
    <w:p w:rsidR="003F49D2" w:rsidRDefault="003F49D2"/>
    <w:p w:rsidR="003F49D2" w:rsidRDefault="00FC47F9">
      <w:pPr>
        <w:pStyle w:val="ene"/>
      </w:pPr>
      <w:r>
        <w:t xml:space="preserve">Pursuant to the provisions of paragraph (1) of Article 76 of the Act on Prohibition of Private Monopolization and </w:t>
      </w:r>
      <w:r>
        <w:t>Maintenance of Fair Trade (Act No. 54 of 1947), the Rules on Investigation of Criminal Cases by the Fair Trade Commission are provided as follows.</w:t>
      </w:r>
    </w:p>
    <w:p w:rsidR="003F49D2" w:rsidRDefault="003F49D2"/>
    <w:p w:rsidR="003F49D2" w:rsidRDefault="00FC47F9">
      <w:pPr>
        <w:pStyle w:val="ena"/>
      </w:pPr>
      <w:r>
        <w:t>(Purpose of the Rules)</w:t>
      </w:r>
    </w:p>
    <w:p w:rsidR="003F49D2" w:rsidRDefault="00FC47F9">
      <w:pPr>
        <w:pStyle w:val="enf3"/>
      </w:pPr>
      <w:r>
        <w:t>Article 1  Procedures for investigations of criminal cases (meaning the cases pertain</w:t>
      </w:r>
      <w:r>
        <w:t>ing to the crimes from Article 89 through Article 91 of the Act on Prohibition of Private Monopolization and Maintenance of Fair Trade (hereinafter referred to as the "Act"), the same shall apply hereinafter) that are conducted by officials (hereinafter re</w:t>
      </w:r>
      <w:r>
        <w:t>ferred to as the "Criminal Investigators") designated by the Fair Trade Commission (hereinafter referred to as the "Commission"), as provided for in paragraph (1) of Article 101 of the Act, shall be pursuant to the provisions of the Rules in addition to as</w:t>
      </w:r>
      <w:r>
        <w:t xml:space="preserve"> provided for by the Act.</w:t>
      </w:r>
    </w:p>
    <w:p w:rsidR="003F49D2" w:rsidRDefault="003F49D2"/>
    <w:p w:rsidR="003F49D2" w:rsidRDefault="00FC47F9">
      <w:pPr>
        <w:pStyle w:val="ena"/>
      </w:pPr>
      <w:r>
        <w:t>(Designation of Criminal Investigators)</w:t>
      </w:r>
    </w:p>
    <w:p w:rsidR="003F49D2" w:rsidRDefault="00FC47F9">
      <w:pPr>
        <w:pStyle w:val="enf3"/>
      </w:pPr>
      <w:r>
        <w:t>Article 2  The Commission's designation, provided for in paragraph (1) of Article 101 of the Act, shall only be given to staff members of the General Secretariat's Criminal Investigation De</w:t>
      </w:r>
      <w:r>
        <w:t>partment at the Investigation Bureau.</w:t>
      </w:r>
    </w:p>
    <w:p w:rsidR="003F49D2" w:rsidRDefault="003F49D2"/>
    <w:p w:rsidR="003F49D2" w:rsidRDefault="00FC47F9">
      <w:pPr>
        <w:pStyle w:val="ena"/>
      </w:pPr>
      <w:r>
        <w:t>(Identification)</w:t>
      </w:r>
    </w:p>
    <w:p w:rsidR="003F49D2" w:rsidRDefault="00FC47F9">
      <w:pPr>
        <w:pStyle w:val="enf3"/>
      </w:pPr>
      <w:r>
        <w:t>Article 3  The format of the identification cards that indicate the staff members' identities pursuant to Article 106 of the Act shall be as shown in the appended form.</w:t>
      </w:r>
    </w:p>
    <w:p w:rsidR="003F49D2" w:rsidRDefault="003F49D2"/>
    <w:p w:rsidR="003F49D2" w:rsidRDefault="00FC47F9">
      <w:pPr>
        <w:pStyle w:val="ena"/>
      </w:pPr>
      <w:r>
        <w:t>(Start of Investigation in a C</w:t>
      </w:r>
      <w:r>
        <w:t>riminal Case)</w:t>
      </w:r>
    </w:p>
    <w:p w:rsidR="003F49D2" w:rsidRDefault="00FC47F9">
      <w:pPr>
        <w:pStyle w:val="enf3"/>
      </w:pPr>
      <w:r>
        <w:t>Article 4  (1) The Director General of the Investigation Bureau at the General Secretariat shall report to the Commission when the Director General has discovered a fact that constitutes a clue to a criminal case.</w:t>
      </w:r>
    </w:p>
    <w:p w:rsidR="003F49D2" w:rsidRDefault="00FC47F9">
      <w:pPr>
        <w:pStyle w:val="enf4"/>
      </w:pPr>
      <w:r>
        <w:t xml:space="preserve">(2) The report set forth in </w:t>
      </w:r>
      <w:r>
        <w:t>the preceding paragraph shall clarify the following items to the extent that it is possible to do so.</w:t>
      </w:r>
    </w:p>
    <w:p w:rsidR="003F49D2" w:rsidRDefault="00FC47F9">
      <w:pPr>
        <w:pStyle w:val="enf6"/>
      </w:pPr>
      <w:r>
        <w:t>(i) The clue</w:t>
      </w:r>
    </w:p>
    <w:p w:rsidR="003F49D2" w:rsidRDefault="00FC47F9">
      <w:pPr>
        <w:pStyle w:val="enf6"/>
      </w:pPr>
      <w:r>
        <w:t>(ii) An outline of the fact</w:t>
      </w:r>
    </w:p>
    <w:p w:rsidR="003F49D2" w:rsidRDefault="00FC47F9">
      <w:pPr>
        <w:pStyle w:val="enf6"/>
      </w:pPr>
      <w:r>
        <w:t>(iii) The relevant provisions of the law</w:t>
      </w:r>
    </w:p>
    <w:p w:rsidR="003F49D2" w:rsidRDefault="00FC47F9">
      <w:pPr>
        <w:pStyle w:val="enf4"/>
      </w:pPr>
      <w:r>
        <w:lastRenderedPageBreak/>
        <w:t>(3) When the Commission finds it to be necessary with regard to a case s</w:t>
      </w:r>
      <w:r>
        <w:t>et forth in paragraph (1), it shall let the Criminal Investigators investigate the case.</w:t>
      </w:r>
    </w:p>
    <w:p w:rsidR="003F49D2" w:rsidRDefault="00FC47F9">
      <w:pPr>
        <w:pStyle w:val="enf4"/>
      </w:pPr>
      <w:r>
        <w:t>(4) When an investigator believes that a fact that the investigator e has discovered in a case for which a disposition was rendered pursuant of Article 47, paragraph (</w:t>
      </w:r>
      <w:r>
        <w:t>1) of the Act based on the provisions of paragraph (2) of the same Article constitutes a clue to a criminal case, the investigator shall not report said fact directly to the Criminal Investigators, but shall immediately report to the Director General of th</w:t>
      </w:r>
      <w:r>
        <w:t>e Investigation Bureau to receive instructions therefrom.</w:t>
      </w:r>
    </w:p>
    <w:p w:rsidR="003F49D2" w:rsidRDefault="003F49D2"/>
    <w:p w:rsidR="003F49D2" w:rsidRDefault="00FC47F9">
      <w:pPr>
        <w:pStyle w:val="ena"/>
      </w:pPr>
      <w:r>
        <w:t>(Particulars to Report After the Close of an Investigation)</w:t>
      </w:r>
    </w:p>
    <w:p w:rsidR="003F49D2" w:rsidRDefault="00FC47F9">
      <w:pPr>
        <w:pStyle w:val="enf3"/>
      </w:pPr>
      <w:r>
        <w:t>Article 5  In giving a report pursuant to the provisions of Article 115 of the Act, the following particulars shall be clarified.</w:t>
      </w:r>
    </w:p>
    <w:p w:rsidR="003F49D2" w:rsidRDefault="00FC47F9">
      <w:pPr>
        <w:pStyle w:val="enf6"/>
      </w:pPr>
      <w:r>
        <w:t>(i) Clu</w:t>
      </w:r>
      <w:r>
        <w:t>es</w:t>
      </w:r>
    </w:p>
    <w:p w:rsidR="003F49D2" w:rsidRDefault="00FC47F9">
      <w:pPr>
        <w:pStyle w:val="enf6"/>
      </w:pPr>
      <w:r>
        <w:t>(ii) The progression of the investigation</w:t>
      </w:r>
    </w:p>
    <w:p w:rsidR="003F49D2" w:rsidRDefault="00FC47F9">
      <w:pPr>
        <w:pStyle w:val="enf6"/>
      </w:pPr>
      <w:r>
        <w:t>(iii) An outline of the facts</w:t>
      </w:r>
    </w:p>
    <w:p w:rsidR="003F49D2" w:rsidRDefault="00FC47F9">
      <w:pPr>
        <w:pStyle w:val="enf6"/>
      </w:pPr>
      <w:r>
        <w:t>(iv) The relevant provisions of the law</w:t>
      </w:r>
    </w:p>
    <w:p w:rsidR="003F49D2" w:rsidRDefault="00FC47F9">
      <w:pPr>
        <w:pStyle w:val="enf6"/>
      </w:pPr>
      <w:r>
        <w:t>(v) Opinions of the criminal investigators.</w:t>
      </w:r>
    </w:p>
    <w:p w:rsidR="003F49D2" w:rsidRDefault="003F49D2"/>
    <w:p w:rsidR="003F49D2" w:rsidRDefault="00FC47F9">
      <w:pPr>
        <w:pStyle w:val="en2"/>
      </w:pPr>
      <w:r>
        <w:t>Supplementary Provisions</w:t>
      </w:r>
    </w:p>
    <w:p w:rsidR="003F49D2" w:rsidRDefault="003F49D2"/>
    <w:p w:rsidR="003F49D2" w:rsidRDefault="00FC47F9">
      <w:pPr>
        <w:pStyle w:val="enf5"/>
      </w:pPr>
      <w:r>
        <w:t xml:space="preserve">These rules shall come into effect as of the day of </w:t>
      </w:r>
      <w:r>
        <w:t>enforcement of the Act Partially Revising the Act on Prohibition of Private Monopolization and Maintenance of Fair Trade (Act No. 35 of 2005) (January 4, 2006).</w:t>
      </w:r>
    </w:p>
    <w:sectPr w:rsidR="003F49D2" w:rsidSect="003F49D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9D2" w:rsidRDefault="003F49D2" w:rsidP="003F49D2">
      <w:r>
        <w:separator/>
      </w:r>
    </w:p>
  </w:endnote>
  <w:endnote w:type="continuationSeparator" w:id="0">
    <w:p w:rsidR="003F49D2" w:rsidRDefault="003F49D2" w:rsidP="003F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9D2" w:rsidRDefault="003F49D2">
    <w:pPr>
      <w:pStyle w:val="a3"/>
    </w:pPr>
    <w:r>
      <w:fldChar w:fldCharType="begin"/>
    </w:r>
    <w:r>
      <w:instrText xml:space="preserve"> PAGE  \* MERGEFORMAT </w:instrText>
    </w:r>
    <w:r>
      <w:fldChar w:fldCharType="separate"/>
    </w:r>
    <w:r w:rsidR="00FC47F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9D2" w:rsidRDefault="003F49D2" w:rsidP="003F49D2">
      <w:r>
        <w:separator/>
      </w:r>
    </w:p>
  </w:footnote>
  <w:footnote w:type="continuationSeparator" w:id="0">
    <w:p w:rsidR="003F49D2" w:rsidRDefault="003F49D2" w:rsidP="003F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1D2"/>
    <w:multiLevelType w:val="multilevel"/>
    <w:tmpl w:val="EF16AD1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1665EA"/>
    <w:multiLevelType w:val="multilevel"/>
    <w:tmpl w:val="0DB8AC1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E82CCE"/>
    <w:multiLevelType w:val="multilevel"/>
    <w:tmpl w:val="23D2A8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9653C3"/>
    <w:multiLevelType w:val="multilevel"/>
    <w:tmpl w:val="6D6405B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8640B81"/>
    <w:multiLevelType w:val="multilevel"/>
    <w:tmpl w:val="FB6CE36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677656"/>
    <w:multiLevelType w:val="multilevel"/>
    <w:tmpl w:val="1C5437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EA47C3"/>
    <w:multiLevelType w:val="multilevel"/>
    <w:tmpl w:val="8A8A68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4066DC"/>
    <w:multiLevelType w:val="multilevel"/>
    <w:tmpl w:val="B6AA121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4D2ADC"/>
    <w:multiLevelType w:val="multilevel"/>
    <w:tmpl w:val="DF32248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D73AB7"/>
    <w:multiLevelType w:val="multilevel"/>
    <w:tmpl w:val="011A99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4EF62C4"/>
    <w:multiLevelType w:val="multilevel"/>
    <w:tmpl w:val="7AFEE85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B5E4865"/>
    <w:multiLevelType w:val="multilevel"/>
    <w:tmpl w:val="FC68DBB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524D01"/>
    <w:multiLevelType w:val="multilevel"/>
    <w:tmpl w:val="B69AE8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5"/>
  </w:num>
  <w:num w:numId="3">
    <w:abstractNumId w:val="7"/>
  </w:num>
  <w:num w:numId="4">
    <w:abstractNumId w:val="3"/>
  </w:num>
  <w:num w:numId="5">
    <w:abstractNumId w:val="2"/>
  </w:num>
  <w:num w:numId="6">
    <w:abstractNumId w:val="1"/>
  </w:num>
  <w:num w:numId="7">
    <w:abstractNumId w:val="6"/>
  </w:num>
  <w:num w:numId="8">
    <w:abstractNumId w:val="11"/>
  </w:num>
  <w:num w:numId="9">
    <w:abstractNumId w:val="12"/>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F49D2"/>
    <w:rsid w:val="003F49D2"/>
    <w:rsid w:val="00FC47F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D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F49D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F49D2"/>
    <w:rPr>
      <w:rFonts w:ascii="Century" w:eastAsia="Century" w:hAnsi="Century"/>
    </w:rPr>
  </w:style>
  <w:style w:type="paragraph" w:customStyle="1" w:styleId="ja0">
    <w:name w:val="款（ja）"/>
    <w:basedOn w:val="a"/>
    <w:rsid w:val="003F49D2"/>
    <w:pPr>
      <w:widowControl w:val="0"/>
      <w:ind w:left="1321" w:hanging="221"/>
    </w:pPr>
    <w:rPr>
      <w:rFonts w:ascii="ＭＳ 明朝" w:eastAsia="ＭＳ 明朝" w:hAnsi="ＭＳ 明朝" w:cs="ＭＳ 明朝"/>
      <w:b/>
    </w:rPr>
  </w:style>
  <w:style w:type="paragraph" w:customStyle="1" w:styleId="en0">
    <w:name w:val="款（en）"/>
    <w:basedOn w:val="ja0"/>
    <w:rsid w:val="003F49D2"/>
    <w:rPr>
      <w:rFonts w:ascii="Century" w:eastAsia="Century" w:hAnsi="Century" w:cs="Century"/>
    </w:rPr>
  </w:style>
  <w:style w:type="paragraph" w:customStyle="1" w:styleId="ja1">
    <w:name w:val="前文（ja）"/>
    <w:basedOn w:val="a"/>
    <w:rsid w:val="003F49D2"/>
    <w:pPr>
      <w:widowControl w:val="0"/>
      <w:ind w:firstLine="219"/>
    </w:pPr>
    <w:rPr>
      <w:rFonts w:ascii="ＭＳ 明朝" w:eastAsia="ＭＳ 明朝" w:hAnsi="ＭＳ 明朝" w:cs="ＭＳ 明朝"/>
    </w:rPr>
  </w:style>
  <w:style w:type="paragraph" w:customStyle="1" w:styleId="en1">
    <w:name w:val="前文（en）"/>
    <w:basedOn w:val="ja1"/>
    <w:rsid w:val="003F49D2"/>
    <w:rPr>
      <w:rFonts w:ascii="Century" w:eastAsia="Century" w:hAnsi="Century" w:cs="Century"/>
    </w:rPr>
  </w:style>
  <w:style w:type="paragraph" w:customStyle="1" w:styleId="ja2">
    <w:name w:val="附則（ja）"/>
    <w:basedOn w:val="a"/>
    <w:rsid w:val="003F49D2"/>
    <w:pPr>
      <w:widowControl w:val="0"/>
      <w:ind w:left="881" w:hanging="221"/>
    </w:pPr>
    <w:rPr>
      <w:rFonts w:ascii="ＭＳ 明朝" w:eastAsia="ＭＳ 明朝" w:hAnsi="ＭＳ 明朝" w:cs="ＭＳ 明朝"/>
      <w:b/>
    </w:rPr>
  </w:style>
  <w:style w:type="paragraph" w:customStyle="1" w:styleId="en2">
    <w:name w:val="附則（en）"/>
    <w:basedOn w:val="ja2"/>
    <w:rsid w:val="003F49D2"/>
    <w:rPr>
      <w:rFonts w:ascii="Century" w:hAnsi="Century" w:cs="Century"/>
    </w:rPr>
  </w:style>
  <w:style w:type="paragraph" w:customStyle="1" w:styleId="ja3">
    <w:name w:val="章（ja）"/>
    <w:basedOn w:val="a"/>
    <w:rsid w:val="003F49D2"/>
    <w:pPr>
      <w:widowControl w:val="0"/>
      <w:ind w:left="881" w:hanging="221"/>
    </w:pPr>
    <w:rPr>
      <w:rFonts w:ascii="ＭＳ 明朝" w:eastAsia="ＭＳ 明朝" w:hAnsi="ＭＳ 明朝" w:cs="ＭＳ 明朝"/>
      <w:b/>
    </w:rPr>
  </w:style>
  <w:style w:type="paragraph" w:customStyle="1" w:styleId="en3">
    <w:name w:val="章（en）"/>
    <w:basedOn w:val="ja3"/>
    <w:rsid w:val="003F49D2"/>
    <w:rPr>
      <w:rFonts w:ascii="Century" w:eastAsia="Century" w:hAnsi="Century" w:cs="Century"/>
    </w:rPr>
  </w:style>
  <w:style w:type="paragraph" w:customStyle="1" w:styleId="ja4">
    <w:name w:val="目次編（ja）"/>
    <w:basedOn w:val="a"/>
    <w:rsid w:val="003F49D2"/>
    <w:pPr>
      <w:widowControl w:val="0"/>
      <w:ind w:left="219" w:hanging="219"/>
    </w:pPr>
    <w:rPr>
      <w:rFonts w:ascii="ＭＳ 明朝" w:eastAsia="ＭＳ 明朝" w:hAnsi="ＭＳ 明朝"/>
    </w:rPr>
  </w:style>
  <w:style w:type="paragraph" w:customStyle="1" w:styleId="en4">
    <w:name w:val="目次編（en）"/>
    <w:basedOn w:val="ja4"/>
    <w:rsid w:val="003F49D2"/>
    <w:rPr>
      <w:rFonts w:ascii="Century" w:eastAsia="Century" w:hAnsi="Century"/>
    </w:rPr>
  </w:style>
  <w:style w:type="paragraph" w:customStyle="1" w:styleId="ja5">
    <w:name w:val="目次章（ja）"/>
    <w:basedOn w:val="a"/>
    <w:rsid w:val="003F49D2"/>
    <w:pPr>
      <w:widowControl w:val="0"/>
      <w:ind w:left="439" w:hanging="219"/>
    </w:pPr>
    <w:rPr>
      <w:rFonts w:ascii="ＭＳ 明朝" w:eastAsia="ＭＳ 明朝" w:hAnsi="ＭＳ 明朝"/>
    </w:rPr>
  </w:style>
  <w:style w:type="paragraph" w:customStyle="1" w:styleId="en5">
    <w:name w:val="目次章（en）"/>
    <w:basedOn w:val="ja5"/>
    <w:rsid w:val="003F49D2"/>
    <w:rPr>
      <w:rFonts w:ascii="Century" w:eastAsia="Century" w:hAnsi="Century"/>
    </w:rPr>
  </w:style>
  <w:style w:type="paragraph" w:customStyle="1" w:styleId="ja6">
    <w:name w:val="目次節（ja）"/>
    <w:basedOn w:val="a"/>
    <w:rsid w:val="003F49D2"/>
    <w:pPr>
      <w:widowControl w:val="0"/>
      <w:ind w:left="659" w:hanging="219"/>
    </w:pPr>
    <w:rPr>
      <w:rFonts w:ascii="ＭＳ 明朝" w:eastAsia="ＭＳ 明朝" w:hAnsi="ＭＳ 明朝"/>
    </w:rPr>
  </w:style>
  <w:style w:type="paragraph" w:customStyle="1" w:styleId="en6">
    <w:name w:val="目次節（en）"/>
    <w:basedOn w:val="ja6"/>
    <w:rsid w:val="003F49D2"/>
    <w:rPr>
      <w:rFonts w:ascii="Century" w:eastAsia="Century" w:hAnsi="Century"/>
    </w:rPr>
  </w:style>
  <w:style w:type="paragraph" w:customStyle="1" w:styleId="ja7">
    <w:name w:val="目次款（ja）"/>
    <w:basedOn w:val="a"/>
    <w:rsid w:val="003F49D2"/>
    <w:pPr>
      <w:widowControl w:val="0"/>
      <w:ind w:left="879" w:hanging="219"/>
    </w:pPr>
    <w:rPr>
      <w:rFonts w:ascii="ＭＳ 明朝" w:eastAsia="ＭＳ 明朝" w:hAnsi="ＭＳ 明朝" w:cs="Kochi Mincho"/>
    </w:rPr>
  </w:style>
  <w:style w:type="paragraph" w:customStyle="1" w:styleId="en7">
    <w:name w:val="目次款（en）"/>
    <w:basedOn w:val="ja7"/>
    <w:rsid w:val="003F49D2"/>
    <w:rPr>
      <w:rFonts w:ascii="Century" w:eastAsia="Century" w:hAnsi="Century"/>
    </w:rPr>
  </w:style>
  <w:style w:type="paragraph" w:customStyle="1" w:styleId="ja8">
    <w:name w:val="別表名（ja）"/>
    <w:basedOn w:val="a"/>
    <w:rsid w:val="003F49D2"/>
    <w:pPr>
      <w:widowControl w:val="0"/>
      <w:ind w:left="100" w:hangingChars="100" w:hanging="100"/>
    </w:pPr>
    <w:rPr>
      <w:rFonts w:ascii="ＭＳ 明朝" w:eastAsia="ＭＳ 明朝" w:hAnsi="ＭＳ 明朝" w:cs="ＭＳ 明朝"/>
    </w:rPr>
  </w:style>
  <w:style w:type="paragraph" w:customStyle="1" w:styleId="en8">
    <w:name w:val="別表名（en）"/>
    <w:basedOn w:val="ja8"/>
    <w:rsid w:val="003F49D2"/>
    <w:rPr>
      <w:rFonts w:ascii="Century" w:eastAsia="Century" w:hAnsi="Century" w:cs="Century"/>
    </w:rPr>
  </w:style>
  <w:style w:type="paragraph" w:customStyle="1" w:styleId="ja9">
    <w:name w:val="目（ja）"/>
    <w:basedOn w:val="a"/>
    <w:rsid w:val="003F49D2"/>
    <w:pPr>
      <w:widowControl w:val="0"/>
      <w:ind w:left="1541" w:hanging="221"/>
    </w:pPr>
    <w:rPr>
      <w:rFonts w:ascii="ＭＳ 明朝" w:eastAsia="ＭＳ 明朝" w:hAnsi="ＭＳ 明朝" w:cs="ＭＳ 明朝"/>
      <w:b/>
    </w:rPr>
  </w:style>
  <w:style w:type="paragraph" w:customStyle="1" w:styleId="en9">
    <w:name w:val="目（en）"/>
    <w:basedOn w:val="ja9"/>
    <w:rsid w:val="003F49D2"/>
    <w:rPr>
      <w:rFonts w:ascii="Century" w:eastAsia="Century" w:hAnsi="Century" w:cs="Century"/>
    </w:rPr>
  </w:style>
  <w:style w:type="paragraph" w:customStyle="1" w:styleId="jaa">
    <w:name w:val="見出し（ja）"/>
    <w:basedOn w:val="a"/>
    <w:rsid w:val="003F49D2"/>
    <w:pPr>
      <w:widowControl w:val="0"/>
      <w:ind w:left="439" w:hanging="219"/>
    </w:pPr>
    <w:rPr>
      <w:rFonts w:ascii="ＭＳ 明朝" w:eastAsia="ＭＳ 明朝" w:hAnsi="ＭＳ 明朝" w:cs="ＭＳ 明朝"/>
    </w:rPr>
  </w:style>
  <w:style w:type="paragraph" w:customStyle="1" w:styleId="ena">
    <w:name w:val="見出し（en）"/>
    <w:basedOn w:val="jaa"/>
    <w:rsid w:val="003F49D2"/>
    <w:rPr>
      <w:rFonts w:ascii="Century" w:eastAsia="Century" w:hAnsi="Century" w:cs="Century"/>
    </w:rPr>
  </w:style>
  <w:style w:type="paragraph" w:styleId="a3">
    <w:name w:val="footer"/>
    <w:basedOn w:val="a"/>
    <w:rsid w:val="003F49D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F49D2"/>
    <w:pPr>
      <w:widowControl w:val="0"/>
      <w:ind w:left="1099" w:hanging="219"/>
    </w:pPr>
    <w:rPr>
      <w:rFonts w:ascii="ＭＳ 明朝" w:eastAsia="ＭＳ 明朝" w:hAnsi="ＭＳ 明朝" w:cs="Kochi Mincho"/>
    </w:rPr>
  </w:style>
  <w:style w:type="paragraph" w:customStyle="1" w:styleId="enb">
    <w:name w:val="目次目（en）"/>
    <w:basedOn w:val="jab"/>
    <w:rsid w:val="003F49D2"/>
    <w:rPr>
      <w:rFonts w:ascii="Century" w:eastAsia="Century" w:hAnsi="Century"/>
    </w:rPr>
  </w:style>
  <w:style w:type="paragraph" w:customStyle="1" w:styleId="jac">
    <w:name w:val="目次附則（ja）"/>
    <w:basedOn w:val="a"/>
    <w:rsid w:val="003F49D2"/>
    <w:pPr>
      <w:widowControl w:val="0"/>
      <w:ind w:left="439" w:hanging="219"/>
    </w:pPr>
    <w:rPr>
      <w:rFonts w:ascii="ＭＳ 明朝" w:eastAsia="ＭＳ 明朝" w:hAnsi="ＭＳ 明朝" w:cs="Kochi Mincho"/>
    </w:rPr>
  </w:style>
  <w:style w:type="paragraph" w:customStyle="1" w:styleId="enc">
    <w:name w:val="目次附則（en）"/>
    <w:basedOn w:val="jac"/>
    <w:rsid w:val="003F49D2"/>
    <w:rPr>
      <w:rFonts w:ascii="Century" w:eastAsia="Century" w:hAnsi="Century" w:cs="Century"/>
    </w:rPr>
  </w:style>
  <w:style w:type="paragraph" w:customStyle="1" w:styleId="jad">
    <w:name w:val="目次前文（ja）"/>
    <w:basedOn w:val="jac"/>
    <w:rsid w:val="003F49D2"/>
  </w:style>
  <w:style w:type="paragraph" w:customStyle="1" w:styleId="end">
    <w:name w:val="目次前文（en）"/>
    <w:basedOn w:val="enc"/>
    <w:rsid w:val="003F49D2"/>
  </w:style>
  <w:style w:type="paragraph" w:customStyle="1" w:styleId="jae">
    <w:name w:val="制定文（ja）"/>
    <w:basedOn w:val="a"/>
    <w:rsid w:val="003F49D2"/>
    <w:pPr>
      <w:widowControl w:val="0"/>
      <w:ind w:firstLine="219"/>
    </w:pPr>
    <w:rPr>
      <w:rFonts w:ascii="ＭＳ 明朝" w:eastAsia="ＭＳ 明朝" w:hAnsi="ＭＳ 明朝" w:cs="ＭＳ 明朝"/>
    </w:rPr>
  </w:style>
  <w:style w:type="paragraph" w:customStyle="1" w:styleId="ene">
    <w:name w:val="制定文（en）"/>
    <w:basedOn w:val="jae"/>
    <w:rsid w:val="003F49D2"/>
    <w:rPr>
      <w:rFonts w:ascii="Century" w:eastAsia="Century" w:hAnsi="Century" w:cs="Century"/>
    </w:rPr>
  </w:style>
  <w:style w:type="paragraph" w:customStyle="1" w:styleId="jaf">
    <w:name w:val="法令番号（ja）"/>
    <w:basedOn w:val="a"/>
    <w:rsid w:val="003F49D2"/>
    <w:pPr>
      <w:widowControl w:val="0"/>
      <w:jc w:val="right"/>
    </w:pPr>
    <w:rPr>
      <w:rFonts w:ascii="ＭＳ 明朝" w:eastAsia="ＭＳ 明朝" w:hAnsi="ＭＳ 明朝" w:cs="Kochi Mincho"/>
    </w:rPr>
  </w:style>
  <w:style w:type="paragraph" w:customStyle="1" w:styleId="enf">
    <w:name w:val="法令番号（en）"/>
    <w:basedOn w:val="jaf"/>
    <w:rsid w:val="003F49D2"/>
    <w:rPr>
      <w:rFonts w:ascii="Century" w:eastAsia="Century" w:hAnsi="Century" w:cs="Century"/>
    </w:rPr>
  </w:style>
  <w:style w:type="paragraph" w:customStyle="1" w:styleId="jaf0">
    <w:name w:val="目次（ja）"/>
    <w:basedOn w:val="a"/>
    <w:rsid w:val="003F49D2"/>
    <w:rPr>
      <w:rFonts w:ascii="ＭＳ 明朝" w:eastAsia="ＭＳ 明朝" w:hAnsi="ＭＳ 明朝"/>
    </w:rPr>
  </w:style>
  <w:style w:type="paragraph" w:customStyle="1" w:styleId="enf0">
    <w:name w:val="目次（en）"/>
    <w:basedOn w:val="jaf0"/>
    <w:rsid w:val="003F49D2"/>
    <w:rPr>
      <w:rFonts w:ascii="Century" w:eastAsia="Century" w:hAnsi="Century"/>
    </w:rPr>
  </w:style>
  <w:style w:type="paragraph" w:customStyle="1" w:styleId="jaf1">
    <w:name w:val="編（ja）"/>
    <w:basedOn w:val="a"/>
    <w:rsid w:val="003F49D2"/>
    <w:pPr>
      <w:widowControl w:val="0"/>
      <w:ind w:left="661" w:hanging="221"/>
    </w:pPr>
    <w:rPr>
      <w:rFonts w:ascii="ＭＳ 明朝" w:eastAsia="ＭＳ 明朝" w:hAnsi="ＭＳ 明朝" w:cs="ＭＳ 明朝"/>
      <w:b/>
    </w:rPr>
  </w:style>
  <w:style w:type="paragraph" w:customStyle="1" w:styleId="enf1">
    <w:name w:val="編（en）"/>
    <w:basedOn w:val="jaf1"/>
    <w:rsid w:val="003F49D2"/>
    <w:rPr>
      <w:rFonts w:ascii="Century" w:eastAsia="Century" w:hAnsi="Century" w:cs="Century"/>
    </w:rPr>
  </w:style>
  <w:style w:type="paragraph" w:customStyle="1" w:styleId="jaf2">
    <w:name w:val="節（ja）"/>
    <w:basedOn w:val="a"/>
    <w:rsid w:val="003F49D2"/>
    <w:pPr>
      <w:widowControl w:val="0"/>
      <w:ind w:left="1101" w:hanging="221"/>
    </w:pPr>
    <w:rPr>
      <w:rFonts w:ascii="ＭＳ 明朝" w:eastAsia="ＭＳ 明朝" w:hAnsi="ＭＳ 明朝" w:cs="ＭＳ 明朝"/>
      <w:b/>
    </w:rPr>
  </w:style>
  <w:style w:type="paragraph" w:customStyle="1" w:styleId="enf2">
    <w:name w:val="節（en）"/>
    <w:basedOn w:val="jaf2"/>
    <w:rsid w:val="003F49D2"/>
    <w:rPr>
      <w:rFonts w:ascii="Century" w:eastAsia="Century" w:hAnsi="Century" w:cs="Century"/>
    </w:rPr>
  </w:style>
  <w:style w:type="paragraph" w:customStyle="1" w:styleId="jaf3">
    <w:name w:val="条（ja）"/>
    <w:basedOn w:val="a"/>
    <w:rsid w:val="003F49D2"/>
    <w:pPr>
      <w:widowControl w:val="0"/>
      <w:ind w:left="219" w:hanging="219"/>
    </w:pPr>
    <w:rPr>
      <w:rFonts w:ascii="ＭＳ 明朝" w:eastAsia="ＭＳ 明朝" w:hAnsi="ＭＳ 明朝" w:cs="ＭＳ 明朝"/>
    </w:rPr>
  </w:style>
  <w:style w:type="paragraph" w:customStyle="1" w:styleId="enf3">
    <w:name w:val="条（en）"/>
    <w:basedOn w:val="jaf3"/>
    <w:rsid w:val="003F49D2"/>
    <w:rPr>
      <w:rFonts w:ascii="Century" w:eastAsia="Century" w:hAnsi="Century" w:cs="Century"/>
    </w:rPr>
  </w:style>
  <w:style w:type="paragraph" w:customStyle="1" w:styleId="jaf4">
    <w:name w:val="項（ja）"/>
    <w:basedOn w:val="a"/>
    <w:rsid w:val="003F49D2"/>
    <w:pPr>
      <w:widowControl w:val="0"/>
      <w:ind w:left="219" w:hanging="219"/>
    </w:pPr>
    <w:rPr>
      <w:rFonts w:ascii="ＭＳ 明朝" w:eastAsia="ＭＳ 明朝" w:hAnsi="ＭＳ 明朝" w:cs="ＭＳ 明朝"/>
    </w:rPr>
  </w:style>
  <w:style w:type="paragraph" w:customStyle="1" w:styleId="enf4">
    <w:name w:val="項（en）"/>
    <w:basedOn w:val="jaf4"/>
    <w:rsid w:val="003F49D2"/>
    <w:rPr>
      <w:rFonts w:ascii="Century" w:eastAsia="Century" w:hAnsi="Century" w:cs="Century"/>
    </w:rPr>
  </w:style>
  <w:style w:type="paragraph" w:customStyle="1" w:styleId="jaf5">
    <w:name w:val="項　番号なし（ja）"/>
    <w:basedOn w:val="a"/>
    <w:rsid w:val="003F49D2"/>
    <w:pPr>
      <w:widowControl w:val="0"/>
      <w:ind w:firstLine="221"/>
    </w:pPr>
    <w:rPr>
      <w:rFonts w:ascii="ＭＳ 明朝" w:eastAsia="ＭＳ 明朝" w:hAnsi="ＭＳ 明朝" w:cs="ＭＳ 明朝"/>
    </w:rPr>
  </w:style>
  <w:style w:type="paragraph" w:customStyle="1" w:styleId="enf5">
    <w:name w:val="項　番号なし（en）"/>
    <w:basedOn w:val="jaf5"/>
    <w:rsid w:val="003F49D2"/>
    <w:rPr>
      <w:rFonts w:ascii="Century" w:eastAsia="Century" w:hAnsi="Century" w:cs="Century"/>
    </w:rPr>
  </w:style>
  <w:style w:type="paragraph" w:customStyle="1" w:styleId="jaf6">
    <w:name w:val="号（ja）"/>
    <w:basedOn w:val="a"/>
    <w:rsid w:val="003F49D2"/>
    <w:pPr>
      <w:widowControl w:val="0"/>
      <w:ind w:left="439" w:hanging="219"/>
    </w:pPr>
    <w:rPr>
      <w:rFonts w:ascii="ＭＳ 明朝" w:eastAsia="ＭＳ 明朝" w:hAnsi="ＭＳ 明朝" w:cs="ＭＳ 明朝"/>
    </w:rPr>
  </w:style>
  <w:style w:type="paragraph" w:customStyle="1" w:styleId="enf6">
    <w:name w:val="号（en）"/>
    <w:basedOn w:val="jaf6"/>
    <w:rsid w:val="003F49D2"/>
    <w:rPr>
      <w:rFonts w:ascii="Century" w:eastAsia="Century" w:hAnsi="Century" w:cs="Century"/>
    </w:rPr>
  </w:style>
  <w:style w:type="paragraph" w:customStyle="1" w:styleId="jaf7">
    <w:name w:val="号　番号なし（ja）"/>
    <w:basedOn w:val="a"/>
    <w:rsid w:val="003F49D2"/>
    <w:pPr>
      <w:widowControl w:val="0"/>
      <w:ind w:left="221" w:firstLine="221"/>
    </w:pPr>
    <w:rPr>
      <w:rFonts w:ascii="ＭＳ 明朝" w:eastAsia="ＭＳ 明朝" w:hAnsi="ＭＳ 明朝" w:cs="ＭＳ 明朝"/>
    </w:rPr>
  </w:style>
  <w:style w:type="paragraph" w:customStyle="1" w:styleId="enf7">
    <w:name w:val="号　番号なし（en）"/>
    <w:basedOn w:val="jaf7"/>
    <w:rsid w:val="003F49D2"/>
    <w:rPr>
      <w:rFonts w:ascii="Century" w:eastAsia="Century" w:hAnsi="Century" w:cs="Century"/>
    </w:rPr>
  </w:style>
  <w:style w:type="paragraph" w:customStyle="1" w:styleId="jaf8">
    <w:name w:val="備考号（ja）"/>
    <w:basedOn w:val="a"/>
    <w:rsid w:val="003F49D2"/>
    <w:pPr>
      <w:widowControl w:val="0"/>
      <w:ind w:left="659" w:hanging="219"/>
    </w:pPr>
    <w:rPr>
      <w:rFonts w:ascii="ＭＳ 明朝" w:eastAsia="ＭＳ 明朝" w:hAnsi="ＭＳ 明朝" w:cs="ＭＳ 明朝"/>
    </w:rPr>
  </w:style>
  <w:style w:type="paragraph" w:customStyle="1" w:styleId="enf8">
    <w:name w:val="備考号（en）"/>
    <w:basedOn w:val="jaf8"/>
    <w:rsid w:val="003F49D2"/>
    <w:rPr>
      <w:rFonts w:ascii="Century" w:eastAsia="Century" w:hAnsi="Century" w:cs="Century"/>
    </w:rPr>
  </w:style>
  <w:style w:type="paragraph" w:customStyle="1" w:styleId="jaf9">
    <w:name w:val="号細分（ja）"/>
    <w:basedOn w:val="a"/>
    <w:rsid w:val="003F49D2"/>
    <w:pPr>
      <w:widowControl w:val="0"/>
      <w:ind w:left="659" w:hanging="219"/>
    </w:pPr>
    <w:rPr>
      <w:rFonts w:ascii="ＭＳ 明朝" w:eastAsia="ＭＳ 明朝" w:hAnsi="ＭＳ 明朝" w:cs="ＭＳ 明朝"/>
    </w:rPr>
  </w:style>
  <w:style w:type="paragraph" w:customStyle="1" w:styleId="enf9">
    <w:name w:val="号細分（en）"/>
    <w:basedOn w:val="jaf9"/>
    <w:rsid w:val="003F49D2"/>
    <w:rPr>
      <w:rFonts w:ascii="Century" w:eastAsia="Century" w:hAnsi="Century" w:cs="Century"/>
    </w:rPr>
  </w:style>
  <w:style w:type="paragraph" w:customStyle="1" w:styleId="jafa">
    <w:name w:val="号細分　番号なし（ja）"/>
    <w:basedOn w:val="a"/>
    <w:rsid w:val="003F49D2"/>
    <w:pPr>
      <w:widowControl w:val="0"/>
      <w:ind w:left="439"/>
    </w:pPr>
    <w:rPr>
      <w:rFonts w:ascii="ＭＳ 明朝" w:eastAsia="ＭＳ 明朝" w:hAnsi="ＭＳ 明朝" w:cs="ＭＳ 明朝"/>
    </w:rPr>
  </w:style>
  <w:style w:type="paragraph" w:customStyle="1" w:styleId="enfa">
    <w:name w:val="号細分　番号なし（en）"/>
    <w:basedOn w:val="jafa"/>
    <w:rsid w:val="003F49D2"/>
    <w:rPr>
      <w:rFonts w:ascii="Century" w:eastAsia="Century" w:hAnsi="Century" w:cs="Century"/>
    </w:rPr>
  </w:style>
  <w:style w:type="paragraph" w:customStyle="1" w:styleId="jafb">
    <w:name w:val="備考号細分（ja）"/>
    <w:basedOn w:val="a"/>
    <w:rsid w:val="003F49D2"/>
    <w:pPr>
      <w:widowControl w:val="0"/>
      <w:ind w:left="1099" w:hanging="439"/>
    </w:pPr>
    <w:rPr>
      <w:rFonts w:ascii="ＭＳ 明朝" w:eastAsia="ＭＳ 明朝" w:hAnsi="ＭＳ 明朝" w:cs="ＭＳ 明朝"/>
    </w:rPr>
  </w:style>
  <w:style w:type="paragraph" w:customStyle="1" w:styleId="enfb">
    <w:name w:val="備考号細分（en）"/>
    <w:basedOn w:val="jafb"/>
    <w:rsid w:val="003F49D2"/>
    <w:rPr>
      <w:rFonts w:ascii="Century" w:eastAsia="Century" w:hAnsi="Century" w:cs="Century"/>
    </w:rPr>
  </w:style>
  <w:style w:type="paragraph" w:customStyle="1" w:styleId="jafc">
    <w:name w:val="号細細分（ja）"/>
    <w:basedOn w:val="a"/>
    <w:rsid w:val="003F49D2"/>
    <w:pPr>
      <w:widowControl w:val="0"/>
      <w:ind w:left="1099" w:hanging="439"/>
    </w:pPr>
    <w:rPr>
      <w:rFonts w:ascii="ＭＳ 明朝" w:eastAsia="ＭＳ 明朝" w:hAnsi="ＭＳ 明朝" w:cs="ＭＳ 明朝"/>
    </w:rPr>
  </w:style>
  <w:style w:type="paragraph" w:customStyle="1" w:styleId="enfc">
    <w:name w:val="号細細分（en）"/>
    <w:basedOn w:val="jafc"/>
    <w:rsid w:val="003F49D2"/>
    <w:rPr>
      <w:rFonts w:ascii="Century" w:eastAsia="Century" w:hAnsi="Century" w:cs="Century"/>
    </w:rPr>
  </w:style>
  <w:style w:type="paragraph" w:customStyle="1" w:styleId="jafd">
    <w:name w:val="号細細分　番号なし（ja）"/>
    <w:basedOn w:val="a"/>
    <w:rsid w:val="003F49D2"/>
    <w:pPr>
      <w:widowControl w:val="0"/>
      <w:ind w:left="659"/>
    </w:pPr>
    <w:rPr>
      <w:rFonts w:ascii="ＭＳ 明朝" w:eastAsia="ＭＳ 明朝" w:hAnsi="ＭＳ 明朝" w:cs="ＭＳ 明朝"/>
    </w:rPr>
  </w:style>
  <w:style w:type="paragraph" w:customStyle="1" w:styleId="enfd">
    <w:name w:val="号細細分　番号なし（en）"/>
    <w:basedOn w:val="jafd"/>
    <w:rsid w:val="003F49D2"/>
    <w:rPr>
      <w:rFonts w:ascii="Century" w:eastAsia="Century" w:hAnsi="Century" w:cs="Century"/>
    </w:rPr>
  </w:style>
  <w:style w:type="paragraph" w:customStyle="1" w:styleId="jafe">
    <w:name w:val="備考号細細分（ja）"/>
    <w:basedOn w:val="a"/>
    <w:rsid w:val="003F49D2"/>
    <w:pPr>
      <w:widowControl w:val="0"/>
      <w:ind w:left="1319" w:hanging="439"/>
    </w:pPr>
    <w:rPr>
      <w:rFonts w:ascii="ＭＳ 明朝" w:eastAsia="ＭＳ 明朝" w:hAnsi="ＭＳ 明朝" w:cs="ＭＳ 明朝"/>
    </w:rPr>
  </w:style>
  <w:style w:type="paragraph" w:customStyle="1" w:styleId="enfe">
    <w:name w:val="備考号細細分（en）"/>
    <w:basedOn w:val="jafe"/>
    <w:rsid w:val="003F49D2"/>
    <w:rPr>
      <w:rFonts w:ascii="Century" w:eastAsia="Century" w:hAnsi="Century" w:cs="Century"/>
    </w:rPr>
  </w:style>
  <w:style w:type="paragraph" w:customStyle="1" w:styleId="jaff">
    <w:name w:val="号細細細分（ja）"/>
    <w:basedOn w:val="a"/>
    <w:rsid w:val="003F49D2"/>
    <w:pPr>
      <w:widowControl w:val="0"/>
      <w:ind w:left="1319" w:hanging="439"/>
    </w:pPr>
    <w:rPr>
      <w:rFonts w:ascii="ＭＳ 明朝" w:eastAsia="ＭＳ 明朝" w:hAnsi="ＭＳ 明朝" w:cs="ＭＳ 明朝"/>
    </w:rPr>
  </w:style>
  <w:style w:type="paragraph" w:customStyle="1" w:styleId="enff">
    <w:name w:val="号細細細分（en）"/>
    <w:basedOn w:val="jaff"/>
    <w:rsid w:val="003F49D2"/>
    <w:rPr>
      <w:rFonts w:ascii="Century" w:eastAsia="Century" w:hAnsi="Century" w:cs="Century"/>
    </w:rPr>
  </w:style>
  <w:style w:type="paragraph" w:customStyle="1" w:styleId="jaff0">
    <w:name w:val="号細細細分　番号なし（ja）"/>
    <w:basedOn w:val="a"/>
    <w:rsid w:val="003F49D2"/>
    <w:pPr>
      <w:widowControl w:val="0"/>
      <w:ind w:left="879"/>
    </w:pPr>
    <w:rPr>
      <w:rFonts w:ascii="ＭＳ 明朝" w:eastAsia="ＭＳ 明朝" w:hAnsi="ＭＳ 明朝" w:cs="ＭＳ 明朝"/>
    </w:rPr>
  </w:style>
  <w:style w:type="paragraph" w:customStyle="1" w:styleId="enff0">
    <w:name w:val="号細細細分　番号なし（en）"/>
    <w:basedOn w:val="jaff0"/>
    <w:rsid w:val="003F49D2"/>
    <w:rPr>
      <w:rFonts w:ascii="Century" w:eastAsia="Century" w:hAnsi="Century" w:cs="Century"/>
    </w:rPr>
  </w:style>
  <w:style w:type="paragraph" w:customStyle="1" w:styleId="jaff1">
    <w:name w:val="備考号細細細分（ja）"/>
    <w:basedOn w:val="a"/>
    <w:rsid w:val="003F49D2"/>
    <w:pPr>
      <w:widowControl w:val="0"/>
      <w:ind w:left="1539" w:hanging="439"/>
    </w:pPr>
    <w:rPr>
      <w:rFonts w:ascii="ＭＳ 明朝" w:eastAsia="ＭＳ 明朝" w:hAnsi="ＭＳ 明朝" w:cs="ＭＳ 明朝"/>
    </w:rPr>
  </w:style>
  <w:style w:type="paragraph" w:customStyle="1" w:styleId="enff1">
    <w:name w:val="備考号細細細分（en）"/>
    <w:basedOn w:val="jaff1"/>
    <w:rsid w:val="003F49D2"/>
    <w:rPr>
      <w:rFonts w:ascii="Century" w:eastAsia="Century" w:hAnsi="Century" w:cs="Century"/>
    </w:rPr>
  </w:style>
  <w:style w:type="paragraph" w:customStyle="1" w:styleId="jaff2">
    <w:name w:val="類（ja）"/>
    <w:basedOn w:val="a"/>
    <w:rsid w:val="003F49D2"/>
    <w:pPr>
      <w:widowControl w:val="0"/>
      <w:ind w:left="439" w:hanging="219"/>
    </w:pPr>
    <w:rPr>
      <w:rFonts w:ascii="ＭＳ 明朝" w:eastAsia="ＭＳ 明朝" w:hAnsi="ＭＳ 明朝" w:cs="ＭＳ 明朝"/>
    </w:rPr>
  </w:style>
  <w:style w:type="paragraph" w:customStyle="1" w:styleId="enff2">
    <w:name w:val="類（en）"/>
    <w:basedOn w:val="jaff2"/>
    <w:rsid w:val="003F49D2"/>
    <w:rPr>
      <w:rFonts w:ascii="Century" w:eastAsia="Century" w:hAnsi="Century" w:cs="Century"/>
    </w:rPr>
  </w:style>
  <w:style w:type="paragraph" w:customStyle="1" w:styleId="jaff3">
    <w:name w:val="公布文（ja）"/>
    <w:basedOn w:val="a"/>
    <w:rsid w:val="003F49D2"/>
    <w:pPr>
      <w:widowControl w:val="0"/>
      <w:ind w:firstLine="219"/>
    </w:pPr>
    <w:rPr>
      <w:rFonts w:ascii="ＭＳ 明朝" w:eastAsia="ＭＳ 明朝" w:hAnsi="ＭＳ 明朝" w:cs="ＭＳ 明朝"/>
    </w:rPr>
  </w:style>
  <w:style w:type="paragraph" w:customStyle="1" w:styleId="enff3">
    <w:name w:val="公布文（en）"/>
    <w:basedOn w:val="jaff3"/>
    <w:rsid w:val="003F49D2"/>
    <w:rPr>
      <w:rFonts w:ascii="Century" w:eastAsia="Century" w:hAnsi="Century" w:cs="Century"/>
    </w:rPr>
  </w:style>
  <w:style w:type="paragraph" w:customStyle="1" w:styleId="jaen">
    <w:name w:val="表（ja：en）"/>
    <w:basedOn w:val="a"/>
    <w:rsid w:val="003F49D2"/>
    <w:pPr>
      <w:widowControl w:val="0"/>
      <w:snapToGrid w:val="0"/>
    </w:pPr>
    <w:rPr>
      <w:rFonts w:ascii="Century" w:eastAsia="ＭＳ 明朝" w:hAnsi="Century"/>
    </w:rPr>
  </w:style>
  <w:style w:type="paragraph" w:customStyle="1" w:styleId="jaff4">
    <w:name w:val="備考（ja）"/>
    <w:basedOn w:val="a"/>
    <w:rsid w:val="003F49D2"/>
    <w:pPr>
      <w:widowControl w:val="0"/>
      <w:ind w:left="439" w:hanging="219"/>
    </w:pPr>
    <w:rPr>
      <w:rFonts w:ascii="ＭＳ 明朝" w:eastAsia="ＭＳ 明朝" w:hAnsi="ＭＳ 明朝" w:cs="ＭＳ 明朝"/>
    </w:rPr>
  </w:style>
  <w:style w:type="paragraph" w:customStyle="1" w:styleId="enff4">
    <w:name w:val="備考（en）"/>
    <w:basedOn w:val="jaff4"/>
    <w:rsid w:val="003F49D2"/>
    <w:rPr>
      <w:rFonts w:ascii="Century" w:eastAsia="Century" w:hAnsi="Century" w:cs="Century"/>
    </w:rPr>
  </w:style>
  <w:style w:type="paragraph" w:customStyle="1" w:styleId="jaff5">
    <w:name w:val="表タイトル（ja）"/>
    <w:basedOn w:val="a"/>
    <w:rsid w:val="003F49D2"/>
    <w:pPr>
      <w:widowControl w:val="0"/>
      <w:ind w:left="219"/>
    </w:pPr>
    <w:rPr>
      <w:rFonts w:ascii="ＭＳ 明朝" w:eastAsia="ＭＳ 明朝" w:hAnsi="ＭＳ 明朝" w:cs="ＭＳ 明朝"/>
    </w:rPr>
  </w:style>
  <w:style w:type="paragraph" w:customStyle="1" w:styleId="enff5">
    <w:name w:val="表タイトル（en）"/>
    <w:basedOn w:val="jaff5"/>
    <w:rsid w:val="003F49D2"/>
    <w:rPr>
      <w:rFonts w:ascii="Century" w:eastAsia="Century" w:hAnsi="Century" w:cs="Century"/>
    </w:rPr>
  </w:style>
  <w:style w:type="paragraph" w:customStyle="1" w:styleId="jaff6">
    <w:name w:val="改正規定文（ja）"/>
    <w:basedOn w:val="a"/>
    <w:rsid w:val="003F49D2"/>
    <w:pPr>
      <w:widowControl w:val="0"/>
      <w:ind w:left="219" w:firstLine="219"/>
    </w:pPr>
    <w:rPr>
      <w:rFonts w:ascii="ＭＳ 明朝" w:eastAsia="ＭＳ 明朝" w:hAnsi="ＭＳ 明朝" w:cs="ＭＳ 明朝"/>
    </w:rPr>
  </w:style>
  <w:style w:type="paragraph" w:customStyle="1" w:styleId="enff6">
    <w:name w:val="改正規定文（en）"/>
    <w:basedOn w:val="jaff6"/>
    <w:rsid w:val="003F49D2"/>
    <w:rPr>
      <w:rFonts w:ascii="Century" w:eastAsia="Century" w:hAnsi="Century" w:cs="Century"/>
    </w:rPr>
  </w:style>
  <w:style w:type="paragraph" w:customStyle="1" w:styleId="jaff7">
    <w:name w:val="付記（ja）"/>
    <w:basedOn w:val="a"/>
    <w:rsid w:val="003F49D2"/>
    <w:pPr>
      <w:widowControl w:val="0"/>
      <w:ind w:left="219" w:firstLine="219"/>
    </w:pPr>
    <w:rPr>
      <w:rFonts w:ascii="ＭＳ 明朝" w:eastAsia="ＭＳ 明朝" w:hAnsi="ＭＳ 明朝" w:cs="ＭＳ 明朝"/>
    </w:rPr>
  </w:style>
  <w:style w:type="paragraph" w:customStyle="1" w:styleId="enff7">
    <w:name w:val="付記（en）"/>
    <w:basedOn w:val="jaff7"/>
    <w:rsid w:val="003F49D2"/>
    <w:rPr>
      <w:rFonts w:ascii="Century" w:eastAsia="Century" w:hAnsi="Century" w:cs="Century"/>
    </w:rPr>
  </w:style>
  <w:style w:type="paragraph" w:customStyle="1" w:styleId="jaff8">
    <w:name w:val="様式名（ja）"/>
    <w:basedOn w:val="a"/>
    <w:rsid w:val="003F49D2"/>
    <w:pPr>
      <w:widowControl w:val="0"/>
      <w:ind w:left="439" w:hanging="219"/>
    </w:pPr>
    <w:rPr>
      <w:rFonts w:ascii="ＭＳ 明朝" w:eastAsia="ＭＳ 明朝" w:hAnsi="ＭＳ 明朝" w:cs="ＭＳ 明朝"/>
    </w:rPr>
  </w:style>
  <w:style w:type="paragraph" w:customStyle="1" w:styleId="enff8">
    <w:name w:val="様式名（en）"/>
    <w:basedOn w:val="jaff8"/>
    <w:rsid w:val="003F49D2"/>
    <w:rPr>
      <w:rFonts w:ascii="Century" w:eastAsia="Century" w:hAnsi="Century" w:cs="Century"/>
    </w:rPr>
  </w:style>
  <w:style w:type="paragraph" w:customStyle="1" w:styleId="jaff9">
    <w:name w:val="様式項目（ja）"/>
    <w:basedOn w:val="a"/>
    <w:rsid w:val="003F49D2"/>
    <w:pPr>
      <w:widowControl w:val="0"/>
      <w:ind w:left="221" w:firstLine="221"/>
    </w:pPr>
    <w:rPr>
      <w:rFonts w:ascii="ＭＳ 明朝" w:eastAsia="ＭＳ 明朝" w:hAnsi="ＭＳ 明朝" w:cs="ＭＳ 明朝"/>
    </w:rPr>
  </w:style>
  <w:style w:type="paragraph" w:customStyle="1" w:styleId="enff9">
    <w:name w:val="様式項目（en）"/>
    <w:basedOn w:val="jaff9"/>
    <w:rsid w:val="003F49D2"/>
    <w:rPr>
      <w:rFonts w:ascii="Century" w:eastAsia="Century" w:hAnsi="Century" w:cs="Century"/>
    </w:rPr>
  </w:style>
  <w:style w:type="table" w:customStyle="1" w:styleId="1">
    <w:name w:val="表1"/>
    <w:rsid w:val="003F49D2"/>
    <w:tblPr>
      <w:tblInd w:w="340" w:type="dxa"/>
      <w:tblCellMar>
        <w:top w:w="0" w:type="dxa"/>
        <w:left w:w="0" w:type="dxa"/>
        <w:bottom w:w="0" w:type="dxa"/>
        <w:right w:w="0" w:type="dxa"/>
      </w:tblCellMar>
    </w:tblPr>
  </w:style>
  <w:style w:type="numbering" w:customStyle="1" w:styleId="WW8Num1">
    <w:name w:val="WW8Num1"/>
    <w:rsid w:val="003F49D2"/>
    <w:pPr>
      <w:numPr>
        <w:numId w:val="2"/>
      </w:numPr>
    </w:pPr>
  </w:style>
  <w:style w:type="numbering" w:customStyle="1" w:styleId="WW8Num2">
    <w:name w:val="WW8Num2"/>
    <w:rsid w:val="003F49D2"/>
    <w:pPr>
      <w:numPr>
        <w:numId w:val="3"/>
      </w:numPr>
    </w:pPr>
  </w:style>
  <w:style w:type="numbering" w:customStyle="1" w:styleId="WW8Num3">
    <w:name w:val="WW8Num3"/>
    <w:rsid w:val="003F49D2"/>
    <w:pPr>
      <w:numPr>
        <w:numId w:val="4"/>
      </w:numPr>
    </w:pPr>
  </w:style>
  <w:style w:type="numbering" w:customStyle="1" w:styleId="WW8Num4">
    <w:name w:val="WW8Num4"/>
    <w:rsid w:val="003F49D2"/>
    <w:pPr>
      <w:numPr>
        <w:numId w:val="5"/>
      </w:numPr>
    </w:pPr>
  </w:style>
  <w:style w:type="numbering" w:customStyle="1" w:styleId="WW8Num5">
    <w:name w:val="WW8Num5"/>
    <w:rsid w:val="003F49D2"/>
    <w:pPr>
      <w:numPr>
        <w:numId w:val="6"/>
      </w:numPr>
    </w:pPr>
  </w:style>
  <w:style w:type="numbering" w:customStyle="1" w:styleId="WW8Num6">
    <w:name w:val="WW8Num6"/>
    <w:rsid w:val="003F49D2"/>
    <w:pPr>
      <w:numPr>
        <w:numId w:val="7"/>
      </w:numPr>
    </w:pPr>
  </w:style>
  <w:style w:type="numbering" w:customStyle="1" w:styleId="WW8Num7">
    <w:name w:val="WW8Num7"/>
    <w:rsid w:val="003F49D2"/>
    <w:pPr>
      <w:numPr>
        <w:numId w:val="8"/>
      </w:numPr>
    </w:pPr>
  </w:style>
  <w:style w:type="numbering" w:customStyle="1" w:styleId="WW8Num8">
    <w:name w:val="WW8Num8"/>
    <w:rsid w:val="003F49D2"/>
    <w:pPr>
      <w:numPr>
        <w:numId w:val="9"/>
      </w:numPr>
    </w:pPr>
  </w:style>
  <w:style w:type="numbering" w:customStyle="1" w:styleId="WW8Num9">
    <w:name w:val="WW8Num9"/>
    <w:rsid w:val="003F49D2"/>
    <w:pPr>
      <w:numPr>
        <w:numId w:val="10"/>
      </w:numPr>
    </w:pPr>
  </w:style>
  <w:style w:type="numbering" w:customStyle="1" w:styleId="WW8Num10">
    <w:name w:val="WW8Num10"/>
    <w:rsid w:val="003F49D2"/>
    <w:pPr>
      <w:numPr>
        <w:numId w:val="11"/>
      </w:numPr>
    </w:pPr>
  </w:style>
  <w:style w:type="numbering" w:customStyle="1" w:styleId="WW8Num11">
    <w:name w:val="WW8Num11"/>
    <w:rsid w:val="003F49D2"/>
    <w:pPr>
      <w:numPr>
        <w:numId w:val="12"/>
      </w:numPr>
    </w:pPr>
  </w:style>
  <w:style w:type="numbering" w:customStyle="1" w:styleId="WW8Num12">
    <w:name w:val="WW8Num12"/>
    <w:rsid w:val="003F49D2"/>
    <w:pPr>
      <w:numPr>
        <w:numId w:val="13"/>
      </w:numPr>
    </w:pPr>
  </w:style>
  <w:style w:type="paragraph" w:styleId="a4">
    <w:name w:val="header"/>
    <w:basedOn w:val="a"/>
    <w:link w:val="a5"/>
    <w:uiPriority w:val="99"/>
    <w:unhideWhenUsed/>
    <w:rsid w:val="00FC47F9"/>
    <w:pPr>
      <w:tabs>
        <w:tab w:val="center" w:pos="4252"/>
        <w:tab w:val="right" w:pos="8504"/>
      </w:tabs>
      <w:snapToGrid w:val="0"/>
    </w:pPr>
  </w:style>
  <w:style w:type="character" w:customStyle="1" w:styleId="a5">
    <w:name w:val="ヘッダー (文字)"/>
    <w:basedOn w:val="a0"/>
    <w:link w:val="a4"/>
    <w:uiPriority w:val="99"/>
    <w:rsid w:val="00FC47F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2022-01-04T06:55:00Z</dcterms:created>
  <dcterms:modified xsi:type="dcterms:W3CDTF">2022-01-04T06:55:00Z</dcterms:modified>
</cp:coreProperties>
</file>