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BE1F7" w14:textId="77777777" w:rsidR="002D181F" w:rsidRDefault="005216AD">
      <w:pPr>
        <w:pStyle w:val="en"/>
      </w:pPr>
      <w:r>
        <w:t>Regulation for Enforcement of the Act on Protection of Names of Specific Agricultural, Forestry and Fishery Products and Foodstuffs</w:t>
      </w:r>
    </w:p>
    <w:p w14:paraId="3BB871F5" w14:textId="77777777" w:rsidR="002D181F" w:rsidRDefault="002D181F"/>
    <w:p w14:paraId="2DF8AACF" w14:textId="77777777" w:rsidR="002D181F" w:rsidRDefault="005216AD">
      <w:pPr>
        <w:pStyle w:val="enf"/>
      </w:pPr>
      <w:r>
        <w:t>(Order of the Ministry of Agriculture, Forestry and Fisheries No. 58 of May 29, 2015)</w:t>
      </w:r>
    </w:p>
    <w:p w14:paraId="37BD82C5" w14:textId="77777777" w:rsidR="002D181F" w:rsidRDefault="002D181F"/>
    <w:p w14:paraId="7C4E828D" w14:textId="77777777" w:rsidR="002D181F" w:rsidRDefault="005216AD">
      <w:pPr>
        <w:pStyle w:val="ena"/>
      </w:pPr>
      <w:r>
        <w:t>(Group of Producers)</w:t>
      </w:r>
    </w:p>
    <w:p w14:paraId="6AF343E5" w14:textId="77777777" w:rsidR="002D181F" w:rsidRDefault="005216AD">
      <w:pPr>
        <w:pStyle w:val="enf3"/>
      </w:pPr>
      <w:r>
        <w:t>Article 1  The group provided by Order of the Ministry of Agriculture, Forestry and Fisheries, referred to in Article 2, paragraph (5) of the Act on Protection of Names of Specific Agricultural, Forestry and Fishery Products and Foodstuffs (hereinafter referred to as the "Act"), is to be a group that meets the following requirements:</w:t>
      </w:r>
    </w:p>
    <w:p w14:paraId="11809EF5" w14:textId="77777777" w:rsidR="002D181F" w:rsidRDefault="005216AD">
      <w:pPr>
        <w:pStyle w:val="enf6"/>
      </w:pPr>
      <w:r>
        <w:t>(i) a group comprised of producers as direct or indirect members (for an organization without legal personality, limited to those which provide for a representative or administrator and those which provide to the effect that the group may not deny enrollment to any person eligible to become a member nor impose any conditions on enrollment more stringent than those imposed on existing members without a just cause, based on laws or regulations or articles of incorporation or other basic contract provisions); and</w:t>
      </w:r>
    </w:p>
    <w:p w14:paraId="0E5ECCBD" w14:textId="77777777" w:rsidR="002D181F" w:rsidRDefault="005216AD">
      <w:pPr>
        <w:pStyle w:val="enf6"/>
      </w:pPr>
      <w:r>
        <w:t>(ii) if a group falls under a case provided in items of Article 21 (limited to a case where the group is of a foreign country) and the Minister of Agriculture, Forestry and Fisheries orders the group to change the specifications or the production process management rules, and to take any necessary measures, a group that complies with that order.</w:t>
      </w:r>
    </w:p>
    <w:p w14:paraId="65E116D2" w14:textId="77777777" w:rsidR="002D181F" w:rsidRDefault="002D181F"/>
    <w:p w14:paraId="07355DEB" w14:textId="77777777" w:rsidR="002D181F" w:rsidRDefault="005216AD">
      <w:pPr>
        <w:pStyle w:val="ena"/>
      </w:pPr>
      <w:r>
        <w:t>(Indication Similar to Geographical Indication Affixed to Specific Agricultural, Forestry and Fishery Products and Foodstuffs for Registration)</w:t>
      </w:r>
    </w:p>
    <w:p w14:paraId="2560BBDE" w14:textId="77777777" w:rsidR="002D181F" w:rsidRDefault="005216AD">
      <w:pPr>
        <w:pStyle w:val="enf3"/>
      </w:pPr>
      <w:r>
        <w:t>Article 2  An indication similar to a geographical indication provided in Article 3, paragraphs (2) and (3) of the Act pertaining to Specific Agricultural, Forestry and Fishery Products and Foodstuffs (hereinafter referred to as "SAFFPF") for registration in Article 6 of the Act (hereinafter simply referred to as "registration"; except in the following Article, item (i); Article 6, paragraph (2), item (ii), (e); Article 15, item (i); Article 17; and Article 18, paragraph (2)) is to include the indications set forth below (excluding indications under treaties and other international agreements in Article 23, paragraph (1), item (i) of the Act):</w:t>
      </w:r>
    </w:p>
    <w:p w14:paraId="0B13EFAB" w14:textId="77777777" w:rsidR="002D181F" w:rsidRDefault="005216AD">
      <w:pPr>
        <w:pStyle w:val="enf6"/>
      </w:pPr>
      <w:r>
        <w:t xml:space="preserve">(i) geographical indications related to SAFFPF pertaining to the registration accompanied by indications of the place of production of agricultural, forestry </w:t>
      </w:r>
      <w:r>
        <w:lastRenderedPageBreak/>
        <w:t>and fishery products and foodstuffs other than the SAFFPF concerned;</w:t>
      </w:r>
    </w:p>
    <w:p w14:paraId="16DE398E" w14:textId="77777777" w:rsidR="002D181F" w:rsidRDefault="005216AD">
      <w:pPr>
        <w:pStyle w:val="enf6"/>
      </w:pPr>
      <w:r>
        <w:t>(ii) indications accompanied by expressions such as kind, type or style, references to it being an imitation, or similar indications of the like concerning the relevant SAFFPF; or</w:t>
      </w:r>
    </w:p>
    <w:p w14:paraId="6652CC88" w14:textId="77777777" w:rsidR="002D181F" w:rsidRDefault="005216AD">
      <w:pPr>
        <w:pStyle w:val="enf6"/>
      </w:pPr>
      <w:r>
        <w:t>(iii) indications of the translation of geographical indications related to the SAFFPF pertaining to the registration.</w:t>
      </w:r>
    </w:p>
    <w:p w14:paraId="117D7658" w14:textId="77777777" w:rsidR="002D181F" w:rsidRDefault="002D181F"/>
    <w:p w14:paraId="1531C7E4" w14:textId="77777777" w:rsidR="002D181F" w:rsidRDefault="005216AD">
      <w:pPr>
        <w:pStyle w:val="ena"/>
      </w:pPr>
      <w:r>
        <w:t>(Cases Provided by Order of the Ministry of Agriculture, Forestry and Fisheries in Article 3, Paragraph (2), Item (v) of the Act)</w:t>
      </w:r>
    </w:p>
    <w:p w14:paraId="31CE38F7" w14:textId="77777777" w:rsidR="002D181F" w:rsidRDefault="005216AD">
      <w:pPr>
        <w:pStyle w:val="enf3"/>
      </w:pPr>
      <w:r>
        <w:t>Article 3  Cases provided by Order of the Ministry of Agriculture, Forestry and Fisheries in Article 3, paragraph (2), item (v) of the Act are set forth below:</w:t>
      </w:r>
    </w:p>
    <w:p w14:paraId="4F6C2BFA" w14:textId="77777777" w:rsidR="002D181F" w:rsidRDefault="005216AD">
      <w:pPr>
        <w:pStyle w:val="enf6"/>
      </w:pPr>
      <w:r>
        <w:t>(i) cases where, from before the date of registration in Article 6 of the Act (if a registration of change provided in Article 16, paragraph (1) of the Act for information provided in Article 7, paragraph (1), item (iii) of the Act is made, the date of registration of change), without the purpose for obtaining a wrongful gain, the purpose of causing damage to others, or any other wrongful purpose (referred to as " wrongful purpose" in the following item), a person that has affixed an indication with the identical name as the geographical indication pertaining to the SAFFPF or an indication similar thereto on agricultural, forestry and fishery products and foodstuffs that have been produced or processed using agricultural, forestry and fishery products and foodstuffs which belong to the same classification as the SAFFPF as a main raw material or ingredient or on its package, etc., or a person that has assumed the business, continues to affix the indication on the agricultural, forestry and fishery products and foodstuffs or their package, etc.; or, where a person that has directly or indirectly acquired the relevant agricultural, forestry and fishery products and foodstuffs (limited to those that the indication is affixed on the product or its Package, etc.) from that person affixes the indication on the agricultural, forestry and fishery products and foodstuffs or its package, etc.;</w:t>
      </w:r>
    </w:p>
    <w:p w14:paraId="03E00445" w14:textId="77777777" w:rsidR="002D181F" w:rsidRDefault="005216AD">
      <w:pPr>
        <w:pStyle w:val="enf6"/>
      </w:pPr>
      <w:r>
        <w:t>(ii) cases where a person's name, well-known pseudonym, professional name, or pen name, or their well-known abbreviated name is indicated without wrongful purpose;</w:t>
      </w:r>
    </w:p>
    <w:p w14:paraId="44107480" w14:textId="77777777" w:rsidR="002D181F" w:rsidRDefault="005216AD">
      <w:pPr>
        <w:pStyle w:val="enf6"/>
      </w:pPr>
      <w:r>
        <w:t>(iii) cases where the name of the SAFFPF pertaining to registration includes a generic term, and the generic term that partially composes the name of the SAFFPF is indicated; and</w:t>
      </w:r>
    </w:p>
    <w:p w14:paraId="46523D7F" w14:textId="77777777" w:rsidR="002D181F" w:rsidRDefault="005216AD">
      <w:pPr>
        <w:pStyle w:val="enf6"/>
      </w:pPr>
      <w:r>
        <w:t xml:space="preserve">(iv) cases where a person that is entitled to affix a geographical indication on SAFFPF pertaining to a designation provided in Article 23, paragraph (1) under the equivalent system of a contracting state SAFFPF affixes a translated geographic indication of the SAFFPF on that SAFFPF or its package, etc., or where a person that has directly or indirectly acquired the </w:t>
      </w:r>
      <w:r>
        <w:lastRenderedPageBreak/>
        <w:t>SAFFPF from that person affixes the indication on the SAFFPF or its package, etc.</w:t>
      </w:r>
    </w:p>
    <w:p w14:paraId="5C0E19A9" w14:textId="77777777" w:rsidR="002D181F" w:rsidRDefault="002D181F"/>
    <w:p w14:paraId="23FB5125" w14:textId="77777777" w:rsidR="002D181F" w:rsidRDefault="005216AD">
      <w:pPr>
        <w:pStyle w:val="ena"/>
      </w:pPr>
      <w:r>
        <w:t>(Style of Registered Mark)</w:t>
      </w:r>
    </w:p>
    <w:p w14:paraId="7B64CFBB" w14:textId="77777777" w:rsidR="002D181F" w:rsidRDefault="005216AD">
      <w:pPr>
        <w:pStyle w:val="enf3"/>
      </w:pPr>
      <w:r>
        <w:t>Article 4  The mark provided by Order of the Ministry of Agriculture, Forestry and Fisheries referred to in Article 4, paragraph (1) of the Act must accord to the style described in the corresponding right-hand column of the Appended Table for each of the classifications of agricultural, forestry and fishery products and foodstuffs or the packages listed in the left-hand column of the table.</w:t>
      </w:r>
    </w:p>
    <w:p w14:paraId="65822A39" w14:textId="77777777" w:rsidR="002D181F" w:rsidRDefault="002D181F"/>
    <w:p w14:paraId="4D9ABF1F" w14:textId="77777777" w:rsidR="002D181F" w:rsidRDefault="005216AD">
      <w:pPr>
        <w:pStyle w:val="ena"/>
      </w:pPr>
      <w:r>
        <w:t>(Terms in Documents)</w:t>
      </w:r>
    </w:p>
    <w:p w14:paraId="44A2F01D" w14:textId="77777777" w:rsidR="002D181F" w:rsidRDefault="005216AD">
      <w:pPr>
        <w:pStyle w:val="enf3"/>
      </w:pPr>
      <w:r>
        <w:t>Article 5  (1) Documents regarding the application for registration must be written in Japanese, excluding the provisions of the following paragraph; provided, however, that foreign languages may be used for the name and address of a group of producers and the name of its representative (for a group without legal personality, a representative or administrator), as well as the name of agricultural, forestry and fishery products and foodstuffs.</w:t>
      </w:r>
    </w:p>
    <w:p w14:paraId="39E258EF" w14:textId="77777777" w:rsidR="002D181F" w:rsidRDefault="005216AD">
      <w:pPr>
        <w:pStyle w:val="enf4"/>
      </w:pPr>
      <w:r>
        <w:t>(2) Documents, including powers of attorney, that are written in a foreign language must be accompanied by their translations.</w:t>
      </w:r>
    </w:p>
    <w:p w14:paraId="3B7A9ED8" w14:textId="77777777" w:rsidR="002D181F" w:rsidRDefault="002D181F"/>
    <w:p w14:paraId="6A2C8C06" w14:textId="77777777" w:rsidR="002D181F" w:rsidRDefault="005216AD">
      <w:pPr>
        <w:pStyle w:val="ena"/>
      </w:pPr>
      <w:r>
        <w:t>(Contents of Application)</w:t>
      </w:r>
    </w:p>
    <w:p w14:paraId="4A04ADED" w14:textId="77777777" w:rsidR="002D181F" w:rsidRDefault="005216AD">
      <w:pPr>
        <w:pStyle w:val="enf3"/>
      </w:pPr>
      <w:r>
        <w:t>Article 6  (1) The necessary information to identify agricultural, forestry and fishery products and foodstuffs referred to in Article 7, paragraph (1), item (vii) of the Act are set forth below:</w:t>
      </w:r>
    </w:p>
    <w:p w14:paraId="30913E95" w14:textId="77777777" w:rsidR="002D181F" w:rsidRDefault="005216AD">
      <w:pPr>
        <w:pStyle w:val="enf6"/>
      </w:pPr>
      <w:r>
        <w:t>(i) ground for the characteristics of agricultural, forestry and fishery products and foodstuffs applied for registration to be essentially attributable to the place of production; and</w:t>
      </w:r>
    </w:p>
    <w:p w14:paraId="4F1A99AB" w14:textId="77777777" w:rsidR="002D181F" w:rsidRDefault="005216AD">
      <w:pPr>
        <w:pStyle w:val="enf6"/>
      </w:pPr>
      <w:r>
        <w:t>(ii) record of production of the agricultural, forestry and fishery products and foodstuffs applied for registration in the place of production.</w:t>
      </w:r>
    </w:p>
    <w:p w14:paraId="4A861029" w14:textId="77777777" w:rsidR="002D181F" w:rsidRDefault="005216AD">
      <w:pPr>
        <w:pStyle w:val="enf4"/>
      </w:pPr>
      <w:r>
        <w:t>(2) Matters provided by Order of the Ministry of Agriculture, Forestry and Fisheries referred to in Article 7, paragraph (1), item (viii) of the Act are set forth below:</w:t>
      </w:r>
    </w:p>
    <w:p w14:paraId="1426C2F9" w14:textId="77777777" w:rsidR="002D181F" w:rsidRDefault="005216AD">
      <w:pPr>
        <w:pStyle w:val="enf6"/>
      </w:pPr>
      <w:r>
        <w:t>(i) clarification as to whether the name of the agricultural, forestry and fishery products and foodstuffs applied for registration falls under Article 13, paragraph (1), item (iv), (b); and</w:t>
      </w:r>
    </w:p>
    <w:p w14:paraId="2E128846" w14:textId="77777777" w:rsidR="002D181F" w:rsidRDefault="005216AD">
      <w:pPr>
        <w:pStyle w:val="enf6"/>
      </w:pPr>
      <w:r>
        <w:t>(ii) when the name of the agricultural, forestry and fishery products and foodstuffs applied for registration falls under Article 13, paragraph (1), item (iv), (b), the following matters:</w:t>
      </w:r>
    </w:p>
    <w:p w14:paraId="1802B9A7" w14:textId="77777777" w:rsidR="002D181F" w:rsidRDefault="005216AD">
      <w:pPr>
        <w:pStyle w:val="enf9"/>
      </w:pPr>
      <w:r>
        <w:t xml:space="preserve">(a) the name of the holder of the registered trademark (meaning the registered trademark provided in Article 2, paragraph 5 of the Trademark </w:t>
      </w:r>
      <w:r>
        <w:lastRenderedPageBreak/>
        <w:t>Act (Act No. 127 of 1959); the same applies hereinafter in this item and in Article 18, paragraph (1));</w:t>
      </w:r>
    </w:p>
    <w:p w14:paraId="3B98F570" w14:textId="77777777" w:rsidR="002D181F" w:rsidRDefault="005216AD">
      <w:pPr>
        <w:pStyle w:val="enf9"/>
      </w:pPr>
      <w:r>
        <w:t>(b) registered trademark;</w:t>
      </w:r>
    </w:p>
    <w:p w14:paraId="760CA53F" w14:textId="77777777" w:rsidR="002D181F" w:rsidRDefault="005216AD">
      <w:pPr>
        <w:pStyle w:val="enf9"/>
      </w:pPr>
      <w:r>
        <w:t>(c) designated goods or designated services pertaining to registration of the trademark (meaning the designated goods or designated services specified pursuant to Article 6, paragraph (1) of the Trademark Act);</w:t>
      </w:r>
    </w:p>
    <w:p w14:paraId="5E2C60BD" w14:textId="77777777" w:rsidR="002D181F" w:rsidRDefault="005216AD">
      <w:pPr>
        <w:pStyle w:val="enf9"/>
      </w:pPr>
      <w:r>
        <w:t>(d) registration number of the registered trademark;</w:t>
      </w:r>
    </w:p>
    <w:p w14:paraId="6788206E" w14:textId="77777777" w:rsidR="002D181F" w:rsidRDefault="005216AD">
      <w:pPr>
        <w:pStyle w:val="enf9"/>
      </w:pPr>
      <w:r>
        <w:t>(e) registration date of the trademark right (or, if there has been a renewal of the relevant trademark right duration, the registration date of the trademark right and the registration of renewal of the duration);</w:t>
      </w:r>
    </w:p>
    <w:p w14:paraId="6C50F9C5" w14:textId="77777777" w:rsidR="002D181F" w:rsidRDefault="005216AD">
      <w:pPr>
        <w:pStyle w:val="enf9"/>
      </w:pPr>
      <w:r>
        <w:t>(f) if an exclusive right to use the trademark right has been established, the name or denomination of the exclusive licensee of the exclusive right to use the trademark; and</w:t>
      </w:r>
    </w:p>
    <w:p w14:paraId="798AE449" w14:textId="77777777" w:rsidR="002D181F" w:rsidRDefault="005216AD">
      <w:pPr>
        <w:pStyle w:val="enf9"/>
      </w:pPr>
      <w:r>
        <w:t>(g) if an approval from a trademark right holder or licensee of exclusive right to use is required for the registration, the approval date.</w:t>
      </w:r>
    </w:p>
    <w:p w14:paraId="6064D01C" w14:textId="77777777" w:rsidR="002D181F" w:rsidRDefault="005216AD">
      <w:pPr>
        <w:pStyle w:val="enf4"/>
      </w:pPr>
      <w:r>
        <w:t>(3) Matters provided by Order of the Ministry of Agriculture, Forestry and Fisheries referred to in Article 7, paragraph (1), item (ix) of the Act are to be the list of documents that must be attached to the application under the provisions of the same Article, paragraph (2).</w:t>
      </w:r>
    </w:p>
    <w:p w14:paraId="1690AB4D" w14:textId="77777777" w:rsidR="002D181F" w:rsidRDefault="005216AD">
      <w:pPr>
        <w:pStyle w:val="enf4"/>
      </w:pPr>
      <w:r>
        <w:t>(4) The application must be prepared pursuant to Appended Form 1.</w:t>
      </w:r>
    </w:p>
    <w:p w14:paraId="47085661" w14:textId="77777777" w:rsidR="002D181F" w:rsidRDefault="002D181F"/>
    <w:p w14:paraId="25E6A3ED" w14:textId="77777777" w:rsidR="002D181F" w:rsidRDefault="005216AD">
      <w:pPr>
        <w:pStyle w:val="ena"/>
      </w:pPr>
      <w:r>
        <w:t>(Documents to Be Attached to Application)</w:t>
      </w:r>
    </w:p>
    <w:p w14:paraId="1C2B8907" w14:textId="77777777" w:rsidR="002D181F" w:rsidRDefault="005216AD">
      <w:pPr>
        <w:pStyle w:val="enf3"/>
      </w:pPr>
      <w:r>
        <w:t>Article 7  Documents provided by Order of the Ministry of Agriculture, Forestry and Fisheries referred to in Article 7, paragraph (2), item (iii) of the Act are set forth below:</w:t>
      </w:r>
    </w:p>
    <w:p w14:paraId="4D34816C" w14:textId="77777777" w:rsidR="002D181F" w:rsidRDefault="005216AD">
      <w:pPr>
        <w:pStyle w:val="enf6"/>
      </w:pPr>
      <w:r>
        <w:t>(i) if the application is submitted by an agent, a certificate of the agent's authority;</w:t>
      </w:r>
    </w:p>
    <w:p w14:paraId="7255E8B1" w14:textId="77777777" w:rsidR="002D181F" w:rsidRDefault="005216AD">
      <w:pPr>
        <w:pStyle w:val="enf6"/>
      </w:pPr>
      <w:r>
        <w:t>(ii) certificate of registered matters, articles of incorporation, or other documents that prove that the applicant for registration is a group of producers as specified in Article 2, paragraph (5) of the Act;</w:t>
      </w:r>
    </w:p>
    <w:p w14:paraId="64CCD40C" w14:textId="77777777" w:rsidR="002D181F" w:rsidRDefault="005216AD">
      <w:pPr>
        <w:pStyle w:val="enf6"/>
      </w:pPr>
      <w:r>
        <w:t>(iii) if the applicant for registration is a foreign organization, a written pledge stating that it meets the requirements provided in Article 1, item (ii);</w:t>
      </w:r>
    </w:p>
    <w:p w14:paraId="20EFB30B" w14:textId="77777777" w:rsidR="002D181F" w:rsidRDefault="005216AD">
      <w:pPr>
        <w:pStyle w:val="enf6"/>
      </w:pPr>
      <w:r>
        <w:t>(iv) a document clarifying if the applicant for registration falls under either (a) or (b) of Article 13, paragraph (1);</w:t>
      </w:r>
    </w:p>
    <w:p w14:paraId="26B468F1" w14:textId="77777777" w:rsidR="002D181F" w:rsidRDefault="005216AD">
      <w:pPr>
        <w:pStyle w:val="enf6"/>
      </w:pPr>
      <w:r>
        <w:t>(v) inventory of assets, balance sheets, income and expenditure statements or other documents of a recent business year proving that the organization applying for registration has sufficient financial basis to implement accurate and smooth production process management;</w:t>
      </w:r>
    </w:p>
    <w:p w14:paraId="722AA503" w14:textId="77777777" w:rsidR="002D181F" w:rsidRDefault="005216AD">
      <w:pPr>
        <w:pStyle w:val="enf6"/>
      </w:pPr>
      <w:r>
        <w:t>(vi) documents proving that the organization applying for registration has established the necessary system to ensure fair implementation of production process management;</w:t>
      </w:r>
    </w:p>
    <w:p w14:paraId="69095E85" w14:textId="77777777" w:rsidR="002D181F" w:rsidRDefault="005216AD">
      <w:pPr>
        <w:pStyle w:val="enf6"/>
      </w:pPr>
      <w:r>
        <w:lastRenderedPageBreak/>
        <w:t>(vii) documents proving that agricultural, forestry and fishery products and foodstuffs applied for registration are SAFFPF (including audio and visual records);</w:t>
      </w:r>
    </w:p>
    <w:p w14:paraId="277C0D07" w14:textId="77777777" w:rsidR="002D181F" w:rsidRDefault="005216AD">
      <w:pPr>
        <w:pStyle w:val="enf6"/>
      </w:pPr>
      <w:r>
        <w:t>(viii) photographs of the agricultural, forestry and fishery products and foodstuffs applied for registration; and</w:t>
      </w:r>
    </w:p>
    <w:p w14:paraId="5D0C90EB" w14:textId="77777777" w:rsidR="002D181F" w:rsidRDefault="005216AD">
      <w:pPr>
        <w:pStyle w:val="enf6"/>
      </w:pPr>
      <w:r>
        <w:t>(ix) documents demonstrating the approval from a trademark right holder or licensee of exclusive right to use, if the approval is required for the registration.</w:t>
      </w:r>
    </w:p>
    <w:p w14:paraId="46207D3C" w14:textId="77777777" w:rsidR="002D181F" w:rsidRDefault="002D181F"/>
    <w:p w14:paraId="677135EB" w14:textId="77777777" w:rsidR="002D181F" w:rsidRDefault="005216AD">
      <w:pPr>
        <w:pStyle w:val="ena"/>
      </w:pPr>
      <w:r>
        <w:t>(Written Opinion Form)</w:t>
      </w:r>
    </w:p>
    <w:p w14:paraId="7D2E7160" w14:textId="77777777" w:rsidR="002D181F" w:rsidRDefault="005216AD">
      <w:pPr>
        <w:pStyle w:val="enf3"/>
      </w:pPr>
      <w:r>
        <w:t>Article 8  The written opinion prescribed in Article 9, paragraph (1) of the Act must be prepared pursuant to Appended Form 2.</w:t>
      </w:r>
    </w:p>
    <w:p w14:paraId="79C07D7C" w14:textId="77777777" w:rsidR="002D181F" w:rsidRDefault="002D181F"/>
    <w:p w14:paraId="689B09F0" w14:textId="77777777" w:rsidR="002D181F" w:rsidRDefault="005216AD">
      <w:pPr>
        <w:pStyle w:val="ena"/>
      </w:pPr>
      <w:r>
        <w:t>(Hearing of Opinions of Persons with Relevant Expertise)</w:t>
      </w:r>
    </w:p>
    <w:p w14:paraId="1ED91AD3" w14:textId="77777777" w:rsidR="002D181F" w:rsidRDefault="005216AD">
      <w:pPr>
        <w:pStyle w:val="enf3"/>
      </w:pPr>
      <w:r>
        <w:t>Article 9  When the Minister of Agriculture, Forestry and Fisheries consults with persons with relevant expertise pursuant to the provisions of Article 11, paragraph (1), the Minister is to refer to the persons with relevant expertise whose names are mentioned on the list of the persons with relevant expertise specified in the following Article.</w:t>
      </w:r>
    </w:p>
    <w:p w14:paraId="09E6D3F1" w14:textId="77777777" w:rsidR="002D181F" w:rsidRDefault="002D181F"/>
    <w:p w14:paraId="775D7C5F" w14:textId="77777777" w:rsidR="002D181F" w:rsidRDefault="005216AD">
      <w:pPr>
        <w:pStyle w:val="ena"/>
      </w:pPr>
      <w:r>
        <w:t>(List of Persons with Relevant Expertise)</w:t>
      </w:r>
    </w:p>
    <w:p w14:paraId="58792EB6" w14:textId="77777777" w:rsidR="002D181F" w:rsidRDefault="005216AD">
      <w:pPr>
        <w:pStyle w:val="enf3"/>
      </w:pPr>
      <w:r>
        <w:t>Article 10  The Minister of Agriculture, Forestry and Fisheries is to select persons with relevant expertise, and prepare and publish a list of the persons with relevant expertise.</w:t>
      </w:r>
    </w:p>
    <w:p w14:paraId="3C01F307" w14:textId="77777777" w:rsidR="002D181F" w:rsidRDefault="002D181F"/>
    <w:p w14:paraId="31D53780" w14:textId="77777777" w:rsidR="002D181F" w:rsidRDefault="005216AD">
      <w:pPr>
        <w:pStyle w:val="ena"/>
      </w:pPr>
      <w:r>
        <w:t>(Reissuance of Public Notice)</w:t>
      </w:r>
    </w:p>
    <w:p w14:paraId="5BBEE8D0" w14:textId="77777777" w:rsidR="002D181F" w:rsidRDefault="005216AD">
      <w:pPr>
        <w:pStyle w:val="enf3"/>
      </w:pPr>
      <w:r>
        <w:t>Article 11  After making a public notice under Article 8, paragraph (1) of the Act and before registering or refusing to register the application under the public notice, the Minister of Agriculture, Forestry and Fisheries must again follow the necessary procedures under the provisions of Article 9 and Article 11 of the Act, if there is a substantial change in the content of the application, specifications or production process management rules.</w:t>
      </w:r>
    </w:p>
    <w:p w14:paraId="45F6600F" w14:textId="77777777" w:rsidR="002D181F" w:rsidRDefault="002D181F"/>
    <w:p w14:paraId="17CFF9E4" w14:textId="77777777" w:rsidR="002D181F" w:rsidRDefault="005216AD">
      <w:pPr>
        <w:pStyle w:val="ena"/>
      </w:pPr>
      <w:r>
        <w:t>(Register of SAFFPF)</w:t>
      </w:r>
    </w:p>
    <w:p w14:paraId="20B25C86" w14:textId="77777777" w:rsidR="002D181F" w:rsidRDefault="005216AD">
      <w:pPr>
        <w:pStyle w:val="enf3"/>
      </w:pPr>
      <w:r>
        <w:t>Article 12  (1) The register of SAFFPF specified in Article 12, paragraph (2) of the Act (simply referred to as "the register of SAFFPF" in the following paragraph) is to be prepared pursuant to Appended Form 3.</w:t>
      </w:r>
    </w:p>
    <w:p w14:paraId="75943919" w14:textId="77777777" w:rsidR="002D181F" w:rsidRDefault="005216AD">
      <w:pPr>
        <w:pStyle w:val="enf4"/>
      </w:pPr>
      <w:r>
        <w:t>(2) The register of SAFFPF is to be kept at the Food Industry Affairs Bureau of the Ministry of Agriculture, Forestry and Fisheries.</w:t>
      </w:r>
    </w:p>
    <w:p w14:paraId="525F6BAB" w14:textId="77777777" w:rsidR="002D181F" w:rsidRDefault="002D181F"/>
    <w:p w14:paraId="31B25511" w14:textId="77777777" w:rsidR="002D181F" w:rsidRDefault="005216AD">
      <w:pPr>
        <w:pStyle w:val="ena"/>
      </w:pPr>
      <w:r>
        <w:t>(Matters of Public Notice Pertaining to the Registration)</w:t>
      </w:r>
    </w:p>
    <w:p w14:paraId="21762DC4" w14:textId="77777777" w:rsidR="002D181F" w:rsidRDefault="005216AD">
      <w:pPr>
        <w:pStyle w:val="enf3"/>
      </w:pPr>
      <w:r>
        <w:lastRenderedPageBreak/>
        <w:t>Article 13  The matters provided by Order of the Ministry of Agriculture, Forestry and Fisheries referred to in Article 12, paragraph (3) of the Act are set forth below:</w:t>
      </w:r>
    </w:p>
    <w:p w14:paraId="4DC681B5" w14:textId="77777777" w:rsidR="002D181F" w:rsidRDefault="005216AD">
      <w:pPr>
        <w:pStyle w:val="enf6"/>
      </w:pPr>
      <w:r>
        <w:t>(i) the number and date of registration;</w:t>
      </w:r>
    </w:p>
    <w:p w14:paraId="536ADDDC" w14:textId="77777777" w:rsidR="002D181F" w:rsidRDefault="005216AD">
      <w:pPr>
        <w:pStyle w:val="enf6"/>
      </w:pPr>
      <w:r>
        <w:t>(ii) the classification of the SAFFPF pertaining to the registration;</w:t>
      </w:r>
    </w:p>
    <w:p w14:paraId="45CE2A59" w14:textId="77777777" w:rsidR="002D181F" w:rsidRDefault="005216AD">
      <w:pPr>
        <w:pStyle w:val="enf6"/>
      </w:pPr>
      <w:r>
        <w:t>(iii) the name of the SAFFPF pertaining to the registration;</w:t>
      </w:r>
    </w:p>
    <w:p w14:paraId="113B619D" w14:textId="77777777" w:rsidR="002D181F" w:rsidRDefault="005216AD">
      <w:pPr>
        <w:pStyle w:val="enf6"/>
      </w:pPr>
      <w:r>
        <w:t>(iv) the place of production of the SAFFPF pertaining to the registration;</w:t>
      </w:r>
    </w:p>
    <w:p w14:paraId="2E1C903D" w14:textId="77777777" w:rsidR="002D181F" w:rsidRDefault="005216AD">
      <w:pPr>
        <w:pStyle w:val="enf6"/>
      </w:pPr>
      <w:r>
        <w:t>(v) the characteristics of the SAFFPF pertaining to the registration;</w:t>
      </w:r>
    </w:p>
    <w:p w14:paraId="18D64396" w14:textId="77777777" w:rsidR="002D181F" w:rsidRDefault="005216AD">
      <w:pPr>
        <w:pStyle w:val="enf6"/>
      </w:pPr>
      <w:r>
        <w:t>(vi) the method of production of the SAFFPF pertaining to the registration;</w:t>
      </w:r>
    </w:p>
    <w:p w14:paraId="6EEB99A5" w14:textId="77777777" w:rsidR="002D181F" w:rsidRDefault="005216AD">
      <w:pPr>
        <w:pStyle w:val="enf6"/>
      </w:pPr>
      <w:r>
        <w:t>(vii) ground for the characteristics of the SAFFPF pertaining to the registration to be essentially attributable to the place of production;</w:t>
      </w:r>
    </w:p>
    <w:p w14:paraId="5F724C12" w14:textId="77777777" w:rsidR="002D181F" w:rsidRDefault="005216AD">
      <w:pPr>
        <w:pStyle w:val="enf6"/>
      </w:pPr>
      <w:r>
        <w:t>(viii) record of production of the SAFFPF pertaining to the registration in the place of production;</w:t>
      </w:r>
    </w:p>
    <w:p w14:paraId="3EDD3591" w14:textId="77777777" w:rsidR="002D181F" w:rsidRDefault="005216AD">
      <w:pPr>
        <w:pStyle w:val="enf6"/>
      </w:pPr>
      <w:r>
        <w:t>(ix) clarification as to whether the name of the SAFFPF pertaining to the registration falls under Article 13, paragraph (1), item (iv), (b);</w:t>
      </w:r>
    </w:p>
    <w:p w14:paraId="475CCC26" w14:textId="77777777" w:rsidR="002D181F" w:rsidRDefault="005216AD">
      <w:pPr>
        <w:pStyle w:val="enf6"/>
      </w:pPr>
      <w:r>
        <w:t>(x) when the SAFFPF pertaining to the registration falls under Article 13, paragraph (1), item (iv), (b), the matters set forth in Article 6, paragraph (2), item (ii);</w:t>
      </w:r>
    </w:p>
    <w:p w14:paraId="4E10AACA" w14:textId="77777777" w:rsidR="002D181F" w:rsidRDefault="005216AD">
      <w:pPr>
        <w:pStyle w:val="enf6"/>
      </w:pPr>
      <w:r>
        <w:t>(xi) the name, address and name of a representative (for a group without legal personality, a representative or administrator) of the group of producers that has received the registration; and</w:t>
      </w:r>
    </w:p>
    <w:p w14:paraId="7074F12E" w14:textId="77777777" w:rsidR="002D181F" w:rsidRDefault="005216AD">
      <w:pPr>
        <w:pStyle w:val="enf6"/>
      </w:pPr>
      <w:r>
        <w:t>(xii) when the information set forth in items (iv) to (vi) is different from the information provided in Article 7, paragraph (1), items (iv) to (vi) of the Act as specified in the specification, a statement of the same and the details.</w:t>
      </w:r>
    </w:p>
    <w:p w14:paraId="51555DD5" w14:textId="77777777" w:rsidR="002D181F" w:rsidRDefault="002D181F"/>
    <w:p w14:paraId="52FD926A" w14:textId="77777777" w:rsidR="002D181F" w:rsidRDefault="005216AD">
      <w:pPr>
        <w:pStyle w:val="ena"/>
      </w:pPr>
      <w:r>
        <w:t>(Issuance of a SAFFPF Registration Certificate)</w:t>
      </w:r>
    </w:p>
    <w:p w14:paraId="64E6C4C5" w14:textId="77777777" w:rsidR="002D181F" w:rsidRDefault="005216AD">
      <w:pPr>
        <w:pStyle w:val="enf3"/>
      </w:pPr>
      <w:r>
        <w:t>Article 14  (1) When the Minister of Agriculture, Forestry and Fisheries has registered an application, the Minister is to issue a SAFFPF registration certificate to the group of producers whose application has been registered.</w:t>
      </w:r>
    </w:p>
    <w:p w14:paraId="0417B8B9" w14:textId="77777777" w:rsidR="002D181F" w:rsidRDefault="005216AD">
      <w:pPr>
        <w:pStyle w:val="enf4"/>
      </w:pPr>
      <w:r>
        <w:t>(2) The SAFFPF registration certificate in the preceding paragraph is to be prepared pursuant to Appended Form 4.</w:t>
      </w:r>
    </w:p>
    <w:p w14:paraId="1D164E0D" w14:textId="77777777" w:rsidR="002D181F" w:rsidRDefault="002D181F"/>
    <w:p w14:paraId="7BBD0F14" w14:textId="77777777" w:rsidR="002D181F" w:rsidRDefault="005216AD">
      <w:pPr>
        <w:pStyle w:val="ena"/>
      </w:pPr>
      <w:r>
        <w:t>(Standards for the Method of Production Process Management)</w:t>
      </w:r>
    </w:p>
    <w:p w14:paraId="1EF8619D" w14:textId="77777777" w:rsidR="002D181F" w:rsidRDefault="005216AD">
      <w:pPr>
        <w:pStyle w:val="enf3"/>
      </w:pPr>
      <w:r>
        <w:t>Article 15  Standards provided by Order of the Ministry of Agriculture, Forestry and Fisheries referred to in Article 13, paragraph (1), item (ii), (b) of the Act are set forth below:</w:t>
      </w:r>
    </w:p>
    <w:p w14:paraId="39C57484" w14:textId="77777777" w:rsidR="002D181F" w:rsidRDefault="005216AD">
      <w:pPr>
        <w:pStyle w:val="enf6"/>
      </w:pPr>
      <w:r>
        <w:t>(i) when a registration of change specified in Article 16, paragraph (1) of the Act has been received, making the change to the specification pertaining to the information of the registration of change;</w:t>
      </w:r>
    </w:p>
    <w:p w14:paraId="6713B36F" w14:textId="77777777" w:rsidR="002D181F" w:rsidRDefault="005216AD">
      <w:pPr>
        <w:pStyle w:val="enf6"/>
      </w:pPr>
      <w:r>
        <w:t xml:space="preserve">(ii) confirming that the production undertaken by a producer as a member of a group accords with the information set forth in Article 7, paragraph (1), </w:t>
      </w:r>
      <w:r>
        <w:lastRenderedPageBreak/>
        <w:t>items (iv) to (vi) of the Act as specified in the specification;</w:t>
      </w:r>
    </w:p>
    <w:p w14:paraId="79D78E19" w14:textId="77777777" w:rsidR="002D181F" w:rsidRDefault="005216AD">
      <w:pPr>
        <w:pStyle w:val="enf6"/>
      </w:pPr>
      <w:r>
        <w:t>(iii) giving appropriate guidance to the producer when the result of the confirmation under the preceding item reveals that the production undertaken by the producer as a member of the group does not accord with the information set forth in Article 7, paragraph (1), items (iv) to (vi) of the Act as specified in the specifications;</w:t>
      </w:r>
    </w:p>
    <w:p w14:paraId="5D73610C" w14:textId="77777777" w:rsidR="002D181F" w:rsidRDefault="005216AD">
      <w:pPr>
        <w:pStyle w:val="enf6"/>
      </w:pPr>
      <w:r>
        <w:t>(iv) confirming that a producer as a member of a group affixes a geographical indication pursuant to the SAFFPF and registered mark on the SAFFPF or package, etc. in accordance with the provisions of Article 3, paragraph (1) and Article 4, paragraph (1) of the Act;</w:t>
      </w:r>
    </w:p>
    <w:p w14:paraId="2E5EEEE3" w14:textId="77777777" w:rsidR="002D181F" w:rsidRDefault="005216AD">
      <w:pPr>
        <w:pStyle w:val="enf6"/>
      </w:pPr>
      <w:r>
        <w:t>(v) giving appropriate guidance to the producer when the result of the confirmation under the preceding item reveals that the producer as a member of the group violates the provisions of Article 3, paragraph (2) or Article 4 of the Act;</w:t>
      </w:r>
    </w:p>
    <w:p w14:paraId="0AFF5907" w14:textId="77777777" w:rsidR="002D181F" w:rsidRDefault="005216AD">
      <w:pPr>
        <w:pStyle w:val="enf6"/>
      </w:pPr>
      <w:r>
        <w:t>(vi) preparing a performance report (meaning a written report with regard to the state of the production process management; the same applies in the following item) and submitting it to the Minister of Agriculture, Forestry and Fisheries at least once every year along with a copy of the specification and the production process management rules; and</w:t>
      </w:r>
    </w:p>
    <w:p w14:paraId="01071DDD" w14:textId="77777777" w:rsidR="002D181F" w:rsidRDefault="005216AD">
      <w:pPr>
        <w:pStyle w:val="enf6"/>
      </w:pPr>
      <w:r>
        <w:t>(vii) The performance report and relating documents must be kept for five years after the date of submission as prescribed in the preceding item.</w:t>
      </w:r>
    </w:p>
    <w:p w14:paraId="0911633B" w14:textId="77777777" w:rsidR="002D181F" w:rsidRDefault="002D181F"/>
    <w:p w14:paraId="7B188DE5" w14:textId="77777777" w:rsidR="002D181F" w:rsidRDefault="005216AD">
      <w:pPr>
        <w:pStyle w:val="ena"/>
      </w:pPr>
      <w:r>
        <w:t>(Names by Which the Matters Set Forth in the Items of Article 2, Paragraph (2) Regarding Agricultural, Forestry and Fishery Products and Foodstuffs Applied for Registration Cannot Be Specified)</w:t>
      </w:r>
    </w:p>
    <w:p w14:paraId="7808901F" w14:textId="77777777" w:rsidR="002D181F" w:rsidRDefault="005216AD">
      <w:pPr>
        <w:pStyle w:val="enf3"/>
      </w:pPr>
      <w:r>
        <w:t>Article 16  The names by which the matters set forth in the items of Article 2, paragraph (2) regarding the agricultural, forestry and fishery products and foodstuffs applied for registration under Article 13, paragraph (1), item (iv), (a) of the Act cannot be specified are to include the following names:</w:t>
      </w:r>
    </w:p>
    <w:p w14:paraId="7B8DFC81" w14:textId="77777777" w:rsidR="002D181F" w:rsidRDefault="005216AD">
      <w:pPr>
        <w:pStyle w:val="enf6"/>
      </w:pPr>
      <w:r>
        <w:t>(i) name that is identical to the name of an animal breed or plant variety and, as a result, is likely to mislead regarding a place of production of agricultural, forestry and fishery products and foodstuffs applied for registration; and</w:t>
      </w:r>
    </w:p>
    <w:p w14:paraId="111CDBD3" w14:textId="77777777" w:rsidR="002D181F" w:rsidRDefault="005216AD">
      <w:pPr>
        <w:pStyle w:val="enf6"/>
      </w:pPr>
      <w:r>
        <w:t>(ii) names that constitute an act set forth in Article 2, paragraph (1), items (i) or (ii) of the Unfair Competition Prevention Act (Act No. 47, 1993).</w:t>
      </w:r>
    </w:p>
    <w:p w14:paraId="1B29E3FA" w14:textId="77777777" w:rsidR="002D181F" w:rsidRDefault="002D181F"/>
    <w:p w14:paraId="311BBBBF" w14:textId="77777777" w:rsidR="002D181F" w:rsidRDefault="005216AD">
      <w:pPr>
        <w:pStyle w:val="ena"/>
      </w:pPr>
      <w:r>
        <w:t>(Registration of Change to Add a Group of Producers)</w:t>
      </w:r>
    </w:p>
    <w:p w14:paraId="0FFE64A2" w14:textId="77777777" w:rsidR="002D181F" w:rsidRDefault="005216AD">
      <w:pPr>
        <w:pStyle w:val="enf3"/>
      </w:pPr>
      <w:r>
        <w:t xml:space="preserve">Article 17  The provisions referred to in Article 5; Article 6, paragraphs (3) and (4); Articles 7 to 11; and Articles 13 to 15 apply mutatis mutandis to the registration of change in Article 15, paragraph (1). In this case, the term "Appended Form 1" in Article 6, paragraph (4) is deemed to be replaced with "Appended Form 5", the term "set forth below" in Article 7 is deemed to be </w:t>
      </w:r>
      <w:r>
        <w:lastRenderedPageBreak/>
        <w:t>replaced with "set forth in items (i) to (vi)", the term "Appended Form 2" in Article 8 is deemed to be replaced with "Appended Form 6", the term "set forth below" in Article 13 is deemed to be replaced with "a date of change, those set forth in items (i) to (iii), and items (xi) and (xii)", and the term "the information set forth in items (iv) to (vi) are different from the information set forth in Article 7, paragraph (1), items (iv) to (vi) of the Act" in item (xii) of the same article is deemed to be replaced with "the information set forth in Article 7, paragraph 1, items (iv) to (vi) of the Act regarding registration are different from the information set forth in items (iv) to (vi) of the same paragraph as".</w:t>
      </w:r>
    </w:p>
    <w:p w14:paraId="2D6750F4" w14:textId="77777777" w:rsidR="002D181F" w:rsidRDefault="002D181F"/>
    <w:p w14:paraId="6F9959A9" w14:textId="77777777" w:rsidR="002D181F" w:rsidRDefault="005216AD">
      <w:pPr>
        <w:pStyle w:val="ena"/>
      </w:pPr>
      <w:r>
        <w:t>(Registration of Change of Specification)</w:t>
      </w:r>
    </w:p>
    <w:p w14:paraId="69118AFF" w14:textId="77777777" w:rsidR="002D181F" w:rsidRDefault="005216AD">
      <w:pPr>
        <w:pStyle w:val="enf3"/>
      </w:pPr>
      <w:r>
        <w:t>Article 18  (1) Minor matters provided by Order of the Ministry of Agriculture referred to in Article 16, paragraph (3) of the Act are set forth below:</w:t>
      </w:r>
    </w:p>
    <w:p w14:paraId="610E5A56" w14:textId="77777777" w:rsidR="002D181F" w:rsidRDefault="005216AD">
      <w:pPr>
        <w:pStyle w:val="enf6"/>
      </w:pPr>
      <w:r>
        <w:t>(i) change of name of a place of production of SAFFPF pertaining to registration following a change of name of an administrative district or land;</w:t>
      </w:r>
    </w:p>
    <w:p w14:paraId="7EAC7F30" w14:textId="77777777" w:rsidR="002D181F" w:rsidRDefault="005216AD">
      <w:pPr>
        <w:pStyle w:val="enf6"/>
      </w:pPr>
      <w:r>
        <w:t>(ii) addition of a name or denomination of holder of exclusive right to use when the name of SAFFPF pertaining to registration falls under Article 13, paragraph (1), item (iv), (b) of the Act, and an exclusive right is established to a trademark right pertaining to the registered trademark provided in (b) of the same item after that registration;</w:t>
      </w:r>
    </w:p>
    <w:p w14:paraId="3A984E7F" w14:textId="77777777" w:rsidR="002D181F" w:rsidRDefault="005216AD">
      <w:pPr>
        <w:pStyle w:val="enf6"/>
      </w:pPr>
      <w:r>
        <w:t>(iii) correction of errors; and</w:t>
      </w:r>
    </w:p>
    <w:p w14:paraId="000833EF" w14:textId="77777777" w:rsidR="002D181F" w:rsidRDefault="005216AD">
      <w:pPr>
        <w:pStyle w:val="enf6"/>
      </w:pPr>
      <w:r>
        <w:t>(iv) beyond what is set forth in the preceding three items, a modification that do not involve a substantial change of the matters set forth in items (iii) to (viii) of the Article 7, paragraph (1) of the Act.</w:t>
      </w:r>
    </w:p>
    <w:p w14:paraId="55BD0A7A" w14:textId="77777777" w:rsidR="002D181F" w:rsidRDefault="005216AD">
      <w:pPr>
        <w:pStyle w:val="enf4"/>
      </w:pPr>
      <w:r>
        <w:t xml:space="preserve">(2) The provisions in Article 5; Article 6, paragraphs (1), (2), and (4); Articles 7 to 11; and Articles 13 to 16 (if the matters pertaining to registration of change as prescribed in Article 16, paragraph (1) of the Act are those provided in the preceding paragraph, excluding the provisions of Articles 8 to 11 and Article 14) apply mutatis mutandis to the registration of change in Article 16, paragraph (1). In this case, the term "Appended Form 1" in Article 6, paragraph (4) is deemed to be replaced with "Appended Form 7", "set forth below" in Article 7 is deemed to be replaced with "set forth in items (i) and (iv) to (ix)", "agricultural, forestry and fishery products and foodstuffs applied for registration" in item (vii) of that Article is deemed to be replaced with "if the matters pertaining to registration of change as prescribed in Article 16, paragraph (1) of the Act are those provided in items (iv) to (vii) of the Article 7 of the Act, agricultural, forestry and fishery products and foodstuffs applied for registration", "Appended Form 2" in Article 8 is deemed to be replaced with "Appended Form 8", "set forth below" in Article 13 is deemed to be replaced with "a date of change, those set forth in items (i) to (iii), and the matters pertaining to change", "has registered an application" in Article 14 is deemed </w:t>
      </w:r>
      <w:r>
        <w:lastRenderedPageBreak/>
        <w:t>to be replaced with "has registered the change (limited to those pertaining to the information set forth in Article 7, paragraph (1), item (iii))", and "whose application has been registered" in that Article is deemed to be replaced with "whose change has been registered".</w:t>
      </w:r>
    </w:p>
    <w:p w14:paraId="5047BC11" w14:textId="77777777" w:rsidR="002D181F" w:rsidRDefault="002D181F"/>
    <w:p w14:paraId="6B06C62B" w14:textId="77777777" w:rsidR="002D181F" w:rsidRDefault="005216AD">
      <w:pPr>
        <w:pStyle w:val="ena"/>
      </w:pPr>
      <w:r>
        <w:t>(Application Mutatis Mutandis to Cancellation of Registration under Article 22, Paragraph (1) of the Act)</w:t>
      </w:r>
    </w:p>
    <w:p w14:paraId="7DED5255" w14:textId="77777777" w:rsidR="002D181F" w:rsidRDefault="005216AD">
      <w:pPr>
        <w:pStyle w:val="enf3"/>
      </w:pPr>
      <w:r>
        <w:t>Article 19  The provisions in Article 8 to Article 10 apply mutatis mutandis to cancellation of registration under Article 22, paragraph (1) of the Act (limited to provisions in items (ii) and (iii)). In this case, the term "Appended Form 2" in Article 8 is deemed to be replaced with "Appended Form 9".</w:t>
      </w:r>
    </w:p>
    <w:p w14:paraId="147C8AAE" w14:textId="77777777" w:rsidR="002D181F" w:rsidRDefault="002D181F"/>
    <w:p w14:paraId="08E0FC2C" w14:textId="77777777" w:rsidR="002D181F" w:rsidRDefault="005216AD">
      <w:pPr>
        <w:pStyle w:val="ena"/>
      </w:pPr>
      <w:r>
        <w:t>(Matters for Designation)</w:t>
      </w:r>
    </w:p>
    <w:p w14:paraId="3A36D7FC" w14:textId="77777777" w:rsidR="002D181F" w:rsidRDefault="005216AD">
      <w:pPr>
        <w:pStyle w:val="enf3"/>
      </w:pPr>
      <w:r>
        <w:t>Article 20  The matters to be provided by Order of the Ministry of Agriculture in referred to in Article 23, paragraph (2), item (vi) of the Act are set forth below:</w:t>
      </w:r>
    </w:p>
    <w:p w14:paraId="6508BAA2" w14:textId="77777777" w:rsidR="002D181F" w:rsidRDefault="005216AD">
      <w:pPr>
        <w:pStyle w:val="enf6"/>
      </w:pPr>
      <w:r>
        <w:t>(i) clarification as to whether the name of candidate agricultural, forestry and fishery products and foodstuffs for designation falls under Article 29, paragraph (1), item (ii), (b); and</w:t>
      </w:r>
    </w:p>
    <w:p w14:paraId="1AECBBC2" w14:textId="77777777" w:rsidR="002D181F" w:rsidRDefault="005216AD">
      <w:pPr>
        <w:pStyle w:val="enf6"/>
      </w:pPr>
      <w:r>
        <w:t>(ii) when the name of candidate agricultural, forestry and fishery products and foodstuffs for designation falls under Article 29, paragraph (1), item (ii), (b):</w:t>
      </w:r>
    </w:p>
    <w:p w14:paraId="06EBD254" w14:textId="77777777" w:rsidR="002D181F" w:rsidRDefault="005216AD">
      <w:pPr>
        <w:pStyle w:val="enf9"/>
      </w:pPr>
      <w:r>
        <w:t>(a) information set forth in Article 6, paragraph (2), item (ii), (a) to (f); and</w:t>
      </w:r>
    </w:p>
    <w:p w14:paraId="1FF0939E" w14:textId="77777777" w:rsidR="002D181F" w:rsidRDefault="005216AD">
      <w:pPr>
        <w:pStyle w:val="enf9"/>
      </w:pPr>
      <w:r>
        <w:t>(b) date of approval of the designation by a trademark right holder or licensee of exclusive right to use.</w:t>
      </w:r>
    </w:p>
    <w:p w14:paraId="6B5BE997" w14:textId="77777777" w:rsidR="002D181F" w:rsidRDefault="002D181F"/>
    <w:p w14:paraId="401D33DA" w14:textId="77777777" w:rsidR="002D181F" w:rsidRDefault="005216AD">
      <w:pPr>
        <w:pStyle w:val="ena"/>
      </w:pPr>
      <w:r>
        <w:t>(Written Opinion Form Pertaining to Candidate Agricultural, Forestry and Fishery Products and Foodstuffs for Designation)</w:t>
      </w:r>
    </w:p>
    <w:p w14:paraId="3B5AFE8C" w14:textId="77777777" w:rsidR="002D181F" w:rsidRDefault="005216AD">
      <w:pPr>
        <w:pStyle w:val="enf3"/>
      </w:pPr>
      <w:r>
        <w:t>Article 21  The written opinion referred to in Article 25 of the Act must be prepared pursuant to Appended Form 10.</w:t>
      </w:r>
    </w:p>
    <w:p w14:paraId="2CE41E39" w14:textId="77777777" w:rsidR="002D181F" w:rsidRDefault="002D181F"/>
    <w:p w14:paraId="4668309F" w14:textId="77777777" w:rsidR="002D181F" w:rsidRDefault="005216AD">
      <w:pPr>
        <w:pStyle w:val="ena"/>
      </w:pPr>
      <w:r>
        <w:t>(Hearing of Opinions of Persons with Relevant Expertise for Candidate Agricultural, Forestry and Fishery Products and Foodstuffs for Designation)</w:t>
      </w:r>
    </w:p>
    <w:p w14:paraId="261E1B48" w14:textId="77777777" w:rsidR="002D181F" w:rsidRDefault="005216AD">
      <w:pPr>
        <w:pStyle w:val="enf3"/>
      </w:pPr>
      <w:r>
        <w:t>Article 22  When the Minister of Agriculture, Forestry and Fisheries consults with persons with relevant expertise pursuant to the provisions of Article 27, paragraphs (1) or (2) of the Act, the Minister is to refer to the persons with relevant expertise whose names are mentioned on the list of the persons with relevant expertise specified in Article 10.</w:t>
      </w:r>
    </w:p>
    <w:p w14:paraId="6C0952A0" w14:textId="77777777" w:rsidR="002D181F" w:rsidRDefault="002D181F"/>
    <w:p w14:paraId="3CB3AA2E" w14:textId="77777777" w:rsidR="002D181F" w:rsidRDefault="005216AD">
      <w:pPr>
        <w:pStyle w:val="ena"/>
      </w:pPr>
      <w:r>
        <w:t>(Reissuance of Public Notice Regarding Designation)</w:t>
      </w:r>
    </w:p>
    <w:p w14:paraId="53946979" w14:textId="77777777" w:rsidR="002D181F" w:rsidRDefault="005216AD">
      <w:pPr>
        <w:pStyle w:val="enf3"/>
      </w:pPr>
      <w:r>
        <w:t xml:space="preserve">Article 23  After making a public notice under Article 24 of the Act and before designating or deciding not to designate the SAFFPF pertaining to the public notice, the Minister of Agriculture, Forestry and Fisheries must again follow </w:t>
      </w:r>
      <w:r>
        <w:lastRenderedPageBreak/>
        <w:t>the necessary procedures under the provisions of Articles 24, 25 and 27 of the Act, if there is a substantial change in information set forth in respective items of Article 23, paragraph (2) of the Act.</w:t>
      </w:r>
    </w:p>
    <w:p w14:paraId="7F9F1AB9" w14:textId="77777777" w:rsidR="002D181F" w:rsidRDefault="002D181F"/>
    <w:p w14:paraId="15D12E42" w14:textId="77777777" w:rsidR="002D181F" w:rsidRDefault="005216AD">
      <w:pPr>
        <w:pStyle w:val="ena"/>
      </w:pPr>
      <w:r>
        <w:t>(Cases Where Names of Candidate Agricultural, Forestry and Fishery Products and Foodstuffs for Designation Should Not Be Protected)</w:t>
      </w:r>
    </w:p>
    <w:p w14:paraId="14E867FB" w14:textId="77777777" w:rsidR="002D181F" w:rsidRDefault="005216AD">
      <w:pPr>
        <w:pStyle w:val="enf3"/>
      </w:pPr>
      <w:r>
        <w:t>Article 24  Cases provided by Order of the Ministry of Agriculture, Forestry and Fishery referred to in Article 29, paragraph (1), item (ii), (c) of the Act are set forth below:</w:t>
      </w:r>
    </w:p>
    <w:p w14:paraId="32E9BF08" w14:textId="77777777" w:rsidR="002D181F" w:rsidRDefault="005216AD">
      <w:pPr>
        <w:pStyle w:val="enf6"/>
      </w:pPr>
      <w:r>
        <w:t>(i) cases where the name is identical to the name of an animal breed or plant variety and as a result is likely to mislead a place of production of candidate agricultural, forestry and fishery products and foodstuffs for designation;</w:t>
      </w:r>
    </w:p>
    <w:p w14:paraId="4C526E3F" w14:textId="77777777" w:rsidR="002D181F" w:rsidRDefault="005216AD">
      <w:pPr>
        <w:pStyle w:val="enf6"/>
      </w:pPr>
      <w:r>
        <w:t>(ii) cases where the name constitutes an act set forth in Article 2, paragraph (1), items (i) or (ii) of the Unfair Competition Prevention Act; and</w:t>
      </w:r>
    </w:p>
    <w:p w14:paraId="115C46A6" w14:textId="77777777" w:rsidR="002D181F" w:rsidRDefault="005216AD">
      <w:pPr>
        <w:pStyle w:val="enf6"/>
      </w:pPr>
      <w:r>
        <w:t>(iii) cases where the name is not considered to be protected under international agreements with the contracting states.</w:t>
      </w:r>
    </w:p>
    <w:p w14:paraId="1C0F0707" w14:textId="77777777" w:rsidR="002D181F" w:rsidRDefault="002D181F"/>
    <w:p w14:paraId="078D5E47" w14:textId="77777777" w:rsidR="002D181F" w:rsidRDefault="005216AD">
      <w:pPr>
        <w:pStyle w:val="ena"/>
      </w:pPr>
      <w:r>
        <w:t>(Change of Designation)</w:t>
      </w:r>
    </w:p>
    <w:p w14:paraId="55668F40" w14:textId="77777777" w:rsidR="002D181F" w:rsidRDefault="005216AD">
      <w:pPr>
        <w:pStyle w:val="enf3"/>
      </w:pPr>
      <w:r>
        <w:t>Article 25  (1) Minor matters to be provided by Order of the Ministry of Agriculture referred to in Article 31, paragraph (2) of the Act are set forth below:</w:t>
      </w:r>
    </w:p>
    <w:p w14:paraId="5A9272B3" w14:textId="77777777" w:rsidR="002D181F" w:rsidRDefault="005216AD">
      <w:pPr>
        <w:pStyle w:val="enf6"/>
      </w:pPr>
      <w:r>
        <w:t>(i) changes of a name of place of production of the SAFFPF pertaining to the designation following the change of a name of an administrative district or land;</w:t>
      </w:r>
    </w:p>
    <w:p w14:paraId="3F471ECF" w14:textId="77777777" w:rsidR="002D181F" w:rsidRDefault="005216AD">
      <w:pPr>
        <w:pStyle w:val="enf6"/>
      </w:pPr>
      <w:r>
        <w:t>(ii) addition of a name of holder of exclusive right when a name of SAFFPF pertaining to designation falls under Article 29, paragraph (1), item (ii), (b) of the Act, and an exclusive right is established to a trademark right pertaining to the registered trademark provided in (b) of that item after the designation;</w:t>
      </w:r>
    </w:p>
    <w:p w14:paraId="2675C69D" w14:textId="77777777" w:rsidR="002D181F" w:rsidRDefault="005216AD">
      <w:pPr>
        <w:pStyle w:val="enf6"/>
      </w:pPr>
      <w:r>
        <w:t>(iii) correction of errors; and</w:t>
      </w:r>
    </w:p>
    <w:p w14:paraId="0F513F98" w14:textId="77777777" w:rsidR="002D181F" w:rsidRDefault="005216AD">
      <w:pPr>
        <w:pStyle w:val="enf6"/>
      </w:pPr>
      <w:r>
        <w:t>(iv) beyond what is set forth in the preceding three items, modification that do not involve a substantial change of the matters provided in Article 23, paragraph (2) of the Article 23, paragraph (2) of the Act.</w:t>
      </w:r>
    </w:p>
    <w:p w14:paraId="3B01536E" w14:textId="77777777" w:rsidR="002D181F" w:rsidRDefault="005216AD">
      <w:pPr>
        <w:pStyle w:val="enf4"/>
      </w:pPr>
      <w:r>
        <w:t>(2) Matters provided by Order of the Ministry of Agriculture, Forestry and Fisheries referred to in Article 28, paragraph (2) of the Act as applied mutatis mutandis pursuant to Article 31, paragraph (2) of the Act following the deemed replacement of terms are matters set forth below:</w:t>
      </w:r>
    </w:p>
    <w:p w14:paraId="3CEA790E" w14:textId="77777777" w:rsidR="002D181F" w:rsidRDefault="005216AD">
      <w:pPr>
        <w:pStyle w:val="enf6"/>
      </w:pPr>
      <w:r>
        <w:t>(i) the date of the designation;</w:t>
      </w:r>
    </w:p>
    <w:p w14:paraId="0A32DC9D" w14:textId="77777777" w:rsidR="002D181F" w:rsidRDefault="005216AD">
      <w:pPr>
        <w:pStyle w:val="enf6"/>
      </w:pPr>
      <w:r>
        <w:t>(ii) the classification of SAFFPF pertaining to the designation; and</w:t>
      </w:r>
    </w:p>
    <w:p w14:paraId="5C46344C" w14:textId="77777777" w:rsidR="002D181F" w:rsidRDefault="005216AD">
      <w:pPr>
        <w:pStyle w:val="enf6"/>
      </w:pPr>
      <w:r>
        <w:t>(iii) the name of SAFFPF pertaining to the designation.</w:t>
      </w:r>
    </w:p>
    <w:p w14:paraId="0C512978" w14:textId="77777777" w:rsidR="002D181F" w:rsidRDefault="005216AD">
      <w:pPr>
        <w:pStyle w:val="enf4"/>
      </w:pPr>
      <w:r>
        <w:t xml:space="preserve">(3) The provisions of Article 21 to the preceding Article (if the matters pertaining </w:t>
      </w:r>
      <w:r>
        <w:lastRenderedPageBreak/>
        <w:t>to a change of designation under Article 31, paragraph (1) of the Act are those provided in respective items in paragraph (1), excluding Articles 21 to 23) apply mutatis mutandis to the change of designation under Article 31, paragraph (1) of the Act. In this case, the term "Appended Form 10" in Article 21 is deemed to be replaced with "Appended Form 11".</w:t>
      </w:r>
    </w:p>
    <w:p w14:paraId="20B09C9D" w14:textId="77777777" w:rsidR="002D181F" w:rsidRDefault="002D181F"/>
    <w:p w14:paraId="3274F978" w14:textId="77777777" w:rsidR="002D181F" w:rsidRDefault="005216AD">
      <w:pPr>
        <w:pStyle w:val="ena"/>
      </w:pPr>
      <w:r>
        <w:t>(Application Mutatis Mutandis to Cancellation of Designation under Article 32, Paragraph (1) of the Act)</w:t>
      </w:r>
    </w:p>
    <w:p w14:paraId="4C93408B" w14:textId="77777777" w:rsidR="002D181F" w:rsidRDefault="005216AD">
      <w:pPr>
        <w:pStyle w:val="enf3"/>
      </w:pPr>
      <w:r>
        <w:t>Article 26  The provisions under Articles 21 and 22 apply mutatis mutandis to cancellation of designation under Article 32, paragraph (1) of the Act (limited to provisions in item (i)). In this case, the term "Appended Form 10" in Article 21 is deemed to be replaced with "Appended Form 12".</w:t>
      </w:r>
    </w:p>
    <w:p w14:paraId="481FE711" w14:textId="77777777" w:rsidR="002D181F" w:rsidRDefault="002D181F"/>
    <w:p w14:paraId="0AF05776" w14:textId="77777777" w:rsidR="002D181F" w:rsidRDefault="005216AD">
      <w:pPr>
        <w:pStyle w:val="ena"/>
      </w:pPr>
      <w:r>
        <w:t>(Method of Public Notice)</w:t>
      </w:r>
    </w:p>
    <w:p w14:paraId="41580D01" w14:textId="77777777" w:rsidR="002D181F" w:rsidRDefault="005216AD">
      <w:pPr>
        <w:pStyle w:val="enf3"/>
      </w:pPr>
      <w:r>
        <w:t>Article 27  A public notice under Article 33, paragraph (1) of the Act is to be made on the website of the Ministry of Agriculture, Forestry and Fisheries.</w:t>
      </w:r>
    </w:p>
    <w:p w14:paraId="69F7AF9C" w14:textId="77777777" w:rsidR="002D181F" w:rsidRDefault="002D181F"/>
    <w:p w14:paraId="5E18E21D" w14:textId="77777777" w:rsidR="002D181F" w:rsidRDefault="005216AD">
      <w:pPr>
        <w:pStyle w:val="ena"/>
      </w:pPr>
      <w:r>
        <w:t>(Document That Identifies the Official)</w:t>
      </w:r>
    </w:p>
    <w:p w14:paraId="7BA768B2" w14:textId="77777777" w:rsidR="002D181F" w:rsidRDefault="005216AD">
      <w:pPr>
        <w:pStyle w:val="enf3"/>
      </w:pPr>
      <w:r>
        <w:t>Article 28  Document that identifies the official under Article 34, paragraph (2) of the Act will be one pursuant to Appended Form 13.</w:t>
      </w:r>
    </w:p>
    <w:p w14:paraId="60685FA9" w14:textId="77777777" w:rsidR="002D181F" w:rsidRDefault="002D181F"/>
    <w:p w14:paraId="1F2ABEEC" w14:textId="77777777" w:rsidR="002D181F" w:rsidRDefault="005216AD">
      <w:pPr>
        <w:pStyle w:val="ena"/>
      </w:pPr>
      <w:r>
        <w:t>(Procedure for Reporting to the Minister of Agriculture, Forestry and Fisheries)</w:t>
      </w:r>
    </w:p>
    <w:p w14:paraId="45EB261F" w14:textId="77777777" w:rsidR="002D181F" w:rsidRDefault="005216AD">
      <w:pPr>
        <w:pStyle w:val="enf3"/>
      </w:pPr>
      <w:r>
        <w:t>Article 29  The report under Article 35, paragraph (1) of the Act must be submitted (the original and two copies) containing the information set forth below:</w:t>
      </w:r>
    </w:p>
    <w:p w14:paraId="69224A8D" w14:textId="77777777" w:rsidR="002D181F" w:rsidRDefault="005216AD">
      <w:pPr>
        <w:pStyle w:val="enf6"/>
      </w:pPr>
      <w:r>
        <w:t>(i) the name and address of the reporter;</w:t>
      </w:r>
    </w:p>
    <w:p w14:paraId="6392F483" w14:textId="77777777" w:rsidR="002D181F" w:rsidRDefault="005216AD">
      <w:pPr>
        <w:pStyle w:val="enf6"/>
      </w:pPr>
      <w:r>
        <w:t>(ii) name of the agricultural, forestry and fishery products and foodstuffs pertaining to the report;</w:t>
      </w:r>
    </w:p>
    <w:p w14:paraId="17BB3802" w14:textId="77777777" w:rsidR="002D181F" w:rsidRDefault="005216AD">
      <w:pPr>
        <w:pStyle w:val="enf6"/>
      </w:pPr>
      <w:r>
        <w:t>(iii) reason for the report;</w:t>
      </w:r>
    </w:p>
    <w:p w14:paraId="04606638" w14:textId="77777777" w:rsidR="002D181F" w:rsidRDefault="005216AD">
      <w:pPr>
        <w:pStyle w:val="enf6"/>
      </w:pPr>
      <w:r>
        <w:t>(iv) a name and address of a person set forth below:</w:t>
      </w:r>
    </w:p>
    <w:p w14:paraId="013E1C62" w14:textId="77777777" w:rsidR="002D181F" w:rsidRDefault="005216AD">
      <w:pPr>
        <w:pStyle w:val="enf9"/>
      </w:pPr>
      <w:r>
        <w:t>(a) a person that has affixed a geographical indication of SAFFPF for registration or an indication similar thereto on the agricultural, forestry and fishery products and foodstuffs or on their package, etc. pertaining to the report;</w:t>
      </w:r>
    </w:p>
    <w:p w14:paraId="46D38B42" w14:textId="77777777" w:rsidR="002D181F" w:rsidRDefault="005216AD">
      <w:pPr>
        <w:pStyle w:val="enf9"/>
      </w:pPr>
      <w:r>
        <w:t>(b) a person that does not affix a registered mark on the agricultural, forestry and fishery products and foodstuffs or on their package, etc. pertaining to the report;</w:t>
      </w:r>
    </w:p>
    <w:p w14:paraId="3C922A89" w14:textId="77777777" w:rsidR="002D181F" w:rsidRDefault="005216AD">
      <w:pPr>
        <w:pStyle w:val="enf9"/>
      </w:pPr>
      <w:r>
        <w:t>(c) a person that has affixed a registered mark or a mark similar thereto on the agricultural, forestry and fishery products and foodstuffs or on their package, etc. pertaining to the report;</w:t>
      </w:r>
    </w:p>
    <w:p w14:paraId="4E769A9E" w14:textId="77777777" w:rsidR="002D181F" w:rsidRDefault="005216AD">
      <w:pPr>
        <w:pStyle w:val="enf9"/>
      </w:pPr>
      <w:r>
        <w:lastRenderedPageBreak/>
        <w:t>(d) an importer that has transferred, entrusted to transfer, or displayed for the purpose of transferring the imported agricultural, forestry and fishery products and foodstuffs pertaining to the report on which a geographical indication to SAFFPF pertaining to the registration or an identification similar thereto is affixed (including the products on which the indication is affixed on their package, etc.); and</w:t>
      </w:r>
    </w:p>
    <w:p w14:paraId="371678DD" w14:textId="77777777" w:rsidR="002D181F" w:rsidRDefault="005216AD">
      <w:pPr>
        <w:pStyle w:val="enf9"/>
      </w:pPr>
      <w:r>
        <w:t>(e) an importer that has transferred, entrusted to transfer or displayed for the purpose of transferring the imported agricultural, forestry and fishery products and foodstuffs pertaining to the report on which a registered mark or a mark similar thereto is affixed (including the products on which that mark is affixed on their package, etc.);</w:t>
      </w:r>
    </w:p>
    <w:p w14:paraId="74278B7A" w14:textId="77777777" w:rsidR="002D181F" w:rsidRDefault="005216AD">
      <w:pPr>
        <w:pStyle w:val="enf6"/>
      </w:pPr>
      <w:r>
        <w:t>(v) location and name of the owner of the agricultural, forestry and fishery products and foodstuffs pertaining to the report at the time of reporting.</w:t>
      </w:r>
    </w:p>
    <w:p w14:paraId="2C1EB551" w14:textId="77777777" w:rsidR="002D181F" w:rsidRDefault="002D181F"/>
    <w:p w14:paraId="311EB0C7" w14:textId="77777777" w:rsidR="002D181F" w:rsidRDefault="005216AD">
      <w:pPr>
        <w:pStyle w:val="ena"/>
      </w:pPr>
      <w:r>
        <w:t>(Transfer of Authority)</w:t>
      </w:r>
    </w:p>
    <w:p w14:paraId="01709FA8" w14:textId="77777777" w:rsidR="002D181F" w:rsidRDefault="005216AD">
      <w:pPr>
        <w:pStyle w:val="enf3"/>
      </w:pPr>
      <w:r>
        <w:t>Article 30  Among the authorities of the Minister of Agriculture, Forestry and Fisheries provided by the Act, those set forth in the following items will be delegated to the Director of a Regional Agricultural Administration Office specified therein (including the Director of Hokkaido District Agriculture Office; the same applies hereinafter); provided, however, that this does not preclude the Minister of Agriculture, Forestry, Fisheries from exercising the authority:</w:t>
      </w:r>
    </w:p>
    <w:p w14:paraId="58A9AFF2" w14:textId="77777777" w:rsidR="002D181F" w:rsidRDefault="005216AD">
      <w:pPr>
        <w:pStyle w:val="enf6"/>
      </w:pPr>
      <w:r>
        <w:t>(i) collection of reports from registered groups of producers, producers, and other parties concerned under Article 34, paragraph (1) of the Act: the Director of a Regional Agricultural Administration Office that has jurisdiction over the location of principal offices of the registered groups of producers, producers and other parties concerned;</w:t>
      </w:r>
    </w:p>
    <w:p w14:paraId="00CFAE70" w14:textId="77777777" w:rsidR="002D181F" w:rsidRDefault="005216AD">
      <w:pPr>
        <w:pStyle w:val="enf6"/>
      </w:pPr>
      <w:r>
        <w:t>(ii) on-site inspection of registered groups of producers, producers, and other parties concerned under Article 34, paragraph (1) of the Act: the Director of a Regional Agricultural Administration Office that has jurisdiction over the location of offices, local offices, warehouses, farms, factories, and other places of the registered groups of producers, producers, and other parties concerned; and</w:t>
      </w:r>
    </w:p>
    <w:p w14:paraId="3A639D42" w14:textId="77777777" w:rsidR="002D181F" w:rsidRDefault="005216AD">
      <w:pPr>
        <w:pStyle w:val="enf6"/>
      </w:pPr>
      <w:r>
        <w:t>(iii) receipt of the reports under Article 35, paragraph (1) of the Act and investigation of those set forth in item (iv), (a) to (e) of the preceding Article under Article 35, paragraph (2) of the Act: the Director of a Regional Agricultural Administration Office that has jurisdiction over the location of a principle office of those falling under any of the items from (a) to (e).</w:t>
      </w:r>
    </w:p>
    <w:p w14:paraId="1A94CB04" w14:textId="77777777" w:rsidR="002D181F" w:rsidRDefault="002D181F"/>
    <w:p w14:paraId="593D15D1" w14:textId="77777777" w:rsidR="002D181F" w:rsidRDefault="005216AD">
      <w:pPr>
        <w:pStyle w:val="en2"/>
      </w:pPr>
      <w:r>
        <w:t>Supplementary Provisions</w:t>
      </w:r>
    </w:p>
    <w:p w14:paraId="177AEA11" w14:textId="77777777" w:rsidR="002D181F" w:rsidRDefault="002D181F"/>
    <w:p w14:paraId="61723A4F" w14:textId="77777777" w:rsidR="002D181F" w:rsidRDefault="005216AD">
      <w:pPr>
        <w:pStyle w:val="ena"/>
      </w:pPr>
      <w:r>
        <w:lastRenderedPageBreak/>
        <w:t>(Effective Date)</w:t>
      </w:r>
    </w:p>
    <w:p w14:paraId="7633C203" w14:textId="77777777" w:rsidR="002D181F" w:rsidRDefault="005216AD">
      <w:pPr>
        <w:pStyle w:val="enf3"/>
      </w:pPr>
      <w:r>
        <w:t>Article 1  This Ministerial Order comes into effect as of the date on which the Act comes into effect (June 1, 2015).</w:t>
      </w:r>
    </w:p>
    <w:p w14:paraId="3AA6DAB6" w14:textId="77777777" w:rsidR="002D181F" w:rsidRDefault="002D181F"/>
    <w:p w14:paraId="2E214811" w14:textId="77777777" w:rsidR="002D181F" w:rsidRDefault="005216AD">
      <w:pPr>
        <w:pStyle w:val="en8"/>
        <w:ind w:left="227" w:hanging="227"/>
      </w:pPr>
      <w:r>
        <w:t>Appended Table (Re: Article 4)</w:t>
      </w:r>
    </w:p>
    <w:tbl>
      <w:tblPr>
        <w:tblW w:w="0" w:type="auto"/>
        <w:tblInd w:w="232" w:type="dxa"/>
        <w:tblLayout w:type="fixed"/>
        <w:tblCellMar>
          <w:left w:w="0" w:type="dxa"/>
          <w:right w:w="0" w:type="dxa"/>
        </w:tblCellMar>
        <w:tblLook w:val="0000" w:firstRow="0" w:lastRow="0" w:firstColumn="0" w:lastColumn="0" w:noHBand="0" w:noVBand="0"/>
      </w:tblPr>
      <w:tblGrid>
        <w:gridCol w:w="2575"/>
        <w:gridCol w:w="6124"/>
      </w:tblGrid>
      <w:tr w:rsidR="002D181F" w14:paraId="1A70E29F" w14:textId="77777777" w:rsidTr="007C7B37">
        <w:trPr>
          <w:cantSplit/>
        </w:trPr>
        <w:tc>
          <w:tcPr>
            <w:tcW w:w="25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D686BF" w14:textId="77777777" w:rsidR="002D181F" w:rsidRDefault="005216AD">
            <w:pPr>
              <w:pStyle w:val="jaen"/>
            </w:pPr>
            <w:r>
              <w:t>Category of Agricultural, Forestry and Fishery Products and Foodstuffs or their Package, etc.</w:t>
            </w:r>
          </w:p>
        </w:tc>
        <w:tc>
          <w:tcPr>
            <w:tcW w:w="6124"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FC2DAC" w14:textId="77777777" w:rsidR="002D181F" w:rsidRDefault="005216AD">
            <w:pPr>
              <w:pStyle w:val="jaen"/>
            </w:pPr>
            <w:r>
              <w:t>Forms</w:t>
            </w:r>
          </w:p>
        </w:tc>
      </w:tr>
      <w:tr w:rsidR="002D181F" w14:paraId="194104F0" w14:textId="77777777" w:rsidTr="007C7B37">
        <w:trPr>
          <w:cantSplit/>
        </w:trPr>
        <w:tc>
          <w:tcPr>
            <w:tcW w:w="257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7B2BE02" w14:textId="77777777" w:rsidR="002D181F" w:rsidRDefault="005216AD">
            <w:pPr>
              <w:pStyle w:val="jaen"/>
            </w:pPr>
            <w:r>
              <w:t>Agricultural, Forestry and Fishery Products and Foodstuffs or their Package, etc. on which it is not difficult to affix GI logo of 15 mm in diameter.</w:t>
            </w:r>
          </w:p>
        </w:tc>
        <w:tc>
          <w:tcPr>
            <w:tcW w:w="6124" w:type="dxa"/>
            <w:tcBorders>
              <w:right w:val="single" w:sz="4" w:space="0" w:color="auto"/>
            </w:tcBorders>
            <w:shd w:val="clear" w:color="auto" w:fill="auto"/>
            <w:tcMar>
              <w:top w:w="0" w:type="dxa"/>
              <w:left w:w="108" w:type="dxa"/>
              <w:bottom w:w="0" w:type="dxa"/>
              <w:right w:w="108" w:type="dxa"/>
            </w:tcMar>
          </w:tcPr>
          <w:p w14:paraId="1F30412C" w14:textId="77777777" w:rsidR="002D181F" w:rsidRDefault="005216AD">
            <w:pPr>
              <w:pStyle w:val="jaen"/>
            </w:pPr>
            <w:r>
              <w:t>In case of use of colored GI logo, form 1 shall be used.</w:t>
            </w:r>
          </w:p>
        </w:tc>
      </w:tr>
      <w:tr w:rsidR="002D181F" w14:paraId="10970309" w14:textId="77777777" w:rsidTr="007C7B37">
        <w:trPr>
          <w:cantSplit/>
        </w:trPr>
        <w:tc>
          <w:tcPr>
            <w:tcW w:w="257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671765" w14:textId="77777777" w:rsidR="002D181F" w:rsidRDefault="005216AD">
            <w:pPr>
              <w:pStyle w:val="jaen"/>
            </w:pPr>
            <w:r>
              <w:br w:type="textWrapping" w:clear="all"/>
            </w:r>
          </w:p>
        </w:tc>
        <w:tc>
          <w:tcPr>
            <w:tcW w:w="6124" w:type="dxa"/>
            <w:tcBorders>
              <w:right w:val="single" w:sz="4" w:space="0" w:color="auto"/>
            </w:tcBorders>
            <w:shd w:val="clear" w:color="auto" w:fill="auto"/>
            <w:tcMar>
              <w:top w:w="0" w:type="dxa"/>
              <w:left w:w="108" w:type="dxa"/>
              <w:bottom w:w="0" w:type="dxa"/>
              <w:right w:w="108" w:type="dxa"/>
            </w:tcMar>
          </w:tcPr>
          <w:p w14:paraId="03F95DFA" w14:textId="77777777" w:rsidR="002D181F" w:rsidRDefault="005216AD">
            <w:pPr>
              <w:pStyle w:val="jaen"/>
            </w:pPr>
            <w:r>
              <w:t>In case of use of monochrome GI logo, form 2 shall be used.</w:t>
            </w:r>
          </w:p>
        </w:tc>
      </w:tr>
      <w:tr w:rsidR="002D181F" w14:paraId="637126AA" w14:textId="77777777" w:rsidTr="007C7B37">
        <w:trPr>
          <w:cantSplit/>
        </w:trPr>
        <w:tc>
          <w:tcPr>
            <w:tcW w:w="257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5C2120" w14:textId="77777777" w:rsidR="002D181F" w:rsidRDefault="005216AD">
            <w:pPr>
              <w:pStyle w:val="jaen"/>
            </w:pPr>
            <w:r>
              <w:br w:type="textWrapping" w:clear="all"/>
            </w:r>
          </w:p>
        </w:tc>
        <w:tc>
          <w:tcPr>
            <w:tcW w:w="6124" w:type="dxa"/>
            <w:tcBorders>
              <w:bottom w:val="single" w:sz="4" w:space="0" w:color="auto"/>
              <w:right w:val="single" w:sz="4" w:space="0" w:color="auto"/>
            </w:tcBorders>
            <w:shd w:val="clear" w:color="auto" w:fill="auto"/>
            <w:tcMar>
              <w:top w:w="0" w:type="dxa"/>
              <w:left w:w="108" w:type="dxa"/>
              <w:bottom w:w="0" w:type="dxa"/>
              <w:right w:w="108" w:type="dxa"/>
            </w:tcMar>
          </w:tcPr>
          <w:p w14:paraId="456F8C96" w14:textId="77777777" w:rsidR="002D181F" w:rsidRDefault="005216AD">
            <w:pPr>
              <w:pStyle w:val="jaen"/>
            </w:pPr>
            <w:r>
              <w:t>In case of use of GI logo of single color, form 3 shall be used.</w:t>
            </w:r>
          </w:p>
        </w:tc>
      </w:tr>
      <w:tr w:rsidR="002D181F" w14:paraId="5DC02B1A" w14:textId="77777777" w:rsidTr="007C7B37">
        <w:trPr>
          <w:cantSplit/>
        </w:trPr>
        <w:tc>
          <w:tcPr>
            <w:tcW w:w="257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6E52F3D" w14:textId="77777777" w:rsidR="002D181F" w:rsidRDefault="005216AD">
            <w:pPr>
              <w:pStyle w:val="jaen"/>
            </w:pPr>
            <w:r>
              <w:t>Agricultural, Forestry and Fishery Products and Foodstuffs or their Package, etc. on which it is difficult to affix GI logo of 15 mm in diameter.</w:t>
            </w:r>
          </w:p>
        </w:tc>
        <w:tc>
          <w:tcPr>
            <w:tcW w:w="6124" w:type="dxa"/>
            <w:tcBorders>
              <w:right w:val="single" w:sz="4" w:space="0" w:color="auto"/>
            </w:tcBorders>
            <w:shd w:val="clear" w:color="auto" w:fill="auto"/>
            <w:tcMar>
              <w:top w:w="0" w:type="dxa"/>
              <w:left w:w="108" w:type="dxa"/>
              <w:bottom w:w="0" w:type="dxa"/>
              <w:right w:w="108" w:type="dxa"/>
            </w:tcMar>
          </w:tcPr>
          <w:p w14:paraId="2151E4B8" w14:textId="77777777" w:rsidR="002D181F" w:rsidRDefault="005216AD">
            <w:pPr>
              <w:pStyle w:val="jaen"/>
            </w:pPr>
            <w:r>
              <w:t>In case of use of colored GI logo, form 4 shall be used.</w:t>
            </w:r>
          </w:p>
        </w:tc>
      </w:tr>
      <w:tr w:rsidR="002D181F" w14:paraId="2BD9FC9F" w14:textId="77777777" w:rsidTr="007C7B37">
        <w:trPr>
          <w:cantSplit/>
        </w:trPr>
        <w:tc>
          <w:tcPr>
            <w:tcW w:w="257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42707E" w14:textId="77777777" w:rsidR="002D181F" w:rsidRDefault="005216AD">
            <w:pPr>
              <w:pStyle w:val="jaen"/>
            </w:pPr>
            <w:r>
              <w:br w:type="textWrapping" w:clear="all"/>
            </w:r>
          </w:p>
        </w:tc>
        <w:tc>
          <w:tcPr>
            <w:tcW w:w="6124" w:type="dxa"/>
            <w:tcBorders>
              <w:right w:val="single" w:sz="4" w:space="0" w:color="auto"/>
            </w:tcBorders>
            <w:shd w:val="clear" w:color="auto" w:fill="auto"/>
            <w:tcMar>
              <w:top w:w="0" w:type="dxa"/>
              <w:left w:w="108" w:type="dxa"/>
              <w:bottom w:w="0" w:type="dxa"/>
              <w:right w:w="108" w:type="dxa"/>
            </w:tcMar>
          </w:tcPr>
          <w:p w14:paraId="7FE268C3" w14:textId="77777777" w:rsidR="002D181F" w:rsidRDefault="005216AD">
            <w:pPr>
              <w:pStyle w:val="jaen"/>
            </w:pPr>
            <w:r>
              <w:t>In case of use of monochrome GI logo, form 5 shall be used.</w:t>
            </w:r>
          </w:p>
        </w:tc>
      </w:tr>
      <w:tr w:rsidR="002D181F" w14:paraId="1FBA5CDB" w14:textId="77777777" w:rsidTr="007C7B37">
        <w:trPr>
          <w:cantSplit/>
        </w:trPr>
        <w:tc>
          <w:tcPr>
            <w:tcW w:w="257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BD3C4C" w14:textId="77777777" w:rsidR="002D181F" w:rsidRDefault="005216AD">
            <w:pPr>
              <w:pStyle w:val="jaen"/>
            </w:pPr>
            <w:r>
              <w:br w:type="textWrapping" w:clear="all"/>
            </w:r>
          </w:p>
        </w:tc>
        <w:tc>
          <w:tcPr>
            <w:tcW w:w="6124" w:type="dxa"/>
            <w:tcBorders>
              <w:bottom w:val="single" w:sz="4" w:space="0" w:color="auto"/>
              <w:right w:val="single" w:sz="4" w:space="0" w:color="auto"/>
            </w:tcBorders>
            <w:shd w:val="clear" w:color="auto" w:fill="auto"/>
            <w:tcMar>
              <w:top w:w="0" w:type="dxa"/>
              <w:left w:w="108" w:type="dxa"/>
              <w:bottom w:w="0" w:type="dxa"/>
              <w:right w:w="108" w:type="dxa"/>
            </w:tcMar>
          </w:tcPr>
          <w:p w14:paraId="4ABF15F6" w14:textId="77777777" w:rsidR="002D181F" w:rsidRDefault="005216AD">
            <w:pPr>
              <w:pStyle w:val="jaen"/>
            </w:pPr>
            <w:r>
              <w:t>In case of use of GI logo of single color, form 6 shall be used.</w:t>
            </w:r>
          </w:p>
        </w:tc>
      </w:tr>
    </w:tbl>
    <w:p w14:paraId="4B88F2E8" w14:textId="77777777" w:rsidR="002D181F" w:rsidRDefault="002D181F"/>
    <w:p w14:paraId="5FDB94B5" w14:textId="792DCD09" w:rsidR="002D181F" w:rsidRDefault="005216AD">
      <w:pPr>
        <w:pStyle w:val="enff8"/>
      </w:pPr>
      <w:r>
        <w:t>Form 1 (Related to Article 4)</w:t>
      </w:r>
    </w:p>
    <w:p w14:paraId="6D1FCC66" w14:textId="4B603344" w:rsidR="001623DC" w:rsidRPr="001623DC" w:rsidRDefault="001623DC" w:rsidP="001623DC">
      <w:pPr>
        <w:pStyle w:val="enff8"/>
        <w:ind w:left="0" w:firstLine="0"/>
      </w:pPr>
      <w:r>
        <w:lastRenderedPageBreak/>
        <w:pict w14:anchorId="449B97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5pt;height:303pt">
            <v:imagedata r:id="rId7" o:title=""/>
          </v:shape>
        </w:pict>
      </w:r>
    </w:p>
    <w:p w14:paraId="05E4C936" w14:textId="77777777" w:rsidR="002D181F" w:rsidRDefault="005216AD">
      <w:pPr>
        <w:pStyle w:val="enf7"/>
      </w:pPr>
      <w:r>
        <w:t>(1) The diameter of the external circle will be over 15 mm and the diameter of the internal circle will be 6216/10000 of the diameter of the external circle.</w:t>
      </w:r>
    </w:p>
    <w:p w14:paraId="3507CDD9" w14:textId="77777777" w:rsidR="002D181F" w:rsidRDefault="005216AD">
      <w:r>
        <w:t>(2) The dimensions from A to F of GI logo described above are as follows.</w:t>
      </w:r>
    </w:p>
    <w:tbl>
      <w:tblPr>
        <w:tblW w:w="0" w:type="auto"/>
        <w:tblInd w:w="232" w:type="dxa"/>
        <w:tblLayout w:type="fixed"/>
        <w:tblCellMar>
          <w:left w:w="0" w:type="dxa"/>
          <w:right w:w="0" w:type="dxa"/>
        </w:tblCellMar>
        <w:tblLook w:val="0000" w:firstRow="0" w:lastRow="0" w:firstColumn="0" w:lastColumn="0" w:noHBand="0" w:noVBand="0"/>
      </w:tblPr>
      <w:tblGrid>
        <w:gridCol w:w="1287"/>
        <w:gridCol w:w="7412"/>
      </w:tblGrid>
      <w:tr w:rsidR="002D181F" w14:paraId="3ABDA5FD" w14:textId="77777777" w:rsidTr="007C7B37">
        <w:trPr>
          <w:cantSplit/>
        </w:trPr>
        <w:tc>
          <w:tcPr>
            <w:tcW w:w="12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70BE46" w14:textId="77777777" w:rsidR="002D181F" w:rsidRDefault="005216AD">
            <w:pPr>
              <w:pStyle w:val="jaen"/>
            </w:pPr>
            <w:r>
              <w:t>Parts</w:t>
            </w:r>
          </w:p>
        </w:tc>
        <w:tc>
          <w:tcPr>
            <w:tcW w:w="7412"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403F00" w14:textId="77777777" w:rsidR="002D181F" w:rsidRDefault="005216AD">
            <w:pPr>
              <w:pStyle w:val="jaen"/>
            </w:pPr>
            <w:r>
              <w:t>Sizes</w:t>
            </w:r>
          </w:p>
        </w:tc>
      </w:tr>
      <w:tr w:rsidR="002D181F" w14:paraId="02B355F6" w14:textId="77777777" w:rsidTr="007C7B37">
        <w:trPr>
          <w:cantSplit/>
        </w:trPr>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959D39" w14:textId="77777777" w:rsidR="002D181F" w:rsidRDefault="005216AD">
            <w:pPr>
              <w:pStyle w:val="jaen"/>
            </w:pPr>
            <w:r>
              <w:t>A</w:t>
            </w:r>
          </w:p>
        </w:tc>
        <w:tc>
          <w:tcPr>
            <w:tcW w:w="7412" w:type="dxa"/>
            <w:tcBorders>
              <w:bottom w:val="single" w:sz="4" w:space="0" w:color="auto"/>
              <w:right w:val="single" w:sz="4" w:space="0" w:color="auto"/>
            </w:tcBorders>
            <w:shd w:val="clear" w:color="auto" w:fill="auto"/>
            <w:tcMar>
              <w:top w:w="0" w:type="dxa"/>
              <w:left w:w="108" w:type="dxa"/>
              <w:bottom w:w="0" w:type="dxa"/>
              <w:right w:w="108" w:type="dxa"/>
            </w:tcMar>
          </w:tcPr>
          <w:p w14:paraId="3EBD6408" w14:textId="77777777" w:rsidR="002D181F" w:rsidRDefault="005216AD">
            <w:pPr>
              <w:pStyle w:val="jaen"/>
            </w:pPr>
            <w:r>
              <w:t>6.75% of diameter of external circle</w:t>
            </w:r>
          </w:p>
        </w:tc>
      </w:tr>
      <w:tr w:rsidR="002D181F" w14:paraId="5DC35122" w14:textId="77777777" w:rsidTr="007C7B37">
        <w:trPr>
          <w:cantSplit/>
        </w:trPr>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F563AF" w14:textId="77777777" w:rsidR="002D181F" w:rsidRDefault="005216AD">
            <w:pPr>
              <w:pStyle w:val="jaen"/>
            </w:pPr>
            <w:r>
              <w:t>B</w:t>
            </w:r>
          </w:p>
        </w:tc>
        <w:tc>
          <w:tcPr>
            <w:tcW w:w="7412" w:type="dxa"/>
            <w:tcBorders>
              <w:bottom w:val="single" w:sz="4" w:space="0" w:color="auto"/>
              <w:right w:val="single" w:sz="4" w:space="0" w:color="auto"/>
            </w:tcBorders>
            <w:shd w:val="clear" w:color="auto" w:fill="auto"/>
            <w:tcMar>
              <w:top w:w="0" w:type="dxa"/>
              <w:left w:w="108" w:type="dxa"/>
              <w:bottom w:w="0" w:type="dxa"/>
              <w:right w:w="108" w:type="dxa"/>
            </w:tcMar>
          </w:tcPr>
          <w:p w14:paraId="44FDF596" w14:textId="77777777" w:rsidR="002D181F" w:rsidRDefault="005216AD">
            <w:pPr>
              <w:pStyle w:val="jaen"/>
            </w:pPr>
            <w:r>
              <w:t>45.16 of diameter of external circle</w:t>
            </w:r>
          </w:p>
        </w:tc>
      </w:tr>
      <w:tr w:rsidR="002D181F" w14:paraId="5E05C2E7" w14:textId="77777777" w:rsidTr="007C7B37">
        <w:trPr>
          <w:cantSplit/>
        </w:trPr>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0C76CB" w14:textId="77777777" w:rsidR="002D181F" w:rsidRDefault="005216AD">
            <w:pPr>
              <w:pStyle w:val="jaen"/>
            </w:pPr>
            <w:r>
              <w:t>C</w:t>
            </w:r>
          </w:p>
        </w:tc>
        <w:tc>
          <w:tcPr>
            <w:tcW w:w="7412" w:type="dxa"/>
            <w:tcBorders>
              <w:bottom w:val="single" w:sz="4" w:space="0" w:color="auto"/>
              <w:right w:val="single" w:sz="4" w:space="0" w:color="auto"/>
            </w:tcBorders>
            <w:shd w:val="clear" w:color="auto" w:fill="auto"/>
            <w:tcMar>
              <w:top w:w="0" w:type="dxa"/>
              <w:left w:w="108" w:type="dxa"/>
              <w:bottom w:w="0" w:type="dxa"/>
              <w:right w:w="108" w:type="dxa"/>
            </w:tcMar>
          </w:tcPr>
          <w:p w14:paraId="5E3623BC" w14:textId="77777777" w:rsidR="002D181F" w:rsidRDefault="005216AD">
            <w:pPr>
              <w:pStyle w:val="jaen"/>
            </w:pPr>
            <w:r>
              <w:t>21.82%of diameter of external circle</w:t>
            </w:r>
          </w:p>
        </w:tc>
      </w:tr>
      <w:tr w:rsidR="002D181F" w14:paraId="2DDA64E6" w14:textId="77777777" w:rsidTr="007C7B37">
        <w:trPr>
          <w:cantSplit/>
        </w:trPr>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130F6E" w14:textId="77777777" w:rsidR="002D181F" w:rsidRDefault="005216AD">
            <w:pPr>
              <w:pStyle w:val="jaen"/>
            </w:pPr>
            <w:r>
              <w:t>D</w:t>
            </w:r>
          </w:p>
        </w:tc>
        <w:tc>
          <w:tcPr>
            <w:tcW w:w="7412" w:type="dxa"/>
            <w:tcBorders>
              <w:bottom w:val="single" w:sz="4" w:space="0" w:color="auto"/>
              <w:right w:val="single" w:sz="4" w:space="0" w:color="auto"/>
            </w:tcBorders>
            <w:shd w:val="clear" w:color="auto" w:fill="auto"/>
            <w:tcMar>
              <w:top w:w="0" w:type="dxa"/>
              <w:left w:w="108" w:type="dxa"/>
              <w:bottom w:w="0" w:type="dxa"/>
              <w:right w:w="108" w:type="dxa"/>
            </w:tcMar>
          </w:tcPr>
          <w:p w14:paraId="5C43BDEF" w14:textId="77777777" w:rsidR="002D181F" w:rsidRDefault="005216AD">
            <w:pPr>
              <w:pStyle w:val="jaen"/>
            </w:pPr>
            <w:r>
              <w:t>38.88%of diameter of external circle</w:t>
            </w:r>
          </w:p>
        </w:tc>
      </w:tr>
      <w:tr w:rsidR="002D181F" w14:paraId="307BBC8F" w14:textId="77777777" w:rsidTr="007C7B37">
        <w:trPr>
          <w:cantSplit/>
        </w:trPr>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5D94B0" w14:textId="77777777" w:rsidR="002D181F" w:rsidRDefault="005216AD">
            <w:pPr>
              <w:pStyle w:val="jaen"/>
            </w:pPr>
            <w:r>
              <w:t>E</w:t>
            </w:r>
          </w:p>
        </w:tc>
        <w:tc>
          <w:tcPr>
            <w:tcW w:w="7412" w:type="dxa"/>
            <w:tcBorders>
              <w:bottom w:val="single" w:sz="4" w:space="0" w:color="auto"/>
              <w:right w:val="single" w:sz="4" w:space="0" w:color="auto"/>
            </w:tcBorders>
            <w:shd w:val="clear" w:color="auto" w:fill="auto"/>
            <w:tcMar>
              <w:top w:w="0" w:type="dxa"/>
              <w:left w:w="108" w:type="dxa"/>
              <w:bottom w:w="0" w:type="dxa"/>
              <w:right w:w="108" w:type="dxa"/>
            </w:tcMar>
          </w:tcPr>
          <w:p w14:paraId="571DE234" w14:textId="77777777" w:rsidR="002D181F" w:rsidRDefault="005216AD">
            <w:pPr>
              <w:pStyle w:val="jaen"/>
            </w:pPr>
            <w:r>
              <w:t>5.5%of diameter of external circle</w:t>
            </w:r>
          </w:p>
        </w:tc>
      </w:tr>
      <w:tr w:rsidR="002D181F" w14:paraId="0E15F760" w14:textId="77777777" w:rsidTr="007C7B37">
        <w:trPr>
          <w:cantSplit/>
        </w:trPr>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FD815C" w14:textId="77777777" w:rsidR="002D181F" w:rsidRDefault="005216AD">
            <w:pPr>
              <w:pStyle w:val="jaen"/>
            </w:pPr>
            <w:r>
              <w:t>F</w:t>
            </w:r>
          </w:p>
        </w:tc>
        <w:tc>
          <w:tcPr>
            <w:tcW w:w="7412" w:type="dxa"/>
            <w:tcBorders>
              <w:bottom w:val="single" w:sz="4" w:space="0" w:color="auto"/>
              <w:right w:val="single" w:sz="4" w:space="0" w:color="auto"/>
            </w:tcBorders>
            <w:shd w:val="clear" w:color="auto" w:fill="auto"/>
            <w:tcMar>
              <w:top w:w="0" w:type="dxa"/>
              <w:left w:w="108" w:type="dxa"/>
              <w:bottom w:w="0" w:type="dxa"/>
              <w:right w:w="108" w:type="dxa"/>
            </w:tcMar>
          </w:tcPr>
          <w:p w14:paraId="39585DDF" w14:textId="77777777" w:rsidR="002D181F" w:rsidRDefault="005216AD">
            <w:pPr>
              <w:pStyle w:val="jaen"/>
            </w:pPr>
            <w:r>
              <w:t>56.06%of diameter of external circle</w:t>
            </w:r>
          </w:p>
        </w:tc>
      </w:tr>
    </w:tbl>
    <w:p w14:paraId="7BBFDCA9" w14:textId="77777777" w:rsidR="002D181F" w:rsidRDefault="002D181F"/>
    <w:p w14:paraId="0A8147D8" w14:textId="77777777" w:rsidR="002D181F" w:rsidRDefault="002D181F">
      <w:pPr>
        <w:pStyle w:val="enf7"/>
      </w:pPr>
    </w:p>
    <w:p w14:paraId="1CADD41B" w14:textId="77777777" w:rsidR="002D181F" w:rsidRDefault="005216AD">
      <w:r>
        <w:t>(3) Color of parts of (a), (b), (d), and (e) and characters of “JAPAN GEOGRAPHICAL INDICATION”, “</w:t>
      </w:r>
      <w:r>
        <w:t>日本</w:t>
      </w:r>
      <w:r>
        <w:t>”, “</w:t>
      </w:r>
      <w:r>
        <w:t>地理的表示</w:t>
      </w:r>
      <w:r>
        <w:t>”, and “GI” are as follows;</w:t>
      </w:r>
    </w:p>
    <w:tbl>
      <w:tblPr>
        <w:tblW w:w="0" w:type="auto"/>
        <w:tblInd w:w="232" w:type="dxa"/>
        <w:tblLayout w:type="fixed"/>
        <w:tblCellMar>
          <w:left w:w="0" w:type="dxa"/>
          <w:right w:w="0" w:type="dxa"/>
        </w:tblCellMar>
        <w:tblLook w:val="0000" w:firstRow="0" w:lastRow="0" w:firstColumn="0" w:lastColumn="0" w:noHBand="0" w:noVBand="0"/>
      </w:tblPr>
      <w:tblGrid>
        <w:gridCol w:w="3062"/>
        <w:gridCol w:w="5637"/>
      </w:tblGrid>
      <w:tr w:rsidR="002D181F" w14:paraId="2878A467" w14:textId="77777777" w:rsidTr="007C7B37">
        <w:trPr>
          <w:cantSplit/>
        </w:trPr>
        <w:tc>
          <w:tcPr>
            <w:tcW w:w="30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AED0D8" w14:textId="77777777" w:rsidR="002D181F" w:rsidRDefault="005216AD">
            <w:pPr>
              <w:pStyle w:val="jaen"/>
            </w:pPr>
            <w:r>
              <w:t>Part of Characte</w:t>
            </w:r>
          </w:p>
        </w:tc>
        <w:tc>
          <w:tcPr>
            <w:tcW w:w="5637"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8EE1C8" w14:textId="77777777" w:rsidR="002D181F" w:rsidRDefault="005216AD">
            <w:pPr>
              <w:pStyle w:val="jaen"/>
            </w:pPr>
            <w:r>
              <w:t>Color</w:t>
            </w:r>
          </w:p>
        </w:tc>
      </w:tr>
      <w:tr w:rsidR="002D181F" w14:paraId="7F087D6E" w14:textId="77777777" w:rsidTr="007C7B37">
        <w:trPr>
          <w:cantSplit/>
        </w:trPr>
        <w:tc>
          <w:tcPr>
            <w:tcW w:w="3062"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47C8E1" w14:textId="77777777" w:rsidR="002D181F" w:rsidRDefault="005216AD">
            <w:pPr>
              <w:pStyle w:val="jaen"/>
            </w:pPr>
            <w:r>
              <w:t>(a)</w:t>
            </w:r>
          </w:p>
        </w:tc>
        <w:tc>
          <w:tcPr>
            <w:tcW w:w="5637" w:type="dxa"/>
            <w:tcBorders>
              <w:bottom w:val="single" w:sz="4" w:space="0" w:color="auto"/>
              <w:right w:val="single" w:sz="4" w:space="0" w:color="auto"/>
            </w:tcBorders>
            <w:shd w:val="clear" w:color="auto" w:fill="auto"/>
            <w:tcMar>
              <w:top w:w="0" w:type="dxa"/>
              <w:left w:w="108" w:type="dxa"/>
              <w:bottom w:w="0" w:type="dxa"/>
              <w:right w:w="108" w:type="dxa"/>
            </w:tcMar>
          </w:tcPr>
          <w:p w14:paraId="57F221D3" w14:textId="77777777" w:rsidR="002D181F" w:rsidRDefault="005216AD">
            <w:pPr>
              <w:pStyle w:val="jaen"/>
            </w:pPr>
            <w:r>
              <w:t>White</w:t>
            </w:r>
          </w:p>
        </w:tc>
      </w:tr>
      <w:tr w:rsidR="002D181F" w14:paraId="09952C8F" w14:textId="77777777" w:rsidTr="007C7B37">
        <w:trPr>
          <w:cantSplit/>
        </w:trPr>
        <w:tc>
          <w:tcPr>
            <w:tcW w:w="3062"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3C0E6BE" w14:textId="77777777" w:rsidR="002D181F" w:rsidRDefault="005216AD">
            <w:pPr>
              <w:pStyle w:val="jaen"/>
            </w:pPr>
            <w:r>
              <w:t>(b)</w:t>
            </w:r>
          </w:p>
        </w:tc>
        <w:tc>
          <w:tcPr>
            <w:tcW w:w="5637" w:type="dxa"/>
            <w:tcBorders>
              <w:right w:val="single" w:sz="4" w:space="0" w:color="auto"/>
            </w:tcBorders>
            <w:shd w:val="clear" w:color="auto" w:fill="auto"/>
            <w:tcMar>
              <w:top w:w="0" w:type="dxa"/>
              <w:left w:w="108" w:type="dxa"/>
              <w:bottom w:w="0" w:type="dxa"/>
              <w:right w:w="108" w:type="dxa"/>
            </w:tcMar>
          </w:tcPr>
          <w:p w14:paraId="1A60AB37" w14:textId="77777777" w:rsidR="002D181F" w:rsidRDefault="005216AD">
            <w:pPr>
              <w:pStyle w:val="jaen"/>
            </w:pPr>
            <w:r>
              <w:t>PANTONE 199C or 0% cyan</w:t>
            </w:r>
          </w:p>
        </w:tc>
      </w:tr>
      <w:tr w:rsidR="002D181F" w14:paraId="5C2A71EC" w14:textId="77777777" w:rsidTr="007C7B37">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DB19AE" w14:textId="77777777" w:rsidR="002D181F" w:rsidRDefault="005216AD">
            <w:pPr>
              <w:pStyle w:val="jaen"/>
            </w:pPr>
            <w:r>
              <w:br w:type="textWrapping" w:clear="all"/>
            </w:r>
          </w:p>
        </w:tc>
        <w:tc>
          <w:tcPr>
            <w:tcW w:w="5637" w:type="dxa"/>
            <w:tcBorders>
              <w:right w:val="single" w:sz="4" w:space="0" w:color="auto"/>
            </w:tcBorders>
            <w:shd w:val="clear" w:color="auto" w:fill="auto"/>
            <w:tcMar>
              <w:top w:w="0" w:type="dxa"/>
              <w:left w:w="108" w:type="dxa"/>
              <w:bottom w:w="0" w:type="dxa"/>
              <w:right w:w="108" w:type="dxa"/>
            </w:tcMar>
          </w:tcPr>
          <w:p w14:paraId="0274F6BD" w14:textId="77777777" w:rsidR="002D181F" w:rsidRDefault="005216AD">
            <w:pPr>
              <w:pStyle w:val="jaen"/>
            </w:pPr>
            <w:r>
              <w:t>100% magenta</w:t>
            </w:r>
          </w:p>
        </w:tc>
      </w:tr>
      <w:tr w:rsidR="002D181F" w14:paraId="5061A5E4" w14:textId="77777777" w:rsidTr="007C7B37">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614C97" w14:textId="77777777" w:rsidR="002D181F" w:rsidRDefault="005216AD">
            <w:pPr>
              <w:pStyle w:val="jaen"/>
            </w:pPr>
            <w:r>
              <w:br w:type="textWrapping" w:clear="all"/>
            </w:r>
          </w:p>
        </w:tc>
        <w:tc>
          <w:tcPr>
            <w:tcW w:w="5637" w:type="dxa"/>
            <w:tcBorders>
              <w:right w:val="single" w:sz="4" w:space="0" w:color="auto"/>
            </w:tcBorders>
            <w:shd w:val="clear" w:color="auto" w:fill="auto"/>
            <w:tcMar>
              <w:top w:w="0" w:type="dxa"/>
              <w:left w:w="108" w:type="dxa"/>
              <w:bottom w:w="0" w:type="dxa"/>
              <w:right w:w="108" w:type="dxa"/>
            </w:tcMar>
          </w:tcPr>
          <w:p w14:paraId="26C4363E" w14:textId="77777777" w:rsidR="002D181F" w:rsidRDefault="005216AD">
            <w:pPr>
              <w:pStyle w:val="jaen"/>
            </w:pPr>
            <w:r>
              <w:t>65% yellow</w:t>
            </w:r>
          </w:p>
        </w:tc>
      </w:tr>
      <w:tr w:rsidR="002D181F" w14:paraId="714EA25D" w14:textId="77777777" w:rsidTr="007C7B37">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25EC9A" w14:textId="77777777" w:rsidR="002D181F" w:rsidRDefault="005216AD">
            <w:pPr>
              <w:pStyle w:val="jaen"/>
            </w:pPr>
            <w:r>
              <w:br w:type="textWrapping" w:clear="all"/>
            </w:r>
          </w:p>
        </w:tc>
        <w:tc>
          <w:tcPr>
            <w:tcW w:w="5637" w:type="dxa"/>
            <w:tcBorders>
              <w:bottom w:val="single" w:sz="4" w:space="0" w:color="auto"/>
              <w:right w:val="single" w:sz="4" w:space="0" w:color="auto"/>
            </w:tcBorders>
            <w:shd w:val="clear" w:color="auto" w:fill="auto"/>
            <w:tcMar>
              <w:top w:w="0" w:type="dxa"/>
              <w:left w:w="108" w:type="dxa"/>
              <w:bottom w:w="0" w:type="dxa"/>
              <w:right w:w="108" w:type="dxa"/>
            </w:tcMar>
          </w:tcPr>
          <w:p w14:paraId="42F2A271" w14:textId="77777777" w:rsidR="002D181F" w:rsidRDefault="005216AD">
            <w:pPr>
              <w:pStyle w:val="jaen"/>
            </w:pPr>
            <w:r>
              <w:t>10% black</w:t>
            </w:r>
          </w:p>
        </w:tc>
      </w:tr>
      <w:tr w:rsidR="002D181F" w14:paraId="56D13894" w14:textId="77777777" w:rsidTr="007C7B37">
        <w:trPr>
          <w:cantSplit/>
        </w:trPr>
        <w:tc>
          <w:tcPr>
            <w:tcW w:w="3062"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0B7B767" w14:textId="77777777" w:rsidR="002D181F" w:rsidRDefault="005216AD">
            <w:pPr>
              <w:pStyle w:val="jaen"/>
            </w:pPr>
            <w:r>
              <w:t>(d)</w:t>
            </w:r>
          </w:p>
        </w:tc>
        <w:tc>
          <w:tcPr>
            <w:tcW w:w="5637" w:type="dxa"/>
            <w:tcBorders>
              <w:right w:val="single" w:sz="4" w:space="0" w:color="auto"/>
            </w:tcBorders>
            <w:shd w:val="clear" w:color="auto" w:fill="auto"/>
            <w:tcMar>
              <w:top w:w="0" w:type="dxa"/>
              <w:left w:w="108" w:type="dxa"/>
              <w:bottom w:w="0" w:type="dxa"/>
              <w:right w:w="108" w:type="dxa"/>
            </w:tcMar>
          </w:tcPr>
          <w:p w14:paraId="5303E0BB" w14:textId="77777777" w:rsidR="002D181F" w:rsidRDefault="005216AD">
            <w:pPr>
              <w:pStyle w:val="jaen"/>
            </w:pPr>
            <w:r>
              <w:t>PANTONE 4655C or 25% cyan</w:t>
            </w:r>
          </w:p>
        </w:tc>
      </w:tr>
      <w:tr w:rsidR="002D181F" w14:paraId="1DAA1701" w14:textId="77777777" w:rsidTr="007C7B37">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746D05" w14:textId="77777777" w:rsidR="002D181F" w:rsidRDefault="005216AD">
            <w:pPr>
              <w:pStyle w:val="jaen"/>
            </w:pPr>
            <w:r>
              <w:br w:type="textWrapping" w:clear="all"/>
            </w:r>
          </w:p>
        </w:tc>
        <w:tc>
          <w:tcPr>
            <w:tcW w:w="5637" w:type="dxa"/>
            <w:tcBorders>
              <w:right w:val="single" w:sz="4" w:space="0" w:color="auto"/>
            </w:tcBorders>
            <w:shd w:val="clear" w:color="auto" w:fill="auto"/>
            <w:tcMar>
              <w:top w:w="0" w:type="dxa"/>
              <w:left w:w="108" w:type="dxa"/>
              <w:bottom w:w="0" w:type="dxa"/>
              <w:right w:w="108" w:type="dxa"/>
            </w:tcMar>
          </w:tcPr>
          <w:p w14:paraId="148717D6" w14:textId="77777777" w:rsidR="002D181F" w:rsidRDefault="005216AD">
            <w:pPr>
              <w:pStyle w:val="jaen"/>
            </w:pPr>
            <w:r>
              <w:t>40% magenta</w:t>
            </w:r>
          </w:p>
        </w:tc>
      </w:tr>
      <w:tr w:rsidR="002D181F" w14:paraId="6C2913C0" w14:textId="77777777" w:rsidTr="007C7B37">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4145ED" w14:textId="77777777" w:rsidR="002D181F" w:rsidRDefault="005216AD">
            <w:pPr>
              <w:pStyle w:val="jaen"/>
            </w:pPr>
            <w:r>
              <w:br w:type="textWrapping" w:clear="all"/>
            </w:r>
          </w:p>
        </w:tc>
        <w:tc>
          <w:tcPr>
            <w:tcW w:w="5637" w:type="dxa"/>
            <w:tcBorders>
              <w:right w:val="single" w:sz="4" w:space="0" w:color="auto"/>
            </w:tcBorders>
            <w:shd w:val="clear" w:color="auto" w:fill="auto"/>
            <w:tcMar>
              <w:top w:w="0" w:type="dxa"/>
              <w:left w:w="108" w:type="dxa"/>
              <w:bottom w:w="0" w:type="dxa"/>
              <w:right w:w="108" w:type="dxa"/>
            </w:tcMar>
          </w:tcPr>
          <w:p w14:paraId="6024504A" w14:textId="77777777" w:rsidR="002D181F" w:rsidRDefault="005216AD">
            <w:pPr>
              <w:pStyle w:val="jaen"/>
            </w:pPr>
            <w:r>
              <w:t>65% yellow</w:t>
            </w:r>
          </w:p>
        </w:tc>
      </w:tr>
      <w:tr w:rsidR="002D181F" w14:paraId="05BD5ACB" w14:textId="77777777" w:rsidTr="007C7B37">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E7AA07" w14:textId="77777777" w:rsidR="002D181F" w:rsidRDefault="005216AD">
            <w:pPr>
              <w:pStyle w:val="jaen"/>
            </w:pPr>
            <w:r>
              <w:br w:type="textWrapping" w:clear="all"/>
            </w:r>
          </w:p>
        </w:tc>
        <w:tc>
          <w:tcPr>
            <w:tcW w:w="5637" w:type="dxa"/>
            <w:tcBorders>
              <w:bottom w:val="single" w:sz="4" w:space="0" w:color="auto"/>
              <w:right w:val="single" w:sz="4" w:space="0" w:color="auto"/>
            </w:tcBorders>
            <w:shd w:val="clear" w:color="auto" w:fill="auto"/>
            <w:tcMar>
              <w:top w:w="0" w:type="dxa"/>
              <w:left w:w="108" w:type="dxa"/>
              <w:bottom w:w="0" w:type="dxa"/>
              <w:right w:w="108" w:type="dxa"/>
            </w:tcMar>
          </w:tcPr>
          <w:p w14:paraId="1872C35C" w14:textId="77777777" w:rsidR="002D181F" w:rsidRDefault="005216AD">
            <w:pPr>
              <w:pStyle w:val="jaen"/>
            </w:pPr>
            <w:r>
              <w:t>0% black</w:t>
            </w:r>
          </w:p>
        </w:tc>
      </w:tr>
      <w:tr w:rsidR="002D181F" w14:paraId="7A6A61BE" w14:textId="77777777" w:rsidTr="007C7B37">
        <w:trPr>
          <w:cantSplit/>
        </w:trPr>
        <w:tc>
          <w:tcPr>
            <w:tcW w:w="3062"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C50E454" w14:textId="77777777" w:rsidR="002D181F" w:rsidRDefault="005216AD">
            <w:pPr>
              <w:pStyle w:val="jaen"/>
            </w:pPr>
            <w:r>
              <w:lastRenderedPageBreak/>
              <w:t>(e)</w:t>
            </w:r>
          </w:p>
        </w:tc>
        <w:tc>
          <w:tcPr>
            <w:tcW w:w="5637" w:type="dxa"/>
            <w:tcBorders>
              <w:right w:val="single" w:sz="4" w:space="0" w:color="auto"/>
            </w:tcBorders>
            <w:shd w:val="clear" w:color="auto" w:fill="auto"/>
            <w:tcMar>
              <w:top w:w="0" w:type="dxa"/>
              <w:left w:w="108" w:type="dxa"/>
              <w:bottom w:w="0" w:type="dxa"/>
              <w:right w:w="108" w:type="dxa"/>
            </w:tcMar>
          </w:tcPr>
          <w:p w14:paraId="56544866" w14:textId="77777777" w:rsidR="002D181F" w:rsidRDefault="005216AD">
            <w:pPr>
              <w:pStyle w:val="jaen"/>
            </w:pPr>
            <w:r>
              <w:t>PANTONE 4655C 70% or 17% cyan</w:t>
            </w:r>
          </w:p>
        </w:tc>
      </w:tr>
      <w:tr w:rsidR="002D181F" w14:paraId="297107CA" w14:textId="77777777" w:rsidTr="007C7B37">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34BD6B" w14:textId="77777777" w:rsidR="002D181F" w:rsidRDefault="005216AD">
            <w:pPr>
              <w:pStyle w:val="jaen"/>
            </w:pPr>
            <w:r>
              <w:br w:type="textWrapping" w:clear="all"/>
            </w:r>
          </w:p>
        </w:tc>
        <w:tc>
          <w:tcPr>
            <w:tcW w:w="5637" w:type="dxa"/>
            <w:tcBorders>
              <w:right w:val="single" w:sz="4" w:space="0" w:color="auto"/>
            </w:tcBorders>
            <w:shd w:val="clear" w:color="auto" w:fill="auto"/>
            <w:tcMar>
              <w:top w:w="0" w:type="dxa"/>
              <w:left w:w="108" w:type="dxa"/>
              <w:bottom w:w="0" w:type="dxa"/>
              <w:right w:w="108" w:type="dxa"/>
            </w:tcMar>
          </w:tcPr>
          <w:p w14:paraId="28539467" w14:textId="77777777" w:rsidR="002D181F" w:rsidRDefault="005216AD">
            <w:pPr>
              <w:pStyle w:val="jaen"/>
            </w:pPr>
            <w:r>
              <w:t>30% magenta</w:t>
            </w:r>
          </w:p>
        </w:tc>
      </w:tr>
      <w:tr w:rsidR="002D181F" w14:paraId="0C612F17" w14:textId="77777777" w:rsidTr="007C7B37">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449816" w14:textId="77777777" w:rsidR="002D181F" w:rsidRDefault="005216AD">
            <w:pPr>
              <w:pStyle w:val="jaen"/>
            </w:pPr>
            <w:r>
              <w:br w:type="textWrapping" w:clear="all"/>
            </w:r>
          </w:p>
        </w:tc>
        <w:tc>
          <w:tcPr>
            <w:tcW w:w="5637" w:type="dxa"/>
            <w:tcBorders>
              <w:right w:val="single" w:sz="4" w:space="0" w:color="auto"/>
            </w:tcBorders>
            <w:shd w:val="clear" w:color="auto" w:fill="auto"/>
            <w:tcMar>
              <w:top w:w="0" w:type="dxa"/>
              <w:left w:w="108" w:type="dxa"/>
              <w:bottom w:w="0" w:type="dxa"/>
              <w:right w:w="108" w:type="dxa"/>
            </w:tcMar>
          </w:tcPr>
          <w:p w14:paraId="128B7DAE" w14:textId="77777777" w:rsidR="002D181F" w:rsidRDefault="005216AD">
            <w:pPr>
              <w:pStyle w:val="jaen"/>
            </w:pPr>
            <w:r>
              <w:t>45% yellow</w:t>
            </w:r>
          </w:p>
        </w:tc>
      </w:tr>
      <w:tr w:rsidR="002D181F" w14:paraId="7502286A" w14:textId="77777777" w:rsidTr="007C7B37">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5845A6" w14:textId="77777777" w:rsidR="002D181F" w:rsidRDefault="005216AD">
            <w:pPr>
              <w:pStyle w:val="jaen"/>
            </w:pPr>
            <w:r>
              <w:br w:type="textWrapping" w:clear="all"/>
            </w:r>
          </w:p>
        </w:tc>
        <w:tc>
          <w:tcPr>
            <w:tcW w:w="5637" w:type="dxa"/>
            <w:tcBorders>
              <w:bottom w:val="single" w:sz="4" w:space="0" w:color="auto"/>
              <w:right w:val="single" w:sz="4" w:space="0" w:color="auto"/>
            </w:tcBorders>
            <w:shd w:val="clear" w:color="auto" w:fill="auto"/>
            <w:tcMar>
              <w:top w:w="0" w:type="dxa"/>
              <w:left w:w="108" w:type="dxa"/>
              <w:bottom w:w="0" w:type="dxa"/>
              <w:right w:w="108" w:type="dxa"/>
            </w:tcMar>
          </w:tcPr>
          <w:p w14:paraId="60749EEF" w14:textId="77777777" w:rsidR="002D181F" w:rsidRDefault="005216AD">
            <w:pPr>
              <w:pStyle w:val="jaen"/>
            </w:pPr>
            <w:r>
              <w:t>0% black</w:t>
            </w:r>
          </w:p>
        </w:tc>
      </w:tr>
      <w:tr w:rsidR="002D181F" w14:paraId="05DC8F26" w14:textId="77777777" w:rsidTr="007C7B37">
        <w:trPr>
          <w:cantSplit/>
        </w:trPr>
        <w:tc>
          <w:tcPr>
            <w:tcW w:w="3062"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ED5526E" w14:textId="77777777" w:rsidR="002D181F" w:rsidRDefault="005216AD">
            <w:pPr>
              <w:pStyle w:val="jaen"/>
            </w:pPr>
            <w:r>
              <w:t>Character of “JAPAN GEOGRAPHICAL INDICATION”, “</w:t>
            </w:r>
            <w:r>
              <w:t>日本</w:t>
            </w:r>
            <w:r>
              <w:t>”, “</w:t>
            </w:r>
            <w:r>
              <w:t>地理的表示</w:t>
            </w:r>
            <w:r>
              <w:t>”, and “GI”</w:t>
            </w:r>
          </w:p>
        </w:tc>
        <w:tc>
          <w:tcPr>
            <w:tcW w:w="5637" w:type="dxa"/>
            <w:tcBorders>
              <w:right w:val="single" w:sz="4" w:space="0" w:color="auto"/>
            </w:tcBorders>
            <w:shd w:val="clear" w:color="auto" w:fill="auto"/>
            <w:tcMar>
              <w:top w:w="0" w:type="dxa"/>
              <w:left w:w="108" w:type="dxa"/>
              <w:bottom w:w="0" w:type="dxa"/>
              <w:right w:w="108" w:type="dxa"/>
            </w:tcMar>
          </w:tcPr>
          <w:p w14:paraId="08C843C5" w14:textId="77777777" w:rsidR="002D181F" w:rsidRDefault="005216AD">
            <w:pPr>
              <w:pStyle w:val="jaen"/>
            </w:pPr>
            <w:r>
              <w:t>PANTONE 4655C or 25% cyan</w:t>
            </w:r>
          </w:p>
        </w:tc>
      </w:tr>
      <w:tr w:rsidR="002D181F" w14:paraId="5981E175" w14:textId="77777777" w:rsidTr="007C7B37">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6C4937" w14:textId="77777777" w:rsidR="002D181F" w:rsidRDefault="005216AD">
            <w:pPr>
              <w:pStyle w:val="jaen"/>
            </w:pPr>
            <w:r>
              <w:br w:type="textWrapping" w:clear="all"/>
            </w:r>
          </w:p>
        </w:tc>
        <w:tc>
          <w:tcPr>
            <w:tcW w:w="5637" w:type="dxa"/>
            <w:tcBorders>
              <w:right w:val="single" w:sz="4" w:space="0" w:color="auto"/>
            </w:tcBorders>
            <w:shd w:val="clear" w:color="auto" w:fill="auto"/>
            <w:tcMar>
              <w:top w:w="0" w:type="dxa"/>
              <w:left w:w="108" w:type="dxa"/>
              <w:bottom w:w="0" w:type="dxa"/>
              <w:right w:w="108" w:type="dxa"/>
            </w:tcMar>
          </w:tcPr>
          <w:p w14:paraId="4A41CDD3" w14:textId="77777777" w:rsidR="002D181F" w:rsidRDefault="005216AD">
            <w:pPr>
              <w:pStyle w:val="jaen"/>
            </w:pPr>
            <w:r>
              <w:t>40% magenta</w:t>
            </w:r>
          </w:p>
        </w:tc>
      </w:tr>
      <w:tr w:rsidR="002D181F" w14:paraId="4B7057AB" w14:textId="77777777" w:rsidTr="007C7B37">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B31C1E" w14:textId="77777777" w:rsidR="002D181F" w:rsidRDefault="005216AD">
            <w:pPr>
              <w:pStyle w:val="jaen"/>
            </w:pPr>
            <w:r>
              <w:br w:type="textWrapping" w:clear="all"/>
            </w:r>
          </w:p>
        </w:tc>
        <w:tc>
          <w:tcPr>
            <w:tcW w:w="5637" w:type="dxa"/>
            <w:tcBorders>
              <w:right w:val="single" w:sz="4" w:space="0" w:color="auto"/>
            </w:tcBorders>
            <w:shd w:val="clear" w:color="auto" w:fill="auto"/>
            <w:tcMar>
              <w:top w:w="0" w:type="dxa"/>
              <w:left w:w="108" w:type="dxa"/>
              <w:bottom w:w="0" w:type="dxa"/>
              <w:right w:w="108" w:type="dxa"/>
            </w:tcMar>
          </w:tcPr>
          <w:p w14:paraId="004AAA35" w14:textId="77777777" w:rsidR="002D181F" w:rsidRDefault="005216AD">
            <w:pPr>
              <w:pStyle w:val="jaen"/>
            </w:pPr>
            <w:r>
              <w:t>65% yellow</w:t>
            </w:r>
          </w:p>
        </w:tc>
      </w:tr>
      <w:tr w:rsidR="002D181F" w14:paraId="7AFF43AA" w14:textId="77777777" w:rsidTr="007C7B37">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E01F9A" w14:textId="77777777" w:rsidR="002D181F" w:rsidRDefault="005216AD">
            <w:pPr>
              <w:pStyle w:val="jaen"/>
            </w:pPr>
            <w:r>
              <w:br w:type="textWrapping" w:clear="all"/>
            </w:r>
          </w:p>
        </w:tc>
        <w:tc>
          <w:tcPr>
            <w:tcW w:w="5637" w:type="dxa"/>
            <w:tcBorders>
              <w:bottom w:val="single" w:sz="4" w:space="0" w:color="auto"/>
              <w:right w:val="single" w:sz="4" w:space="0" w:color="auto"/>
            </w:tcBorders>
            <w:shd w:val="clear" w:color="auto" w:fill="auto"/>
            <w:tcMar>
              <w:top w:w="0" w:type="dxa"/>
              <w:left w:w="108" w:type="dxa"/>
              <w:bottom w:w="0" w:type="dxa"/>
              <w:right w:w="108" w:type="dxa"/>
            </w:tcMar>
          </w:tcPr>
          <w:p w14:paraId="44292F10" w14:textId="77777777" w:rsidR="002D181F" w:rsidRDefault="005216AD">
            <w:pPr>
              <w:pStyle w:val="jaen"/>
            </w:pPr>
            <w:r>
              <w:t>0% black</w:t>
            </w:r>
          </w:p>
        </w:tc>
      </w:tr>
    </w:tbl>
    <w:p w14:paraId="2DD3BC35" w14:textId="77777777" w:rsidR="002D181F" w:rsidRDefault="002D181F"/>
    <w:p w14:paraId="2EE80303" w14:textId="77777777" w:rsidR="002D181F" w:rsidRDefault="002D181F">
      <w:pPr>
        <w:pStyle w:val="enf7"/>
      </w:pPr>
    </w:p>
    <w:p w14:paraId="15C8680E" w14:textId="77777777" w:rsidR="002D181F" w:rsidRDefault="005216AD">
      <w:pPr>
        <w:pStyle w:val="enf7"/>
      </w:pPr>
      <w:r>
        <w:t>(4) The color of (c) is to fall under all of the following items:</w:t>
      </w:r>
    </w:p>
    <w:p w14:paraId="444C8C05" w14:textId="77777777" w:rsidR="002D181F" w:rsidRDefault="005216AD">
      <w:pPr>
        <w:pStyle w:val="enf7"/>
      </w:pPr>
      <w:r>
        <w:t>(i) variation of colors will be homogeneous; the color of the top of (c) meets the color of the starting point stipulated in the following list and the color of 3375/10000 from the top of (c) meets the intermediate color between the color of starting point and that of the end point stipulated in the following list;</w:t>
      </w:r>
    </w:p>
    <w:p w14:paraId="47A478BA" w14:textId="77777777" w:rsidR="002D181F" w:rsidRDefault="005216AD">
      <w:r>
        <w:t>(ii) variation of colors is to be homogeneous; the color of 3375/10000 from the top of (c) meets the intermediate color stipulated in (i) and the color of 4500/10000 from the top of (c) meets the color of end point stipulated in the following list.</w:t>
      </w:r>
    </w:p>
    <w:tbl>
      <w:tblPr>
        <w:tblW w:w="0" w:type="auto"/>
        <w:tblInd w:w="232" w:type="dxa"/>
        <w:tblLayout w:type="fixed"/>
        <w:tblCellMar>
          <w:left w:w="0" w:type="dxa"/>
          <w:right w:w="0" w:type="dxa"/>
        </w:tblCellMar>
        <w:tblLook w:val="0000" w:firstRow="0" w:lastRow="0" w:firstColumn="0" w:lastColumn="0" w:noHBand="0" w:noVBand="0"/>
      </w:tblPr>
      <w:tblGrid>
        <w:gridCol w:w="3836"/>
        <w:gridCol w:w="4863"/>
      </w:tblGrid>
      <w:tr w:rsidR="002D181F" w14:paraId="18FFA033" w14:textId="77777777" w:rsidTr="007C7B37">
        <w:trPr>
          <w:cantSplit/>
        </w:trPr>
        <w:tc>
          <w:tcPr>
            <w:tcW w:w="38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B85A67" w14:textId="77777777" w:rsidR="002D181F" w:rsidRDefault="005216AD">
            <w:pPr>
              <w:pStyle w:val="jaen"/>
            </w:pPr>
            <w:r>
              <w:t>Name of color</w:t>
            </w:r>
          </w:p>
        </w:tc>
        <w:tc>
          <w:tcPr>
            <w:tcW w:w="4863"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70EB4C" w14:textId="77777777" w:rsidR="002D181F" w:rsidRDefault="005216AD">
            <w:pPr>
              <w:pStyle w:val="jaen"/>
            </w:pPr>
            <w:r>
              <w:t>Color</w:t>
            </w:r>
          </w:p>
        </w:tc>
      </w:tr>
      <w:tr w:rsidR="002D181F" w14:paraId="0115CBFD" w14:textId="77777777" w:rsidTr="007C7B37">
        <w:trPr>
          <w:cantSplit/>
        </w:trPr>
        <w:tc>
          <w:tcPr>
            <w:tcW w:w="3836"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1B172FC" w14:textId="77777777" w:rsidR="002D181F" w:rsidRDefault="005216AD">
            <w:pPr>
              <w:pStyle w:val="jaen"/>
            </w:pPr>
            <w:r>
              <w:t>Color of Starting point</w:t>
            </w:r>
          </w:p>
        </w:tc>
        <w:tc>
          <w:tcPr>
            <w:tcW w:w="4863" w:type="dxa"/>
            <w:tcBorders>
              <w:right w:val="single" w:sz="4" w:space="0" w:color="auto"/>
            </w:tcBorders>
            <w:shd w:val="clear" w:color="auto" w:fill="auto"/>
            <w:tcMar>
              <w:top w:w="0" w:type="dxa"/>
              <w:left w:w="108" w:type="dxa"/>
              <w:bottom w:w="0" w:type="dxa"/>
              <w:right w:w="108" w:type="dxa"/>
            </w:tcMar>
          </w:tcPr>
          <w:p w14:paraId="2F94F8B4" w14:textId="77777777" w:rsidR="002D181F" w:rsidRDefault="005216AD">
            <w:pPr>
              <w:pStyle w:val="jaen"/>
            </w:pPr>
            <w:r>
              <w:t>PANTONE 4655C or 25% cyan</w:t>
            </w:r>
          </w:p>
        </w:tc>
      </w:tr>
      <w:tr w:rsidR="002D181F" w14:paraId="41B352AA" w14:textId="77777777" w:rsidTr="007C7B37">
        <w:trPr>
          <w:cantSplit/>
        </w:trPr>
        <w:tc>
          <w:tcPr>
            <w:tcW w:w="3836"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3F5E09" w14:textId="77777777" w:rsidR="002D181F" w:rsidRDefault="005216AD">
            <w:pPr>
              <w:pStyle w:val="jaen"/>
            </w:pPr>
            <w:r>
              <w:br w:type="textWrapping" w:clear="all"/>
            </w:r>
          </w:p>
        </w:tc>
        <w:tc>
          <w:tcPr>
            <w:tcW w:w="4863" w:type="dxa"/>
            <w:tcBorders>
              <w:right w:val="single" w:sz="4" w:space="0" w:color="auto"/>
            </w:tcBorders>
            <w:shd w:val="clear" w:color="auto" w:fill="auto"/>
            <w:tcMar>
              <w:top w:w="0" w:type="dxa"/>
              <w:left w:w="108" w:type="dxa"/>
              <w:bottom w:w="0" w:type="dxa"/>
              <w:right w:w="108" w:type="dxa"/>
            </w:tcMar>
          </w:tcPr>
          <w:p w14:paraId="660750CA" w14:textId="77777777" w:rsidR="002D181F" w:rsidRDefault="005216AD">
            <w:pPr>
              <w:pStyle w:val="jaen"/>
            </w:pPr>
            <w:r>
              <w:t>40% magenta</w:t>
            </w:r>
          </w:p>
        </w:tc>
      </w:tr>
      <w:tr w:rsidR="002D181F" w14:paraId="4B8CDF9F" w14:textId="77777777" w:rsidTr="007C7B37">
        <w:trPr>
          <w:cantSplit/>
        </w:trPr>
        <w:tc>
          <w:tcPr>
            <w:tcW w:w="3836"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771236" w14:textId="77777777" w:rsidR="002D181F" w:rsidRDefault="005216AD">
            <w:pPr>
              <w:pStyle w:val="jaen"/>
            </w:pPr>
            <w:r>
              <w:br w:type="textWrapping" w:clear="all"/>
            </w:r>
          </w:p>
        </w:tc>
        <w:tc>
          <w:tcPr>
            <w:tcW w:w="4863" w:type="dxa"/>
            <w:tcBorders>
              <w:right w:val="single" w:sz="4" w:space="0" w:color="auto"/>
            </w:tcBorders>
            <w:shd w:val="clear" w:color="auto" w:fill="auto"/>
            <w:tcMar>
              <w:top w:w="0" w:type="dxa"/>
              <w:left w:w="108" w:type="dxa"/>
              <w:bottom w:w="0" w:type="dxa"/>
              <w:right w:w="108" w:type="dxa"/>
            </w:tcMar>
          </w:tcPr>
          <w:p w14:paraId="4E025BE9" w14:textId="77777777" w:rsidR="002D181F" w:rsidRDefault="005216AD">
            <w:pPr>
              <w:pStyle w:val="jaen"/>
            </w:pPr>
            <w:r>
              <w:t>65% yellow</w:t>
            </w:r>
          </w:p>
        </w:tc>
      </w:tr>
      <w:tr w:rsidR="002D181F" w14:paraId="0AA4FDF3" w14:textId="77777777" w:rsidTr="007C7B37">
        <w:trPr>
          <w:cantSplit/>
        </w:trPr>
        <w:tc>
          <w:tcPr>
            <w:tcW w:w="3836"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6BB8C4" w14:textId="77777777" w:rsidR="002D181F" w:rsidRDefault="005216AD">
            <w:pPr>
              <w:pStyle w:val="jaen"/>
            </w:pPr>
            <w:r>
              <w:br w:type="textWrapping" w:clear="all"/>
            </w:r>
          </w:p>
        </w:tc>
        <w:tc>
          <w:tcPr>
            <w:tcW w:w="4863" w:type="dxa"/>
            <w:tcBorders>
              <w:bottom w:val="single" w:sz="4" w:space="0" w:color="auto"/>
              <w:right w:val="single" w:sz="4" w:space="0" w:color="auto"/>
            </w:tcBorders>
            <w:shd w:val="clear" w:color="auto" w:fill="auto"/>
            <w:tcMar>
              <w:top w:w="0" w:type="dxa"/>
              <w:left w:w="108" w:type="dxa"/>
              <w:bottom w:w="0" w:type="dxa"/>
              <w:right w:w="108" w:type="dxa"/>
            </w:tcMar>
          </w:tcPr>
          <w:p w14:paraId="1D9C2786" w14:textId="77777777" w:rsidR="002D181F" w:rsidRDefault="005216AD">
            <w:pPr>
              <w:pStyle w:val="jaen"/>
            </w:pPr>
            <w:r>
              <w:t>0% black</w:t>
            </w:r>
          </w:p>
        </w:tc>
      </w:tr>
      <w:tr w:rsidR="002D181F" w14:paraId="0E4258A8" w14:textId="77777777" w:rsidTr="007C7B37">
        <w:trPr>
          <w:cantSplit/>
        </w:trPr>
        <w:tc>
          <w:tcPr>
            <w:tcW w:w="3836"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6AF0494" w14:textId="77777777" w:rsidR="002D181F" w:rsidRDefault="005216AD">
            <w:pPr>
              <w:pStyle w:val="jaen"/>
            </w:pPr>
            <w:r>
              <w:t>Color of Ending point</w:t>
            </w:r>
          </w:p>
        </w:tc>
        <w:tc>
          <w:tcPr>
            <w:tcW w:w="4863" w:type="dxa"/>
            <w:tcBorders>
              <w:right w:val="single" w:sz="4" w:space="0" w:color="auto"/>
            </w:tcBorders>
            <w:shd w:val="clear" w:color="auto" w:fill="auto"/>
            <w:tcMar>
              <w:top w:w="0" w:type="dxa"/>
              <w:left w:w="108" w:type="dxa"/>
              <w:bottom w:w="0" w:type="dxa"/>
              <w:right w:w="108" w:type="dxa"/>
            </w:tcMar>
          </w:tcPr>
          <w:p w14:paraId="334F8F89" w14:textId="77777777" w:rsidR="002D181F" w:rsidRDefault="005216AD">
            <w:pPr>
              <w:pStyle w:val="jaen"/>
            </w:pPr>
            <w:r>
              <w:t>PANTONE 4645C or 30% cyan</w:t>
            </w:r>
          </w:p>
        </w:tc>
      </w:tr>
      <w:tr w:rsidR="002D181F" w14:paraId="2E3FAD99" w14:textId="77777777" w:rsidTr="007C7B37">
        <w:trPr>
          <w:cantSplit/>
        </w:trPr>
        <w:tc>
          <w:tcPr>
            <w:tcW w:w="3836"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4FEF5D" w14:textId="77777777" w:rsidR="002D181F" w:rsidRDefault="005216AD">
            <w:pPr>
              <w:pStyle w:val="jaen"/>
            </w:pPr>
            <w:r>
              <w:br w:type="textWrapping" w:clear="all"/>
            </w:r>
          </w:p>
        </w:tc>
        <w:tc>
          <w:tcPr>
            <w:tcW w:w="4863" w:type="dxa"/>
            <w:tcBorders>
              <w:right w:val="single" w:sz="4" w:space="0" w:color="auto"/>
            </w:tcBorders>
            <w:shd w:val="clear" w:color="auto" w:fill="auto"/>
            <w:tcMar>
              <w:top w:w="0" w:type="dxa"/>
              <w:left w:w="108" w:type="dxa"/>
              <w:bottom w:w="0" w:type="dxa"/>
              <w:right w:w="108" w:type="dxa"/>
            </w:tcMar>
          </w:tcPr>
          <w:p w14:paraId="6F9E7D74" w14:textId="77777777" w:rsidR="002D181F" w:rsidRDefault="005216AD">
            <w:pPr>
              <w:pStyle w:val="jaen"/>
            </w:pPr>
            <w:r>
              <w:t>50% magenta</w:t>
            </w:r>
          </w:p>
        </w:tc>
      </w:tr>
      <w:tr w:rsidR="002D181F" w14:paraId="0D05679B" w14:textId="77777777" w:rsidTr="007C7B37">
        <w:trPr>
          <w:cantSplit/>
        </w:trPr>
        <w:tc>
          <w:tcPr>
            <w:tcW w:w="3836"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F39422" w14:textId="77777777" w:rsidR="002D181F" w:rsidRDefault="005216AD">
            <w:pPr>
              <w:pStyle w:val="jaen"/>
            </w:pPr>
            <w:r>
              <w:br w:type="textWrapping" w:clear="all"/>
            </w:r>
          </w:p>
        </w:tc>
        <w:tc>
          <w:tcPr>
            <w:tcW w:w="4863" w:type="dxa"/>
            <w:tcBorders>
              <w:right w:val="single" w:sz="4" w:space="0" w:color="auto"/>
            </w:tcBorders>
            <w:shd w:val="clear" w:color="auto" w:fill="auto"/>
            <w:tcMar>
              <w:top w:w="0" w:type="dxa"/>
              <w:left w:w="108" w:type="dxa"/>
              <w:bottom w:w="0" w:type="dxa"/>
              <w:right w:w="108" w:type="dxa"/>
            </w:tcMar>
          </w:tcPr>
          <w:p w14:paraId="2A86B61E" w14:textId="77777777" w:rsidR="002D181F" w:rsidRDefault="005216AD">
            <w:pPr>
              <w:pStyle w:val="jaen"/>
            </w:pPr>
            <w:r>
              <w:t>70% yellow</w:t>
            </w:r>
          </w:p>
        </w:tc>
      </w:tr>
      <w:tr w:rsidR="002D181F" w14:paraId="7B9BEC54" w14:textId="77777777" w:rsidTr="007C7B37">
        <w:trPr>
          <w:cantSplit/>
        </w:trPr>
        <w:tc>
          <w:tcPr>
            <w:tcW w:w="3836"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645C75" w14:textId="77777777" w:rsidR="002D181F" w:rsidRDefault="005216AD">
            <w:pPr>
              <w:pStyle w:val="jaen"/>
            </w:pPr>
            <w:r>
              <w:br w:type="textWrapping" w:clear="all"/>
            </w:r>
          </w:p>
        </w:tc>
        <w:tc>
          <w:tcPr>
            <w:tcW w:w="4863" w:type="dxa"/>
            <w:tcBorders>
              <w:bottom w:val="single" w:sz="4" w:space="0" w:color="auto"/>
              <w:right w:val="single" w:sz="4" w:space="0" w:color="auto"/>
            </w:tcBorders>
            <w:shd w:val="clear" w:color="auto" w:fill="auto"/>
            <w:tcMar>
              <w:top w:w="0" w:type="dxa"/>
              <w:left w:w="108" w:type="dxa"/>
              <w:bottom w:w="0" w:type="dxa"/>
              <w:right w:w="108" w:type="dxa"/>
            </w:tcMar>
          </w:tcPr>
          <w:p w14:paraId="5C3BC25A" w14:textId="77777777" w:rsidR="002D181F" w:rsidRDefault="005216AD">
            <w:pPr>
              <w:pStyle w:val="jaen"/>
            </w:pPr>
            <w:r>
              <w:t>10% black</w:t>
            </w:r>
          </w:p>
        </w:tc>
      </w:tr>
    </w:tbl>
    <w:p w14:paraId="27C65977" w14:textId="77777777" w:rsidR="002D181F" w:rsidRDefault="002D181F">
      <w:pPr>
        <w:pStyle w:val="enf7"/>
      </w:pPr>
    </w:p>
    <w:p w14:paraId="7F62E2F3" w14:textId="77777777" w:rsidR="002D181F" w:rsidRDefault="002D181F"/>
    <w:p w14:paraId="0FA97160" w14:textId="2019FF70" w:rsidR="002D181F" w:rsidRDefault="005216AD">
      <w:pPr>
        <w:pStyle w:val="enff8"/>
      </w:pPr>
      <w:r>
        <w:t>Form 2 (Related to Article 4)</w:t>
      </w:r>
    </w:p>
    <w:p w14:paraId="20693F3C" w14:textId="43C7BE35" w:rsidR="001623DC" w:rsidRPr="007C7B37" w:rsidRDefault="001623DC" w:rsidP="001623DC">
      <w:pPr>
        <w:pStyle w:val="enff8"/>
        <w:ind w:left="0" w:firstLine="0"/>
        <w:rPr>
          <w:rFonts w:eastAsia="游明朝" w:hint="eastAsia"/>
        </w:rPr>
      </w:pPr>
      <w:r w:rsidRPr="007C7B37">
        <w:rPr>
          <w:rFonts w:eastAsia="游明朝"/>
        </w:rPr>
        <w:lastRenderedPageBreak/>
        <w:pict w14:anchorId="60D8C361">
          <v:shape id="_x0000_i1026" type="#_x0000_t75" style="width:354pt;height:339pt">
            <v:imagedata r:id="rId8" o:title=""/>
          </v:shape>
        </w:pict>
      </w:r>
    </w:p>
    <w:p w14:paraId="726F3555" w14:textId="77777777" w:rsidR="002D181F" w:rsidRDefault="005216AD">
      <w:pPr>
        <w:pStyle w:val="enf7"/>
      </w:pPr>
      <w:r>
        <w:t>(1) The diameter of the external circle is to be over 15 mm and the diameter of the internal circle is to be 6216/10000 of the diameter of the external circle.</w:t>
      </w:r>
    </w:p>
    <w:p w14:paraId="2F5DE655" w14:textId="77777777" w:rsidR="002D181F" w:rsidRDefault="005216AD">
      <w:r>
        <w:t>(2) The dimensions from A to F of GI logo described above are as follows.</w:t>
      </w:r>
    </w:p>
    <w:tbl>
      <w:tblPr>
        <w:tblW w:w="0" w:type="auto"/>
        <w:tblInd w:w="232" w:type="dxa"/>
        <w:tblLayout w:type="fixed"/>
        <w:tblCellMar>
          <w:left w:w="0" w:type="dxa"/>
          <w:right w:w="0" w:type="dxa"/>
        </w:tblCellMar>
        <w:tblLook w:val="0000" w:firstRow="0" w:lastRow="0" w:firstColumn="0" w:lastColumn="0" w:noHBand="0" w:noVBand="0"/>
      </w:tblPr>
      <w:tblGrid>
        <w:gridCol w:w="1566"/>
        <w:gridCol w:w="7134"/>
      </w:tblGrid>
      <w:tr w:rsidR="002D181F" w14:paraId="5FE01D83" w14:textId="77777777" w:rsidTr="007C7B37">
        <w:trPr>
          <w:cantSplit/>
        </w:trPr>
        <w:tc>
          <w:tcPr>
            <w:tcW w:w="15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5A0672" w14:textId="77777777" w:rsidR="002D181F" w:rsidRDefault="005216AD">
            <w:pPr>
              <w:pStyle w:val="jaen"/>
            </w:pPr>
            <w:r>
              <w:t>Parts</w:t>
            </w:r>
          </w:p>
        </w:tc>
        <w:tc>
          <w:tcPr>
            <w:tcW w:w="7134"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B62CC3" w14:textId="77777777" w:rsidR="002D181F" w:rsidRDefault="005216AD">
            <w:pPr>
              <w:pStyle w:val="jaen"/>
            </w:pPr>
            <w:r>
              <w:t>Sizes</w:t>
            </w:r>
          </w:p>
        </w:tc>
      </w:tr>
      <w:tr w:rsidR="002D181F" w14:paraId="0F757D26" w14:textId="77777777" w:rsidTr="007C7B3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D92147" w14:textId="77777777" w:rsidR="002D181F" w:rsidRDefault="005216AD">
            <w:pPr>
              <w:pStyle w:val="jaen"/>
            </w:pPr>
            <w:r>
              <w:t>A</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2BDE6FD8" w14:textId="77777777" w:rsidR="002D181F" w:rsidRDefault="005216AD">
            <w:pPr>
              <w:pStyle w:val="jaen"/>
            </w:pPr>
            <w:r>
              <w:t>6.75% of diameter of external circle</w:t>
            </w:r>
          </w:p>
        </w:tc>
      </w:tr>
      <w:tr w:rsidR="002D181F" w14:paraId="0F1475D3" w14:textId="77777777" w:rsidTr="007C7B3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4EDFD1" w14:textId="77777777" w:rsidR="002D181F" w:rsidRDefault="005216AD">
            <w:pPr>
              <w:pStyle w:val="jaen"/>
            </w:pPr>
            <w:r>
              <w:t>B</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51ED1391" w14:textId="77777777" w:rsidR="002D181F" w:rsidRDefault="005216AD">
            <w:pPr>
              <w:pStyle w:val="jaen"/>
            </w:pPr>
            <w:r>
              <w:t>45.16 of diameter of external circle</w:t>
            </w:r>
          </w:p>
        </w:tc>
      </w:tr>
      <w:tr w:rsidR="002D181F" w14:paraId="2536F5C5" w14:textId="77777777" w:rsidTr="007C7B3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F8D275" w14:textId="77777777" w:rsidR="002D181F" w:rsidRDefault="005216AD">
            <w:pPr>
              <w:pStyle w:val="jaen"/>
            </w:pPr>
            <w:r>
              <w:t>C</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4AAE8BD3" w14:textId="77777777" w:rsidR="002D181F" w:rsidRDefault="005216AD">
            <w:pPr>
              <w:pStyle w:val="jaen"/>
            </w:pPr>
            <w:r>
              <w:t>21.82%of diameter of external circle</w:t>
            </w:r>
          </w:p>
        </w:tc>
      </w:tr>
      <w:tr w:rsidR="002D181F" w14:paraId="1A994C66" w14:textId="77777777" w:rsidTr="007C7B3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7F516B" w14:textId="77777777" w:rsidR="002D181F" w:rsidRDefault="005216AD">
            <w:pPr>
              <w:pStyle w:val="jaen"/>
            </w:pPr>
            <w:r>
              <w:t>D</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57636151" w14:textId="77777777" w:rsidR="002D181F" w:rsidRDefault="005216AD">
            <w:pPr>
              <w:pStyle w:val="jaen"/>
            </w:pPr>
            <w:r>
              <w:t>38.88%of diameter of external circle</w:t>
            </w:r>
          </w:p>
        </w:tc>
      </w:tr>
      <w:tr w:rsidR="002D181F" w14:paraId="64E04FFF" w14:textId="77777777" w:rsidTr="007C7B3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14B515" w14:textId="77777777" w:rsidR="002D181F" w:rsidRDefault="005216AD">
            <w:pPr>
              <w:pStyle w:val="jaen"/>
            </w:pPr>
            <w:r>
              <w:t>E</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637399CE" w14:textId="77777777" w:rsidR="002D181F" w:rsidRDefault="005216AD">
            <w:pPr>
              <w:pStyle w:val="jaen"/>
            </w:pPr>
            <w:r>
              <w:t>5.5%of diameter of external circle</w:t>
            </w:r>
          </w:p>
        </w:tc>
      </w:tr>
      <w:tr w:rsidR="002D181F" w14:paraId="13129E45" w14:textId="77777777" w:rsidTr="007C7B3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69D384" w14:textId="77777777" w:rsidR="002D181F" w:rsidRDefault="005216AD">
            <w:pPr>
              <w:pStyle w:val="jaen"/>
            </w:pPr>
            <w:r>
              <w:t>F</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52E41551" w14:textId="77777777" w:rsidR="002D181F" w:rsidRDefault="005216AD">
            <w:pPr>
              <w:pStyle w:val="jaen"/>
            </w:pPr>
            <w:r>
              <w:t>56.06%of diameter of external circle</w:t>
            </w:r>
          </w:p>
        </w:tc>
      </w:tr>
    </w:tbl>
    <w:p w14:paraId="4C4E6860" w14:textId="77777777" w:rsidR="002D181F" w:rsidRDefault="002D181F"/>
    <w:p w14:paraId="77070443" w14:textId="77777777" w:rsidR="002D181F" w:rsidRDefault="002D181F">
      <w:pPr>
        <w:pStyle w:val="enf7"/>
      </w:pPr>
    </w:p>
    <w:p w14:paraId="633B72ED" w14:textId="77777777" w:rsidR="002D181F" w:rsidRDefault="005216AD">
      <w:r>
        <w:t>(3) Color of parts of (a), (b), (d), and (e) and characters of “JAPAN GEOGRAPHICAL INDICATION”, “</w:t>
      </w:r>
      <w:r>
        <w:t>日本</w:t>
      </w:r>
      <w:r>
        <w:t>”, “</w:t>
      </w:r>
      <w:r>
        <w:t>地理的表示</w:t>
      </w:r>
      <w:r>
        <w:t>”, and “GI” are as follows;</w:t>
      </w:r>
    </w:p>
    <w:tbl>
      <w:tblPr>
        <w:tblW w:w="0" w:type="auto"/>
        <w:tblInd w:w="232" w:type="dxa"/>
        <w:tblLayout w:type="fixed"/>
        <w:tblCellMar>
          <w:left w:w="0" w:type="dxa"/>
          <w:right w:w="0" w:type="dxa"/>
        </w:tblCellMar>
        <w:tblLook w:val="0000" w:firstRow="0" w:lastRow="0" w:firstColumn="0" w:lastColumn="0" w:noHBand="0" w:noVBand="0"/>
      </w:tblPr>
      <w:tblGrid>
        <w:gridCol w:w="3601"/>
        <w:gridCol w:w="5098"/>
      </w:tblGrid>
      <w:tr w:rsidR="002D181F" w14:paraId="128FBD0A" w14:textId="77777777" w:rsidTr="007C7B37">
        <w:trPr>
          <w:cantSplit/>
        </w:trPr>
        <w:tc>
          <w:tcPr>
            <w:tcW w:w="36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B4E036" w14:textId="77777777" w:rsidR="002D181F" w:rsidRDefault="005216AD">
            <w:pPr>
              <w:pStyle w:val="jaen"/>
            </w:pPr>
            <w:r>
              <w:t>Part of Character</w:t>
            </w:r>
          </w:p>
        </w:tc>
        <w:tc>
          <w:tcPr>
            <w:tcW w:w="5098"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0A69F6" w14:textId="77777777" w:rsidR="002D181F" w:rsidRDefault="005216AD">
            <w:pPr>
              <w:pStyle w:val="jaen"/>
            </w:pPr>
            <w:r>
              <w:t>Color</w:t>
            </w:r>
          </w:p>
        </w:tc>
      </w:tr>
      <w:tr w:rsidR="002D181F" w14:paraId="36B29C49" w14:textId="77777777" w:rsidTr="007C7B37">
        <w:trPr>
          <w:cantSplit/>
        </w:trPr>
        <w:tc>
          <w:tcPr>
            <w:tcW w:w="3601"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53E4BA" w14:textId="77777777" w:rsidR="002D181F" w:rsidRDefault="005216AD">
            <w:pPr>
              <w:pStyle w:val="jaen"/>
            </w:pPr>
            <w:r>
              <w:t>(a) and character of “</w:t>
            </w:r>
            <w:r>
              <w:t>日本</w:t>
            </w:r>
            <w:r>
              <w:t>”, “</w:t>
            </w:r>
            <w:r>
              <w:t>地理的表示</w:t>
            </w:r>
            <w:r>
              <w:t>”, and “GI”</w:t>
            </w:r>
          </w:p>
        </w:tc>
        <w:tc>
          <w:tcPr>
            <w:tcW w:w="5098" w:type="dxa"/>
            <w:tcBorders>
              <w:bottom w:val="single" w:sz="4" w:space="0" w:color="auto"/>
              <w:right w:val="single" w:sz="4" w:space="0" w:color="auto"/>
            </w:tcBorders>
            <w:shd w:val="clear" w:color="auto" w:fill="auto"/>
            <w:tcMar>
              <w:top w:w="0" w:type="dxa"/>
              <w:left w:w="108" w:type="dxa"/>
              <w:bottom w:w="0" w:type="dxa"/>
              <w:right w:w="108" w:type="dxa"/>
            </w:tcMar>
          </w:tcPr>
          <w:p w14:paraId="407A80F9" w14:textId="77777777" w:rsidR="002D181F" w:rsidRDefault="005216AD">
            <w:pPr>
              <w:pStyle w:val="jaen"/>
            </w:pPr>
            <w:r>
              <w:t>White</w:t>
            </w:r>
          </w:p>
        </w:tc>
      </w:tr>
      <w:tr w:rsidR="002D181F" w14:paraId="009B5952" w14:textId="77777777" w:rsidTr="007C7B37">
        <w:trPr>
          <w:cantSplit/>
        </w:trPr>
        <w:tc>
          <w:tcPr>
            <w:tcW w:w="3601"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226F76" w14:textId="77777777" w:rsidR="002D181F" w:rsidRDefault="005216AD">
            <w:pPr>
              <w:pStyle w:val="jaen"/>
            </w:pPr>
            <w:r>
              <w:t>(b)</w:t>
            </w:r>
          </w:p>
        </w:tc>
        <w:tc>
          <w:tcPr>
            <w:tcW w:w="5098" w:type="dxa"/>
            <w:tcBorders>
              <w:bottom w:val="single" w:sz="4" w:space="0" w:color="auto"/>
              <w:right w:val="single" w:sz="4" w:space="0" w:color="auto"/>
            </w:tcBorders>
            <w:shd w:val="clear" w:color="auto" w:fill="auto"/>
            <w:tcMar>
              <w:top w:w="0" w:type="dxa"/>
              <w:left w:w="108" w:type="dxa"/>
              <w:bottom w:w="0" w:type="dxa"/>
              <w:right w:w="108" w:type="dxa"/>
            </w:tcMar>
          </w:tcPr>
          <w:p w14:paraId="2D1B04FE" w14:textId="77777777" w:rsidR="002D181F" w:rsidRDefault="005216AD">
            <w:pPr>
              <w:pStyle w:val="jaen"/>
            </w:pPr>
            <w:r>
              <w:t>100% black</w:t>
            </w:r>
          </w:p>
        </w:tc>
      </w:tr>
      <w:tr w:rsidR="002D181F" w14:paraId="558FB8A7" w14:textId="77777777" w:rsidTr="007C7B37">
        <w:trPr>
          <w:cantSplit/>
        </w:trPr>
        <w:tc>
          <w:tcPr>
            <w:tcW w:w="3601"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BE587B" w14:textId="77777777" w:rsidR="002D181F" w:rsidRDefault="005216AD">
            <w:pPr>
              <w:pStyle w:val="jaen"/>
            </w:pPr>
            <w:r>
              <w:t>(d) and Character of "JAPAN GEOGRAPHICAL INDICATION"</w:t>
            </w:r>
          </w:p>
        </w:tc>
        <w:tc>
          <w:tcPr>
            <w:tcW w:w="5098" w:type="dxa"/>
            <w:tcBorders>
              <w:bottom w:val="single" w:sz="4" w:space="0" w:color="auto"/>
              <w:right w:val="single" w:sz="4" w:space="0" w:color="auto"/>
            </w:tcBorders>
            <w:shd w:val="clear" w:color="auto" w:fill="auto"/>
            <w:tcMar>
              <w:top w:w="0" w:type="dxa"/>
              <w:left w:w="108" w:type="dxa"/>
              <w:bottom w:w="0" w:type="dxa"/>
              <w:right w:w="108" w:type="dxa"/>
            </w:tcMar>
          </w:tcPr>
          <w:p w14:paraId="3B5561A5" w14:textId="77777777" w:rsidR="002D181F" w:rsidRDefault="005216AD">
            <w:pPr>
              <w:pStyle w:val="jaen"/>
            </w:pPr>
            <w:r>
              <w:t>65% black</w:t>
            </w:r>
          </w:p>
        </w:tc>
      </w:tr>
      <w:tr w:rsidR="002D181F" w14:paraId="2BF3AE38" w14:textId="77777777" w:rsidTr="007C7B37">
        <w:trPr>
          <w:cantSplit/>
        </w:trPr>
        <w:tc>
          <w:tcPr>
            <w:tcW w:w="36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ABC3FA" w14:textId="77777777" w:rsidR="002D181F" w:rsidRDefault="005216AD">
            <w:pPr>
              <w:pStyle w:val="jaen"/>
            </w:pPr>
            <w:r>
              <w:t>(e)</w:t>
            </w:r>
          </w:p>
        </w:tc>
        <w:tc>
          <w:tcPr>
            <w:tcW w:w="5098" w:type="dxa"/>
            <w:tcBorders>
              <w:bottom w:val="single" w:sz="4" w:space="0" w:color="auto"/>
              <w:right w:val="single" w:sz="4" w:space="0" w:color="auto"/>
            </w:tcBorders>
            <w:shd w:val="clear" w:color="auto" w:fill="auto"/>
            <w:tcMar>
              <w:top w:w="0" w:type="dxa"/>
              <w:left w:w="108" w:type="dxa"/>
              <w:bottom w:w="0" w:type="dxa"/>
              <w:right w:w="108" w:type="dxa"/>
            </w:tcMar>
          </w:tcPr>
          <w:p w14:paraId="2989F11D" w14:textId="77777777" w:rsidR="002D181F" w:rsidRDefault="005216AD">
            <w:pPr>
              <w:pStyle w:val="jaen"/>
            </w:pPr>
            <w:r>
              <w:t>50% black</w:t>
            </w:r>
          </w:p>
        </w:tc>
      </w:tr>
    </w:tbl>
    <w:p w14:paraId="3E6F552A" w14:textId="77777777" w:rsidR="002D181F" w:rsidRDefault="002D181F"/>
    <w:p w14:paraId="5022F649" w14:textId="77777777" w:rsidR="002D181F" w:rsidRDefault="002D181F">
      <w:pPr>
        <w:pStyle w:val="enf7"/>
      </w:pPr>
    </w:p>
    <w:p w14:paraId="684F3A0A" w14:textId="77777777" w:rsidR="002D181F" w:rsidRDefault="005216AD">
      <w:pPr>
        <w:pStyle w:val="enf7"/>
      </w:pPr>
      <w:r>
        <w:t>(4) The color of (c) is to fall under all of the following items:</w:t>
      </w:r>
    </w:p>
    <w:p w14:paraId="42728493" w14:textId="77777777" w:rsidR="002D181F" w:rsidRDefault="005216AD">
      <w:pPr>
        <w:pStyle w:val="enf7"/>
      </w:pPr>
      <w:r>
        <w:t>(i) variation of colors is to be homogeneous; the color of the top of (c) meets the color of starting point stipulated in the following list and the color of 3375/10000 from the top of (c) meets intermediate color between the color of starting point and that of end point stipulated in the following list;</w:t>
      </w:r>
    </w:p>
    <w:p w14:paraId="3E54C74E" w14:textId="77777777" w:rsidR="002D181F" w:rsidRDefault="005216AD">
      <w:r>
        <w:t>(ii) variation of colors is to be homogeneous; the color of 3375/10000 from the top of (c) meets intermediate color stipulated in (i) and the color of 4500/10000 from the top of (c) meets the color of end point stipulated in the following list.</w:t>
      </w:r>
    </w:p>
    <w:tbl>
      <w:tblPr>
        <w:tblW w:w="0" w:type="auto"/>
        <w:tblInd w:w="232" w:type="dxa"/>
        <w:tblLayout w:type="fixed"/>
        <w:tblCellMar>
          <w:left w:w="0" w:type="dxa"/>
          <w:right w:w="0" w:type="dxa"/>
        </w:tblCellMar>
        <w:tblLook w:val="0000" w:firstRow="0" w:lastRow="0" w:firstColumn="0" w:lastColumn="0" w:noHBand="0" w:noVBand="0"/>
      </w:tblPr>
      <w:tblGrid>
        <w:gridCol w:w="6029"/>
        <w:gridCol w:w="2670"/>
      </w:tblGrid>
      <w:tr w:rsidR="002D181F" w14:paraId="19159019" w14:textId="77777777" w:rsidTr="007C7B37">
        <w:trPr>
          <w:cantSplit/>
        </w:trPr>
        <w:tc>
          <w:tcPr>
            <w:tcW w:w="60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6ED540" w14:textId="77777777" w:rsidR="002D181F" w:rsidRDefault="005216AD">
            <w:pPr>
              <w:pStyle w:val="jaen"/>
            </w:pPr>
            <w:r>
              <w:t>Name of color</w:t>
            </w:r>
          </w:p>
        </w:tc>
        <w:tc>
          <w:tcPr>
            <w:tcW w:w="267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F7D0E5" w14:textId="77777777" w:rsidR="002D181F" w:rsidRDefault="005216AD">
            <w:pPr>
              <w:pStyle w:val="jaen"/>
            </w:pPr>
            <w:r>
              <w:t>Color</w:t>
            </w:r>
          </w:p>
        </w:tc>
      </w:tr>
      <w:tr w:rsidR="002D181F" w14:paraId="73809E92" w14:textId="77777777" w:rsidTr="007C7B37">
        <w:trPr>
          <w:cantSplit/>
        </w:trPr>
        <w:tc>
          <w:tcPr>
            <w:tcW w:w="602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45DDAE" w14:textId="77777777" w:rsidR="002D181F" w:rsidRDefault="005216AD">
            <w:pPr>
              <w:pStyle w:val="jaen"/>
            </w:pPr>
            <w:r>
              <w:t>Color of Starting point</w:t>
            </w:r>
          </w:p>
        </w:tc>
        <w:tc>
          <w:tcPr>
            <w:tcW w:w="2670" w:type="dxa"/>
            <w:tcBorders>
              <w:bottom w:val="single" w:sz="4" w:space="0" w:color="auto"/>
              <w:right w:val="single" w:sz="4" w:space="0" w:color="auto"/>
            </w:tcBorders>
            <w:shd w:val="clear" w:color="auto" w:fill="auto"/>
            <w:tcMar>
              <w:top w:w="0" w:type="dxa"/>
              <w:left w:w="108" w:type="dxa"/>
              <w:bottom w:w="0" w:type="dxa"/>
              <w:right w:w="108" w:type="dxa"/>
            </w:tcMar>
          </w:tcPr>
          <w:p w14:paraId="72564ACD" w14:textId="77777777" w:rsidR="002D181F" w:rsidRDefault="005216AD">
            <w:pPr>
              <w:pStyle w:val="jaen"/>
            </w:pPr>
            <w:r>
              <w:t>0% black</w:t>
            </w:r>
          </w:p>
        </w:tc>
      </w:tr>
      <w:tr w:rsidR="002D181F" w14:paraId="42E7FD49" w14:textId="77777777" w:rsidTr="007C7B37">
        <w:trPr>
          <w:cantSplit/>
        </w:trPr>
        <w:tc>
          <w:tcPr>
            <w:tcW w:w="602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5029DF" w14:textId="77777777" w:rsidR="002D181F" w:rsidRDefault="005216AD">
            <w:pPr>
              <w:pStyle w:val="jaen"/>
            </w:pPr>
            <w:r>
              <w:t>Color of Ending point</w:t>
            </w:r>
          </w:p>
        </w:tc>
        <w:tc>
          <w:tcPr>
            <w:tcW w:w="2670" w:type="dxa"/>
            <w:tcBorders>
              <w:bottom w:val="single" w:sz="4" w:space="0" w:color="auto"/>
              <w:right w:val="single" w:sz="4" w:space="0" w:color="auto"/>
            </w:tcBorders>
            <w:shd w:val="clear" w:color="auto" w:fill="auto"/>
            <w:tcMar>
              <w:top w:w="0" w:type="dxa"/>
              <w:left w:w="108" w:type="dxa"/>
              <w:bottom w:w="0" w:type="dxa"/>
              <w:right w:w="108" w:type="dxa"/>
            </w:tcMar>
          </w:tcPr>
          <w:p w14:paraId="266319F8" w14:textId="77777777" w:rsidR="002D181F" w:rsidRDefault="005216AD">
            <w:pPr>
              <w:pStyle w:val="jaen"/>
            </w:pPr>
            <w:r>
              <w:t>80% black</w:t>
            </w:r>
          </w:p>
        </w:tc>
      </w:tr>
    </w:tbl>
    <w:p w14:paraId="58ECAA37" w14:textId="77777777" w:rsidR="002D181F" w:rsidRDefault="002D181F">
      <w:pPr>
        <w:pStyle w:val="enf7"/>
      </w:pPr>
    </w:p>
    <w:p w14:paraId="0A4AF1E0" w14:textId="77777777" w:rsidR="002D181F" w:rsidRDefault="002D181F"/>
    <w:p w14:paraId="782DD572" w14:textId="76CC4F0E" w:rsidR="002D181F" w:rsidRDefault="005216AD">
      <w:pPr>
        <w:pStyle w:val="enff8"/>
      </w:pPr>
      <w:r>
        <w:t>Form 3 (Related to Article 4)</w:t>
      </w:r>
    </w:p>
    <w:p w14:paraId="1701BEBB" w14:textId="11662821" w:rsidR="001623DC" w:rsidRPr="007C7B37" w:rsidRDefault="001623DC" w:rsidP="001623DC">
      <w:pPr>
        <w:pStyle w:val="enff8"/>
        <w:ind w:left="0" w:firstLine="0"/>
        <w:rPr>
          <w:rFonts w:eastAsia="游明朝" w:hint="eastAsia"/>
        </w:rPr>
      </w:pPr>
      <w:r w:rsidRPr="007C7B37">
        <w:rPr>
          <w:rFonts w:eastAsia="游明朝"/>
        </w:rPr>
        <w:pict w14:anchorId="171E37BB">
          <v:shape id="_x0000_i1027" type="#_x0000_t75" style="width:368.25pt;height:338.25pt">
            <v:imagedata r:id="rId9" o:title=""/>
          </v:shape>
        </w:pict>
      </w:r>
    </w:p>
    <w:p w14:paraId="116263AA" w14:textId="77777777" w:rsidR="002D181F" w:rsidRDefault="005216AD">
      <w:pPr>
        <w:pStyle w:val="enf7"/>
      </w:pPr>
      <w:r>
        <w:t>(1) The diameter of the external circle is to be over 15 mm and the diameter of the internal circle is to be 6216/10000 of the diameter of the external circle.</w:t>
      </w:r>
    </w:p>
    <w:p w14:paraId="06961DF2" w14:textId="77777777" w:rsidR="002D181F" w:rsidRDefault="005216AD">
      <w:r>
        <w:t>(2) The dimensions from A to F of GI logo described above are as follows.</w:t>
      </w:r>
    </w:p>
    <w:tbl>
      <w:tblPr>
        <w:tblW w:w="0" w:type="auto"/>
        <w:tblInd w:w="232" w:type="dxa"/>
        <w:tblLayout w:type="fixed"/>
        <w:tblCellMar>
          <w:left w:w="0" w:type="dxa"/>
          <w:right w:w="0" w:type="dxa"/>
        </w:tblCellMar>
        <w:tblLook w:val="0000" w:firstRow="0" w:lastRow="0" w:firstColumn="0" w:lastColumn="0" w:noHBand="0" w:noVBand="0"/>
      </w:tblPr>
      <w:tblGrid>
        <w:gridCol w:w="1566"/>
        <w:gridCol w:w="7134"/>
      </w:tblGrid>
      <w:tr w:rsidR="002D181F" w14:paraId="5BD47FBD" w14:textId="77777777" w:rsidTr="007C7B37">
        <w:trPr>
          <w:cantSplit/>
        </w:trPr>
        <w:tc>
          <w:tcPr>
            <w:tcW w:w="15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076E55" w14:textId="77777777" w:rsidR="002D181F" w:rsidRDefault="005216AD">
            <w:pPr>
              <w:pStyle w:val="jaen"/>
            </w:pPr>
            <w:r>
              <w:t>Parts</w:t>
            </w:r>
          </w:p>
        </w:tc>
        <w:tc>
          <w:tcPr>
            <w:tcW w:w="7134"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208D2A" w14:textId="77777777" w:rsidR="002D181F" w:rsidRDefault="005216AD">
            <w:pPr>
              <w:pStyle w:val="jaen"/>
            </w:pPr>
            <w:r>
              <w:t>Sizes</w:t>
            </w:r>
          </w:p>
        </w:tc>
      </w:tr>
      <w:tr w:rsidR="002D181F" w14:paraId="0E4A4523" w14:textId="77777777" w:rsidTr="007C7B3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355CB1" w14:textId="77777777" w:rsidR="002D181F" w:rsidRDefault="005216AD">
            <w:pPr>
              <w:pStyle w:val="jaen"/>
            </w:pPr>
            <w:r>
              <w:lastRenderedPageBreak/>
              <w:t>A</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54319C69" w14:textId="77777777" w:rsidR="002D181F" w:rsidRDefault="005216AD">
            <w:pPr>
              <w:pStyle w:val="jaen"/>
            </w:pPr>
            <w:r>
              <w:t>6.75% of diameter of external circle</w:t>
            </w:r>
          </w:p>
        </w:tc>
      </w:tr>
      <w:tr w:rsidR="002D181F" w14:paraId="1CD78A79" w14:textId="77777777" w:rsidTr="007C7B3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4B03CA" w14:textId="77777777" w:rsidR="002D181F" w:rsidRDefault="005216AD">
            <w:pPr>
              <w:pStyle w:val="jaen"/>
            </w:pPr>
            <w:r>
              <w:t>B</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22DD3F71" w14:textId="77777777" w:rsidR="002D181F" w:rsidRDefault="005216AD">
            <w:pPr>
              <w:pStyle w:val="jaen"/>
            </w:pPr>
            <w:r>
              <w:t>45.16 of diameter of external circle</w:t>
            </w:r>
          </w:p>
        </w:tc>
      </w:tr>
      <w:tr w:rsidR="002D181F" w14:paraId="02A5FCA0" w14:textId="77777777" w:rsidTr="007C7B3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E8152F" w14:textId="77777777" w:rsidR="002D181F" w:rsidRDefault="005216AD">
            <w:pPr>
              <w:pStyle w:val="jaen"/>
            </w:pPr>
            <w:r>
              <w:t>C</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49815BA7" w14:textId="77777777" w:rsidR="002D181F" w:rsidRDefault="005216AD">
            <w:pPr>
              <w:pStyle w:val="jaen"/>
            </w:pPr>
            <w:r>
              <w:t>21.82%of diameter of external circle</w:t>
            </w:r>
          </w:p>
        </w:tc>
      </w:tr>
      <w:tr w:rsidR="002D181F" w14:paraId="47D963A0" w14:textId="77777777" w:rsidTr="007C7B3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D92944" w14:textId="77777777" w:rsidR="002D181F" w:rsidRDefault="005216AD">
            <w:pPr>
              <w:pStyle w:val="jaen"/>
            </w:pPr>
            <w:r>
              <w:t>D</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0A10F6D1" w14:textId="77777777" w:rsidR="002D181F" w:rsidRDefault="005216AD">
            <w:pPr>
              <w:pStyle w:val="jaen"/>
            </w:pPr>
            <w:r>
              <w:t>38.88%of diameter of external circle</w:t>
            </w:r>
          </w:p>
        </w:tc>
      </w:tr>
      <w:tr w:rsidR="002D181F" w14:paraId="5EDE9538" w14:textId="77777777" w:rsidTr="007C7B3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CFD7B3" w14:textId="77777777" w:rsidR="002D181F" w:rsidRDefault="005216AD">
            <w:pPr>
              <w:pStyle w:val="jaen"/>
            </w:pPr>
            <w:r>
              <w:t>E</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3592E16B" w14:textId="77777777" w:rsidR="002D181F" w:rsidRDefault="005216AD">
            <w:pPr>
              <w:pStyle w:val="jaen"/>
            </w:pPr>
            <w:r>
              <w:t>5.5%of diameter of external circle</w:t>
            </w:r>
          </w:p>
        </w:tc>
      </w:tr>
      <w:tr w:rsidR="002D181F" w14:paraId="7A92ADC4" w14:textId="77777777" w:rsidTr="007C7B3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0F6CE6" w14:textId="77777777" w:rsidR="002D181F" w:rsidRDefault="005216AD">
            <w:pPr>
              <w:pStyle w:val="jaen"/>
            </w:pPr>
            <w:r>
              <w:t>F</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16D16815" w14:textId="77777777" w:rsidR="002D181F" w:rsidRDefault="005216AD">
            <w:pPr>
              <w:pStyle w:val="jaen"/>
            </w:pPr>
            <w:r>
              <w:t>56.06%of diameter of external circle</w:t>
            </w:r>
          </w:p>
        </w:tc>
      </w:tr>
    </w:tbl>
    <w:p w14:paraId="6821249F" w14:textId="77777777" w:rsidR="002D181F" w:rsidRDefault="002D181F"/>
    <w:p w14:paraId="5A86E1AB" w14:textId="77777777" w:rsidR="002D181F" w:rsidRDefault="002D181F">
      <w:pPr>
        <w:pStyle w:val="enf7"/>
      </w:pPr>
    </w:p>
    <w:p w14:paraId="038C4B45" w14:textId="77777777" w:rsidR="002D181F" w:rsidRDefault="005216AD">
      <w:pPr>
        <w:pStyle w:val="enf7"/>
      </w:pPr>
      <w:r>
        <w:t>(3) Colors of parts of (a), (b), (d), and (e) and "JAPAN GEOGRAPHICAL INDICATION", need to be black.</w:t>
      </w:r>
    </w:p>
    <w:p w14:paraId="383049FE" w14:textId="77777777" w:rsidR="002D181F" w:rsidRDefault="002D181F"/>
    <w:p w14:paraId="2F936A65" w14:textId="7D4CCE2E" w:rsidR="002D181F" w:rsidRDefault="005216AD">
      <w:pPr>
        <w:pStyle w:val="enff8"/>
      </w:pPr>
      <w:r>
        <w:t>Form 4 (Related to Article 4)</w:t>
      </w:r>
    </w:p>
    <w:p w14:paraId="068EC555" w14:textId="26D81223" w:rsidR="001623DC" w:rsidRPr="007C7B37" w:rsidRDefault="001623DC" w:rsidP="001623DC">
      <w:pPr>
        <w:pStyle w:val="enff8"/>
        <w:ind w:left="0" w:firstLine="0"/>
        <w:rPr>
          <w:rFonts w:eastAsia="游明朝" w:hint="eastAsia"/>
        </w:rPr>
      </w:pPr>
      <w:r w:rsidRPr="007C7B37">
        <w:rPr>
          <w:rFonts w:eastAsia="游明朝"/>
        </w:rPr>
        <w:pict w14:anchorId="4A3C9E6F">
          <v:shape id="_x0000_i1028" type="#_x0000_t75" style="width:304.5pt;height:303pt">
            <v:imagedata r:id="rId7" o:title=""/>
          </v:shape>
        </w:pict>
      </w:r>
    </w:p>
    <w:p w14:paraId="4565655B" w14:textId="77777777" w:rsidR="002D181F" w:rsidRDefault="005216AD">
      <w:pPr>
        <w:pStyle w:val="enf7"/>
      </w:pPr>
      <w:r>
        <w:t>(1) The diameter of the external circle is to be over 15 mm and the diameter of the internal circle is to be 6216/10000 of the diameter of the external circle.</w:t>
      </w:r>
    </w:p>
    <w:p w14:paraId="5DEE2488" w14:textId="77777777" w:rsidR="002D181F" w:rsidRDefault="005216AD">
      <w:r>
        <w:t>(2) The dimensions from A to F of GI logo described above are as follows.</w:t>
      </w:r>
    </w:p>
    <w:tbl>
      <w:tblPr>
        <w:tblW w:w="0" w:type="auto"/>
        <w:tblInd w:w="232" w:type="dxa"/>
        <w:tblLayout w:type="fixed"/>
        <w:tblCellMar>
          <w:left w:w="0" w:type="dxa"/>
          <w:right w:w="0" w:type="dxa"/>
        </w:tblCellMar>
        <w:tblLook w:val="0000" w:firstRow="0" w:lastRow="0" w:firstColumn="0" w:lastColumn="0" w:noHBand="0" w:noVBand="0"/>
      </w:tblPr>
      <w:tblGrid>
        <w:gridCol w:w="1566"/>
        <w:gridCol w:w="7134"/>
      </w:tblGrid>
      <w:tr w:rsidR="002D181F" w14:paraId="3FFEA7BF" w14:textId="77777777" w:rsidTr="007C7B37">
        <w:trPr>
          <w:cantSplit/>
        </w:trPr>
        <w:tc>
          <w:tcPr>
            <w:tcW w:w="15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FC5265" w14:textId="77777777" w:rsidR="002D181F" w:rsidRDefault="005216AD">
            <w:pPr>
              <w:pStyle w:val="jaen"/>
            </w:pPr>
            <w:r>
              <w:t>Parts</w:t>
            </w:r>
          </w:p>
        </w:tc>
        <w:tc>
          <w:tcPr>
            <w:tcW w:w="7134"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F1B020" w14:textId="77777777" w:rsidR="002D181F" w:rsidRDefault="005216AD">
            <w:pPr>
              <w:pStyle w:val="jaen"/>
            </w:pPr>
            <w:r>
              <w:t>Sizes</w:t>
            </w:r>
          </w:p>
        </w:tc>
      </w:tr>
      <w:tr w:rsidR="002D181F" w14:paraId="64BC9066" w14:textId="77777777" w:rsidTr="007C7B3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762859" w14:textId="77777777" w:rsidR="002D181F" w:rsidRDefault="005216AD">
            <w:pPr>
              <w:pStyle w:val="jaen"/>
            </w:pPr>
            <w:r>
              <w:t>A</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7AF6AFA0" w14:textId="77777777" w:rsidR="002D181F" w:rsidRDefault="005216AD">
            <w:pPr>
              <w:pStyle w:val="jaen"/>
            </w:pPr>
            <w:r>
              <w:t>6.75% of diameter of external circle</w:t>
            </w:r>
          </w:p>
        </w:tc>
      </w:tr>
      <w:tr w:rsidR="002D181F" w14:paraId="0FBA768F" w14:textId="77777777" w:rsidTr="007C7B3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FC7BE3" w14:textId="77777777" w:rsidR="002D181F" w:rsidRDefault="005216AD">
            <w:pPr>
              <w:pStyle w:val="jaen"/>
            </w:pPr>
            <w:r>
              <w:t>B</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61297D58" w14:textId="77777777" w:rsidR="002D181F" w:rsidRDefault="005216AD">
            <w:pPr>
              <w:pStyle w:val="jaen"/>
            </w:pPr>
            <w:r>
              <w:t>45.16 of diameter of external circle</w:t>
            </w:r>
          </w:p>
        </w:tc>
      </w:tr>
      <w:tr w:rsidR="002D181F" w14:paraId="4807DBDB" w14:textId="77777777" w:rsidTr="007C7B3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62FA67" w14:textId="77777777" w:rsidR="002D181F" w:rsidRDefault="005216AD">
            <w:pPr>
              <w:pStyle w:val="jaen"/>
            </w:pPr>
            <w:r>
              <w:t>C</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132D32F0" w14:textId="77777777" w:rsidR="002D181F" w:rsidRDefault="005216AD">
            <w:pPr>
              <w:pStyle w:val="jaen"/>
            </w:pPr>
            <w:r>
              <w:t>21.82%of diameter of external circle</w:t>
            </w:r>
          </w:p>
        </w:tc>
      </w:tr>
      <w:tr w:rsidR="002D181F" w14:paraId="59354676" w14:textId="77777777" w:rsidTr="007C7B3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8A4303" w14:textId="77777777" w:rsidR="002D181F" w:rsidRDefault="005216AD">
            <w:pPr>
              <w:pStyle w:val="jaen"/>
            </w:pPr>
            <w:r>
              <w:t>D</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0339BDDC" w14:textId="77777777" w:rsidR="002D181F" w:rsidRDefault="005216AD">
            <w:pPr>
              <w:pStyle w:val="jaen"/>
            </w:pPr>
            <w:r>
              <w:t>38.88%of diameter of external circle</w:t>
            </w:r>
          </w:p>
        </w:tc>
      </w:tr>
      <w:tr w:rsidR="002D181F" w14:paraId="3439C453" w14:textId="77777777" w:rsidTr="007C7B3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DCF6C8" w14:textId="77777777" w:rsidR="002D181F" w:rsidRDefault="005216AD">
            <w:pPr>
              <w:pStyle w:val="jaen"/>
            </w:pPr>
            <w:r>
              <w:t>E</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16F4464D" w14:textId="77777777" w:rsidR="002D181F" w:rsidRDefault="005216AD">
            <w:pPr>
              <w:pStyle w:val="jaen"/>
            </w:pPr>
            <w:r>
              <w:t>5.5%of diameter of external circle</w:t>
            </w:r>
          </w:p>
        </w:tc>
      </w:tr>
      <w:tr w:rsidR="002D181F" w14:paraId="6400702A" w14:textId="77777777" w:rsidTr="007C7B3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2D8184" w14:textId="77777777" w:rsidR="002D181F" w:rsidRDefault="005216AD">
            <w:pPr>
              <w:pStyle w:val="jaen"/>
            </w:pPr>
            <w:r>
              <w:t>F</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17CE64DF" w14:textId="77777777" w:rsidR="002D181F" w:rsidRDefault="005216AD">
            <w:pPr>
              <w:pStyle w:val="jaen"/>
            </w:pPr>
            <w:r>
              <w:t>56.06%of diameter of external circle</w:t>
            </w:r>
          </w:p>
        </w:tc>
      </w:tr>
    </w:tbl>
    <w:p w14:paraId="7FDBDB16" w14:textId="77777777" w:rsidR="002D181F" w:rsidRDefault="002D181F"/>
    <w:p w14:paraId="3070E769" w14:textId="77777777" w:rsidR="002D181F" w:rsidRDefault="002D181F">
      <w:pPr>
        <w:pStyle w:val="enf7"/>
      </w:pPr>
    </w:p>
    <w:p w14:paraId="766A69E7" w14:textId="77777777" w:rsidR="002D181F" w:rsidRDefault="005216AD">
      <w:r>
        <w:lastRenderedPageBreak/>
        <w:t>(3) Color of parts of (a), (b), (d), and (e) and characters of “JAPAN GEOGRAPHICAL INDICATION”, “</w:t>
      </w:r>
      <w:r>
        <w:t>日本</w:t>
      </w:r>
      <w:r>
        <w:t>”, “</w:t>
      </w:r>
      <w:r>
        <w:t>地理的表示</w:t>
      </w:r>
      <w:r>
        <w:t>”, and “GI” are as follows;</w:t>
      </w:r>
    </w:p>
    <w:tbl>
      <w:tblPr>
        <w:tblW w:w="0" w:type="auto"/>
        <w:tblInd w:w="232" w:type="dxa"/>
        <w:tblLayout w:type="fixed"/>
        <w:tblCellMar>
          <w:left w:w="0" w:type="dxa"/>
          <w:right w:w="0" w:type="dxa"/>
        </w:tblCellMar>
        <w:tblLook w:val="0000" w:firstRow="0" w:lastRow="0" w:firstColumn="0" w:lastColumn="0" w:noHBand="0" w:noVBand="0"/>
      </w:tblPr>
      <w:tblGrid>
        <w:gridCol w:w="3062"/>
        <w:gridCol w:w="5637"/>
      </w:tblGrid>
      <w:tr w:rsidR="002D181F" w14:paraId="02EFE1E4" w14:textId="77777777" w:rsidTr="007C7B37">
        <w:trPr>
          <w:cantSplit/>
        </w:trPr>
        <w:tc>
          <w:tcPr>
            <w:tcW w:w="30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6DBD0C" w14:textId="77777777" w:rsidR="002D181F" w:rsidRDefault="005216AD">
            <w:pPr>
              <w:pStyle w:val="jaen"/>
            </w:pPr>
            <w:r>
              <w:t>Part of Characte</w:t>
            </w:r>
          </w:p>
        </w:tc>
        <w:tc>
          <w:tcPr>
            <w:tcW w:w="5637"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FA788E" w14:textId="77777777" w:rsidR="002D181F" w:rsidRDefault="005216AD">
            <w:pPr>
              <w:pStyle w:val="jaen"/>
            </w:pPr>
            <w:r>
              <w:t>Color</w:t>
            </w:r>
          </w:p>
        </w:tc>
      </w:tr>
      <w:tr w:rsidR="002D181F" w14:paraId="01CFB11F" w14:textId="77777777" w:rsidTr="007C7B37">
        <w:trPr>
          <w:cantSplit/>
        </w:trPr>
        <w:tc>
          <w:tcPr>
            <w:tcW w:w="3062"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B99682" w14:textId="77777777" w:rsidR="002D181F" w:rsidRDefault="005216AD">
            <w:pPr>
              <w:pStyle w:val="jaen"/>
            </w:pPr>
            <w:r>
              <w:t>(a)</w:t>
            </w:r>
          </w:p>
        </w:tc>
        <w:tc>
          <w:tcPr>
            <w:tcW w:w="5637" w:type="dxa"/>
            <w:tcBorders>
              <w:bottom w:val="single" w:sz="4" w:space="0" w:color="auto"/>
              <w:right w:val="single" w:sz="4" w:space="0" w:color="auto"/>
            </w:tcBorders>
            <w:shd w:val="clear" w:color="auto" w:fill="auto"/>
            <w:tcMar>
              <w:top w:w="0" w:type="dxa"/>
              <w:left w:w="108" w:type="dxa"/>
              <w:bottom w:w="0" w:type="dxa"/>
              <w:right w:w="108" w:type="dxa"/>
            </w:tcMar>
          </w:tcPr>
          <w:p w14:paraId="35CFD94A" w14:textId="77777777" w:rsidR="002D181F" w:rsidRDefault="005216AD">
            <w:pPr>
              <w:pStyle w:val="jaen"/>
            </w:pPr>
            <w:r>
              <w:t>White</w:t>
            </w:r>
          </w:p>
        </w:tc>
      </w:tr>
      <w:tr w:rsidR="002D181F" w14:paraId="4A358F75" w14:textId="77777777" w:rsidTr="007C7B37">
        <w:trPr>
          <w:cantSplit/>
        </w:trPr>
        <w:tc>
          <w:tcPr>
            <w:tcW w:w="3062"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7CA9F72" w14:textId="77777777" w:rsidR="002D181F" w:rsidRDefault="005216AD">
            <w:pPr>
              <w:pStyle w:val="jaen"/>
            </w:pPr>
            <w:r>
              <w:t>(b)</w:t>
            </w:r>
          </w:p>
        </w:tc>
        <w:tc>
          <w:tcPr>
            <w:tcW w:w="5637" w:type="dxa"/>
            <w:tcBorders>
              <w:right w:val="single" w:sz="4" w:space="0" w:color="auto"/>
            </w:tcBorders>
            <w:shd w:val="clear" w:color="auto" w:fill="auto"/>
            <w:tcMar>
              <w:top w:w="0" w:type="dxa"/>
              <w:left w:w="108" w:type="dxa"/>
              <w:bottom w:w="0" w:type="dxa"/>
              <w:right w:w="108" w:type="dxa"/>
            </w:tcMar>
          </w:tcPr>
          <w:p w14:paraId="5353A032" w14:textId="77777777" w:rsidR="002D181F" w:rsidRDefault="005216AD">
            <w:pPr>
              <w:pStyle w:val="jaen"/>
            </w:pPr>
            <w:r>
              <w:t>PANTONE 199C or 0% cyan</w:t>
            </w:r>
          </w:p>
        </w:tc>
      </w:tr>
      <w:tr w:rsidR="002D181F" w14:paraId="0C1A6B17" w14:textId="77777777" w:rsidTr="007C7B37">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CD478F" w14:textId="77777777" w:rsidR="002D181F" w:rsidRDefault="005216AD">
            <w:pPr>
              <w:pStyle w:val="jaen"/>
            </w:pPr>
            <w:r>
              <w:br w:type="textWrapping" w:clear="all"/>
            </w:r>
          </w:p>
        </w:tc>
        <w:tc>
          <w:tcPr>
            <w:tcW w:w="5637" w:type="dxa"/>
            <w:tcBorders>
              <w:right w:val="single" w:sz="4" w:space="0" w:color="auto"/>
            </w:tcBorders>
            <w:shd w:val="clear" w:color="auto" w:fill="auto"/>
            <w:tcMar>
              <w:top w:w="0" w:type="dxa"/>
              <w:left w:w="108" w:type="dxa"/>
              <w:bottom w:w="0" w:type="dxa"/>
              <w:right w:w="108" w:type="dxa"/>
            </w:tcMar>
          </w:tcPr>
          <w:p w14:paraId="753EFA6F" w14:textId="77777777" w:rsidR="002D181F" w:rsidRDefault="005216AD">
            <w:pPr>
              <w:pStyle w:val="jaen"/>
            </w:pPr>
            <w:r>
              <w:t>100% magenta</w:t>
            </w:r>
          </w:p>
        </w:tc>
      </w:tr>
      <w:tr w:rsidR="002D181F" w14:paraId="6BB6EA94" w14:textId="77777777" w:rsidTr="007C7B37">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8B0115" w14:textId="77777777" w:rsidR="002D181F" w:rsidRDefault="005216AD">
            <w:pPr>
              <w:pStyle w:val="jaen"/>
            </w:pPr>
            <w:r>
              <w:br w:type="textWrapping" w:clear="all"/>
            </w:r>
          </w:p>
        </w:tc>
        <w:tc>
          <w:tcPr>
            <w:tcW w:w="5637" w:type="dxa"/>
            <w:tcBorders>
              <w:right w:val="single" w:sz="4" w:space="0" w:color="auto"/>
            </w:tcBorders>
            <w:shd w:val="clear" w:color="auto" w:fill="auto"/>
            <w:tcMar>
              <w:top w:w="0" w:type="dxa"/>
              <w:left w:w="108" w:type="dxa"/>
              <w:bottom w:w="0" w:type="dxa"/>
              <w:right w:w="108" w:type="dxa"/>
            </w:tcMar>
          </w:tcPr>
          <w:p w14:paraId="2BB57785" w14:textId="77777777" w:rsidR="002D181F" w:rsidRDefault="005216AD">
            <w:pPr>
              <w:pStyle w:val="jaen"/>
            </w:pPr>
            <w:r>
              <w:t>65% yellow</w:t>
            </w:r>
          </w:p>
        </w:tc>
      </w:tr>
      <w:tr w:rsidR="002D181F" w14:paraId="2B6E889E" w14:textId="77777777" w:rsidTr="007C7B37">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52119F" w14:textId="77777777" w:rsidR="002D181F" w:rsidRDefault="005216AD">
            <w:pPr>
              <w:pStyle w:val="jaen"/>
            </w:pPr>
            <w:r>
              <w:br w:type="textWrapping" w:clear="all"/>
            </w:r>
          </w:p>
        </w:tc>
        <w:tc>
          <w:tcPr>
            <w:tcW w:w="5637" w:type="dxa"/>
            <w:tcBorders>
              <w:bottom w:val="single" w:sz="4" w:space="0" w:color="auto"/>
              <w:right w:val="single" w:sz="4" w:space="0" w:color="auto"/>
            </w:tcBorders>
            <w:shd w:val="clear" w:color="auto" w:fill="auto"/>
            <w:tcMar>
              <w:top w:w="0" w:type="dxa"/>
              <w:left w:w="108" w:type="dxa"/>
              <w:bottom w:w="0" w:type="dxa"/>
              <w:right w:w="108" w:type="dxa"/>
            </w:tcMar>
          </w:tcPr>
          <w:p w14:paraId="5E7AE34A" w14:textId="77777777" w:rsidR="002D181F" w:rsidRDefault="005216AD">
            <w:pPr>
              <w:pStyle w:val="jaen"/>
            </w:pPr>
            <w:r>
              <w:t>10% black</w:t>
            </w:r>
          </w:p>
        </w:tc>
      </w:tr>
      <w:tr w:rsidR="002D181F" w14:paraId="41B6533A" w14:textId="77777777" w:rsidTr="007C7B37">
        <w:trPr>
          <w:cantSplit/>
        </w:trPr>
        <w:tc>
          <w:tcPr>
            <w:tcW w:w="3062"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A7BDD1B" w14:textId="77777777" w:rsidR="002D181F" w:rsidRDefault="005216AD">
            <w:pPr>
              <w:pStyle w:val="jaen"/>
            </w:pPr>
            <w:r>
              <w:t>(d)</w:t>
            </w:r>
          </w:p>
        </w:tc>
        <w:tc>
          <w:tcPr>
            <w:tcW w:w="5637" w:type="dxa"/>
            <w:tcBorders>
              <w:right w:val="single" w:sz="4" w:space="0" w:color="auto"/>
            </w:tcBorders>
            <w:shd w:val="clear" w:color="auto" w:fill="auto"/>
            <w:tcMar>
              <w:top w:w="0" w:type="dxa"/>
              <w:left w:w="108" w:type="dxa"/>
              <w:bottom w:w="0" w:type="dxa"/>
              <w:right w:w="108" w:type="dxa"/>
            </w:tcMar>
          </w:tcPr>
          <w:p w14:paraId="0CDE2822" w14:textId="77777777" w:rsidR="002D181F" w:rsidRDefault="005216AD">
            <w:pPr>
              <w:pStyle w:val="jaen"/>
            </w:pPr>
            <w:r>
              <w:t>PANTONE 4655C or 25% cyan</w:t>
            </w:r>
          </w:p>
        </w:tc>
      </w:tr>
      <w:tr w:rsidR="002D181F" w14:paraId="7D93FD1D" w14:textId="77777777" w:rsidTr="007C7B37">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A3BEBA" w14:textId="77777777" w:rsidR="002D181F" w:rsidRDefault="005216AD">
            <w:pPr>
              <w:pStyle w:val="jaen"/>
            </w:pPr>
            <w:r>
              <w:br w:type="textWrapping" w:clear="all"/>
            </w:r>
          </w:p>
        </w:tc>
        <w:tc>
          <w:tcPr>
            <w:tcW w:w="5637" w:type="dxa"/>
            <w:tcBorders>
              <w:right w:val="single" w:sz="4" w:space="0" w:color="auto"/>
            </w:tcBorders>
            <w:shd w:val="clear" w:color="auto" w:fill="auto"/>
            <w:tcMar>
              <w:top w:w="0" w:type="dxa"/>
              <w:left w:w="108" w:type="dxa"/>
              <w:bottom w:w="0" w:type="dxa"/>
              <w:right w:w="108" w:type="dxa"/>
            </w:tcMar>
          </w:tcPr>
          <w:p w14:paraId="46D89334" w14:textId="77777777" w:rsidR="002D181F" w:rsidRDefault="005216AD">
            <w:pPr>
              <w:pStyle w:val="jaen"/>
            </w:pPr>
            <w:r>
              <w:t>40% magenta</w:t>
            </w:r>
          </w:p>
        </w:tc>
      </w:tr>
      <w:tr w:rsidR="002D181F" w14:paraId="5F3E5695" w14:textId="77777777" w:rsidTr="007C7B37">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624FD3" w14:textId="77777777" w:rsidR="002D181F" w:rsidRDefault="005216AD">
            <w:pPr>
              <w:pStyle w:val="jaen"/>
            </w:pPr>
            <w:r>
              <w:br w:type="textWrapping" w:clear="all"/>
            </w:r>
          </w:p>
        </w:tc>
        <w:tc>
          <w:tcPr>
            <w:tcW w:w="5637" w:type="dxa"/>
            <w:tcBorders>
              <w:right w:val="single" w:sz="4" w:space="0" w:color="auto"/>
            </w:tcBorders>
            <w:shd w:val="clear" w:color="auto" w:fill="auto"/>
            <w:tcMar>
              <w:top w:w="0" w:type="dxa"/>
              <w:left w:w="108" w:type="dxa"/>
              <w:bottom w:w="0" w:type="dxa"/>
              <w:right w:w="108" w:type="dxa"/>
            </w:tcMar>
          </w:tcPr>
          <w:p w14:paraId="239D2919" w14:textId="77777777" w:rsidR="002D181F" w:rsidRDefault="005216AD">
            <w:pPr>
              <w:pStyle w:val="jaen"/>
            </w:pPr>
            <w:r>
              <w:t>65% yellow</w:t>
            </w:r>
          </w:p>
        </w:tc>
      </w:tr>
      <w:tr w:rsidR="002D181F" w14:paraId="1AC996C2" w14:textId="77777777" w:rsidTr="007C7B37">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8C7C4D" w14:textId="77777777" w:rsidR="002D181F" w:rsidRDefault="005216AD">
            <w:pPr>
              <w:pStyle w:val="jaen"/>
            </w:pPr>
            <w:r>
              <w:br w:type="textWrapping" w:clear="all"/>
            </w:r>
          </w:p>
        </w:tc>
        <w:tc>
          <w:tcPr>
            <w:tcW w:w="5637" w:type="dxa"/>
            <w:tcBorders>
              <w:bottom w:val="single" w:sz="4" w:space="0" w:color="auto"/>
              <w:right w:val="single" w:sz="4" w:space="0" w:color="auto"/>
            </w:tcBorders>
            <w:shd w:val="clear" w:color="auto" w:fill="auto"/>
            <w:tcMar>
              <w:top w:w="0" w:type="dxa"/>
              <w:left w:w="108" w:type="dxa"/>
              <w:bottom w:w="0" w:type="dxa"/>
              <w:right w:w="108" w:type="dxa"/>
            </w:tcMar>
          </w:tcPr>
          <w:p w14:paraId="29897E93" w14:textId="77777777" w:rsidR="002D181F" w:rsidRDefault="005216AD">
            <w:pPr>
              <w:pStyle w:val="jaen"/>
            </w:pPr>
            <w:r>
              <w:t>0% black</w:t>
            </w:r>
          </w:p>
        </w:tc>
      </w:tr>
      <w:tr w:rsidR="002D181F" w14:paraId="514B0334" w14:textId="77777777" w:rsidTr="007C7B37">
        <w:trPr>
          <w:cantSplit/>
        </w:trPr>
        <w:tc>
          <w:tcPr>
            <w:tcW w:w="3062"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2A963A6" w14:textId="77777777" w:rsidR="002D181F" w:rsidRDefault="005216AD">
            <w:pPr>
              <w:pStyle w:val="jaen"/>
            </w:pPr>
            <w:r>
              <w:t>(e)</w:t>
            </w:r>
          </w:p>
        </w:tc>
        <w:tc>
          <w:tcPr>
            <w:tcW w:w="5637" w:type="dxa"/>
            <w:tcBorders>
              <w:right w:val="single" w:sz="4" w:space="0" w:color="auto"/>
            </w:tcBorders>
            <w:shd w:val="clear" w:color="auto" w:fill="auto"/>
            <w:tcMar>
              <w:top w:w="0" w:type="dxa"/>
              <w:left w:w="108" w:type="dxa"/>
              <w:bottom w:w="0" w:type="dxa"/>
              <w:right w:w="108" w:type="dxa"/>
            </w:tcMar>
          </w:tcPr>
          <w:p w14:paraId="7760A29B" w14:textId="77777777" w:rsidR="002D181F" w:rsidRDefault="005216AD">
            <w:pPr>
              <w:pStyle w:val="jaen"/>
            </w:pPr>
            <w:r>
              <w:t>PANTONE 4655C 70% or 17% cyan</w:t>
            </w:r>
          </w:p>
        </w:tc>
      </w:tr>
      <w:tr w:rsidR="002D181F" w14:paraId="26C79B52" w14:textId="77777777" w:rsidTr="007C7B37">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C6B523" w14:textId="77777777" w:rsidR="002D181F" w:rsidRDefault="005216AD">
            <w:pPr>
              <w:pStyle w:val="jaen"/>
            </w:pPr>
            <w:r>
              <w:br w:type="textWrapping" w:clear="all"/>
            </w:r>
          </w:p>
        </w:tc>
        <w:tc>
          <w:tcPr>
            <w:tcW w:w="5637" w:type="dxa"/>
            <w:tcBorders>
              <w:right w:val="single" w:sz="4" w:space="0" w:color="auto"/>
            </w:tcBorders>
            <w:shd w:val="clear" w:color="auto" w:fill="auto"/>
            <w:tcMar>
              <w:top w:w="0" w:type="dxa"/>
              <w:left w:w="108" w:type="dxa"/>
              <w:bottom w:w="0" w:type="dxa"/>
              <w:right w:w="108" w:type="dxa"/>
            </w:tcMar>
          </w:tcPr>
          <w:p w14:paraId="731FD1FC" w14:textId="77777777" w:rsidR="002D181F" w:rsidRDefault="005216AD">
            <w:pPr>
              <w:pStyle w:val="jaen"/>
            </w:pPr>
            <w:r>
              <w:t>30% magenta</w:t>
            </w:r>
          </w:p>
        </w:tc>
      </w:tr>
      <w:tr w:rsidR="002D181F" w14:paraId="076E7F41" w14:textId="77777777" w:rsidTr="007C7B37">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9E6C7C" w14:textId="77777777" w:rsidR="002D181F" w:rsidRDefault="005216AD">
            <w:pPr>
              <w:pStyle w:val="jaen"/>
            </w:pPr>
            <w:r>
              <w:br w:type="textWrapping" w:clear="all"/>
            </w:r>
          </w:p>
        </w:tc>
        <w:tc>
          <w:tcPr>
            <w:tcW w:w="5637" w:type="dxa"/>
            <w:tcBorders>
              <w:right w:val="single" w:sz="4" w:space="0" w:color="auto"/>
            </w:tcBorders>
            <w:shd w:val="clear" w:color="auto" w:fill="auto"/>
            <w:tcMar>
              <w:top w:w="0" w:type="dxa"/>
              <w:left w:w="108" w:type="dxa"/>
              <w:bottom w:w="0" w:type="dxa"/>
              <w:right w:w="108" w:type="dxa"/>
            </w:tcMar>
          </w:tcPr>
          <w:p w14:paraId="22B4A6C4" w14:textId="77777777" w:rsidR="002D181F" w:rsidRDefault="005216AD">
            <w:pPr>
              <w:pStyle w:val="jaen"/>
            </w:pPr>
            <w:r>
              <w:t>45% yellow</w:t>
            </w:r>
          </w:p>
        </w:tc>
      </w:tr>
      <w:tr w:rsidR="002D181F" w14:paraId="4FE6E1BA" w14:textId="77777777" w:rsidTr="007C7B37">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14901E" w14:textId="77777777" w:rsidR="002D181F" w:rsidRDefault="005216AD">
            <w:pPr>
              <w:pStyle w:val="jaen"/>
            </w:pPr>
            <w:r>
              <w:br w:type="textWrapping" w:clear="all"/>
            </w:r>
          </w:p>
        </w:tc>
        <w:tc>
          <w:tcPr>
            <w:tcW w:w="5637" w:type="dxa"/>
            <w:tcBorders>
              <w:bottom w:val="single" w:sz="4" w:space="0" w:color="auto"/>
              <w:right w:val="single" w:sz="4" w:space="0" w:color="auto"/>
            </w:tcBorders>
            <w:shd w:val="clear" w:color="auto" w:fill="auto"/>
            <w:tcMar>
              <w:top w:w="0" w:type="dxa"/>
              <w:left w:w="108" w:type="dxa"/>
              <w:bottom w:w="0" w:type="dxa"/>
              <w:right w:w="108" w:type="dxa"/>
            </w:tcMar>
          </w:tcPr>
          <w:p w14:paraId="70E9AEE1" w14:textId="77777777" w:rsidR="002D181F" w:rsidRDefault="005216AD">
            <w:pPr>
              <w:pStyle w:val="jaen"/>
            </w:pPr>
            <w:r>
              <w:t>0% black</w:t>
            </w:r>
          </w:p>
        </w:tc>
      </w:tr>
      <w:tr w:rsidR="002D181F" w14:paraId="1FA01842" w14:textId="77777777" w:rsidTr="007C7B37">
        <w:trPr>
          <w:cantSplit/>
        </w:trPr>
        <w:tc>
          <w:tcPr>
            <w:tcW w:w="3062"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76E7D4D" w14:textId="77777777" w:rsidR="002D181F" w:rsidRDefault="005216AD">
            <w:pPr>
              <w:pStyle w:val="jaen"/>
            </w:pPr>
            <w:r>
              <w:t>Character of “JAPAN GEOGRAPHICAL INDICATION”, “</w:t>
            </w:r>
            <w:r>
              <w:t>日本</w:t>
            </w:r>
            <w:r>
              <w:t>”, “</w:t>
            </w:r>
            <w:r>
              <w:t>地理的表示</w:t>
            </w:r>
            <w:r>
              <w:t>”, and “GI”</w:t>
            </w:r>
          </w:p>
        </w:tc>
        <w:tc>
          <w:tcPr>
            <w:tcW w:w="5637" w:type="dxa"/>
            <w:tcBorders>
              <w:right w:val="single" w:sz="4" w:space="0" w:color="auto"/>
            </w:tcBorders>
            <w:shd w:val="clear" w:color="auto" w:fill="auto"/>
            <w:tcMar>
              <w:top w:w="0" w:type="dxa"/>
              <w:left w:w="108" w:type="dxa"/>
              <w:bottom w:w="0" w:type="dxa"/>
              <w:right w:w="108" w:type="dxa"/>
            </w:tcMar>
          </w:tcPr>
          <w:p w14:paraId="14C9DFEC" w14:textId="77777777" w:rsidR="002D181F" w:rsidRDefault="005216AD">
            <w:pPr>
              <w:pStyle w:val="jaen"/>
            </w:pPr>
            <w:r>
              <w:t>PANTONE 4655C or 25% cyan</w:t>
            </w:r>
          </w:p>
        </w:tc>
      </w:tr>
      <w:tr w:rsidR="002D181F" w14:paraId="66B2BB9A" w14:textId="77777777" w:rsidTr="007C7B37">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CF664E" w14:textId="77777777" w:rsidR="002D181F" w:rsidRDefault="005216AD">
            <w:pPr>
              <w:pStyle w:val="jaen"/>
            </w:pPr>
            <w:r>
              <w:br w:type="textWrapping" w:clear="all"/>
            </w:r>
          </w:p>
        </w:tc>
        <w:tc>
          <w:tcPr>
            <w:tcW w:w="5637" w:type="dxa"/>
            <w:tcBorders>
              <w:right w:val="single" w:sz="4" w:space="0" w:color="auto"/>
            </w:tcBorders>
            <w:shd w:val="clear" w:color="auto" w:fill="auto"/>
            <w:tcMar>
              <w:top w:w="0" w:type="dxa"/>
              <w:left w:w="108" w:type="dxa"/>
              <w:bottom w:w="0" w:type="dxa"/>
              <w:right w:w="108" w:type="dxa"/>
            </w:tcMar>
          </w:tcPr>
          <w:p w14:paraId="3E949F5E" w14:textId="77777777" w:rsidR="002D181F" w:rsidRDefault="005216AD">
            <w:pPr>
              <w:pStyle w:val="jaen"/>
            </w:pPr>
            <w:r>
              <w:t>40% magenta</w:t>
            </w:r>
          </w:p>
        </w:tc>
      </w:tr>
      <w:tr w:rsidR="002D181F" w14:paraId="514F69DC" w14:textId="77777777" w:rsidTr="007C7B37">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D3F6B5" w14:textId="77777777" w:rsidR="002D181F" w:rsidRDefault="005216AD">
            <w:pPr>
              <w:pStyle w:val="jaen"/>
            </w:pPr>
            <w:r>
              <w:br w:type="textWrapping" w:clear="all"/>
            </w:r>
          </w:p>
        </w:tc>
        <w:tc>
          <w:tcPr>
            <w:tcW w:w="5637" w:type="dxa"/>
            <w:tcBorders>
              <w:right w:val="single" w:sz="4" w:space="0" w:color="auto"/>
            </w:tcBorders>
            <w:shd w:val="clear" w:color="auto" w:fill="auto"/>
            <w:tcMar>
              <w:top w:w="0" w:type="dxa"/>
              <w:left w:w="108" w:type="dxa"/>
              <w:bottom w:w="0" w:type="dxa"/>
              <w:right w:w="108" w:type="dxa"/>
            </w:tcMar>
          </w:tcPr>
          <w:p w14:paraId="6BAC6FF1" w14:textId="77777777" w:rsidR="002D181F" w:rsidRDefault="005216AD">
            <w:pPr>
              <w:pStyle w:val="jaen"/>
            </w:pPr>
            <w:r>
              <w:t>65% yellow</w:t>
            </w:r>
          </w:p>
        </w:tc>
      </w:tr>
      <w:tr w:rsidR="002D181F" w14:paraId="36BDCEC2" w14:textId="77777777" w:rsidTr="007C7B37">
        <w:trPr>
          <w:cantSplit/>
        </w:trPr>
        <w:tc>
          <w:tcPr>
            <w:tcW w:w="306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9CF9C1" w14:textId="77777777" w:rsidR="002D181F" w:rsidRDefault="005216AD">
            <w:pPr>
              <w:pStyle w:val="jaen"/>
            </w:pPr>
            <w:r>
              <w:br w:type="textWrapping" w:clear="all"/>
            </w:r>
          </w:p>
        </w:tc>
        <w:tc>
          <w:tcPr>
            <w:tcW w:w="5637" w:type="dxa"/>
            <w:tcBorders>
              <w:bottom w:val="single" w:sz="4" w:space="0" w:color="auto"/>
              <w:right w:val="single" w:sz="4" w:space="0" w:color="auto"/>
            </w:tcBorders>
            <w:shd w:val="clear" w:color="auto" w:fill="auto"/>
            <w:tcMar>
              <w:top w:w="0" w:type="dxa"/>
              <w:left w:w="108" w:type="dxa"/>
              <w:bottom w:w="0" w:type="dxa"/>
              <w:right w:w="108" w:type="dxa"/>
            </w:tcMar>
          </w:tcPr>
          <w:p w14:paraId="17266357" w14:textId="77777777" w:rsidR="002D181F" w:rsidRDefault="005216AD">
            <w:pPr>
              <w:pStyle w:val="jaen"/>
            </w:pPr>
            <w:r>
              <w:t>0% black</w:t>
            </w:r>
          </w:p>
        </w:tc>
      </w:tr>
    </w:tbl>
    <w:p w14:paraId="2AB1AD43" w14:textId="77777777" w:rsidR="002D181F" w:rsidRDefault="002D181F"/>
    <w:p w14:paraId="7D50B36F" w14:textId="77777777" w:rsidR="002D181F" w:rsidRDefault="002D181F">
      <w:pPr>
        <w:pStyle w:val="enf7"/>
      </w:pPr>
    </w:p>
    <w:p w14:paraId="1C00B033" w14:textId="77777777" w:rsidR="002D181F" w:rsidRDefault="005216AD">
      <w:pPr>
        <w:pStyle w:val="enf7"/>
      </w:pPr>
      <w:r>
        <w:t>(4) The color of (c) is to fall under all the following items:</w:t>
      </w:r>
    </w:p>
    <w:p w14:paraId="61744634" w14:textId="77777777" w:rsidR="002D181F" w:rsidRDefault="005216AD">
      <w:pPr>
        <w:pStyle w:val="enf7"/>
      </w:pPr>
      <w:r>
        <w:t>(i) variation of colors is to be homogeneous; the color of the top of (c) meets the color of starting point stipulated in the following list and the color of 3375/10000 from the top of (c) meets intermediate color between the color of starting point and that of end point stipulated in the following list;</w:t>
      </w:r>
    </w:p>
    <w:p w14:paraId="44B62324" w14:textId="77777777" w:rsidR="002D181F" w:rsidRDefault="005216AD">
      <w:r>
        <w:t>(ii) variation of colors is to be homogeneous; the color of 3375/10000 from the top of (c) meets the intermediate color stipulated in (i) and the color of 4500/10000 from the top of (c) meets the color of end point stipulated in the following list.</w:t>
      </w:r>
    </w:p>
    <w:tbl>
      <w:tblPr>
        <w:tblW w:w="0" w:type="auto"/>
        <w:tblInd w:w="232" w:type="dxa"/>
        <w:tblLayout w:type="fixed"/>
        <w:tblCellMar>
          <w:left w:w="0" w:type="dxa"/>
          <w:right w:w="0" w:type="dxa"/>
        </w:tblCellMar>
        <w:tblLook w:val="0000" w:firstRow="0" w:lastRow="0" w:firstColumn="0" w:lastColumn="0" w:noHBand="0" w:noVBand="0"/>
      </w:tblPr>
      <w:tblGrid>
        <w:gridCol w:w="3836"/>
        <w:gridCol w:w="4863"/>
      </w:tblGrid>
      <w:tr w:rsidR="002D181F" w14:paraId="72C74DA8" w14:textId="77777777" w:rsidTr="007C7B37">
        <w:trPr>
          <w:cantSplit/>
        </w:trPr>
        <w:tc>
          <w:tcPr>
            <w:tcW w:w="38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6EE549" w14:textId="77777777" w:rsidR="002D181F" w:rsidRDefault="005216AD">
            <w:pPr>
              <w:pStyle w:val="jaen"/>
            </w:pPr>
            <w:r>
              <w:t>Name of color</w:t>
            </w:r>
          </w:p>
        </w:tc>
        <w:tc>
          <w:tcPr>
            <w:tcW w:w="4863"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5EE6C1" w14:textId="77777777" w:rsidR="002D181F" w:rsidRDefault="005216AD">
            <w:pPr>
              <w:pStyle w:val="jaen"/>
            </w:pPr>
            <w:r>
              <w:t>Color</w:t>
            </w:r>
          </w:p>
        </w:tc>
      </w:tr>
      <w:tr w:rsidR="002D181F" w14:paraId="5ABFEE13" w14:textId="77777777" w:rsidTr="007C7B37">
        <w:trPr>
          <w:cantSplit/>
        </w:trPr>
        <w:tc>
          <w:tcPr>
            <w:tcW w:w="3836"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2FB142D" w14:textId="77777777" w:rsidR="002D181F" w:rsidRDefault="005216AD">
            <w:pPr>
              <w:pStyle w:val="jaen"/>
            </w:pPr>
            <w:r>
              <w:t>Color of Starting point</w:t>
            </w:r>
          </w:p>
        </w:tc>
        <w:tc>
          <w:tcPr>
            <w:tcW w:w="4863" w:type="dxa"/>
            <w:tcBorders>
              <w:right w:val="single" w:sz="4" w:space="0" w:color="auto"/>
            </w:tcBorders>
            <w:shd w:val="clear" w:color="auto" w:fill="auto"/>
            <w:tcMar>
              <w:top w:w="0" w:type="dxa"/>
              <w:left w:w="108" w:type="dxa"/>
              <w:bottom w:w="0" w:type="dxa"/>
              <w:right w:w="108" w:type="dxa"/>
            </w:tcMar>
          </w:tcPr>
          <w:p w14:paraId="5541DCC9" w14:textId="77777777" w:rsidR="002D181F" w:rsidRDefault="005216AD">
            <w:pPr>
              <w:pStyle w:val="jaen"/>
            </w:pPr>
            <w:r>
              <w:t>PANTONE 4655C or 25% cyan</w:t>
            </w:r>
          </w:p>
        </w:tc>
      </w:tr>
      <w:tr w:rsidR="002D181F" w14:paraId="0DB71CD7" w14:textId="77777777" w:rsidTr="007C7B37">
        <w:trPr>
          <w:cantSplit/>
        </w:trPr>
        <w:tc>
          <w:tcPr>
            <w:tcW w:w="3836"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1D2DB1" w14:textId="77777777" w:rsidR="002D181F" w:rsidRDefault="005216AD">
            <w:pPr>
              <w:pStyle w:val="jaen"/>
            </w:pPr>
            <w:r>
              <w:br w:type="textWrapping" w:clear="all"/>
            </w:r>
          </w:p>
        </w:tc>
        <w:tc>
          <w:tcPr>
            <w:tcW w:w="4863" w:type="dxa"/>
            <w:tcBorders>
              <w:right w:val="single" w:sz="4" w:space="0" w:color="auto"/>
            </w:tcBorders>
            <w:shd w:val="clear" w:color="auto" w:fill="auto"/>
            <w:tcMar>
              <w:top w:w="0" w:type="dxa"/>
              <w:left w:w="108" w:type="dxa"/>
              <w:bottom w:w="0" w:type="dxa"/>
              <w:right w:w="108" w:type="dxa"/>
            </w:tcMar>
          </w:tcPr>
          <w:p w14:paraId="4A6E8A29" w14:textId="77777777" w:rsidR="002D181F" w:rsidRDefault="005216AD">
            <w:pPr>
              <w:pStyle w:val="jaen"/>
            </w:pPr>
            <w:r>
              <w:t>40% magenta</w:t>
            </w:r>
          </w:p>
        </w:tc>
      </w:tr>
      <w:tr w:rsidR="002D181F" w14:paraId="4BC774BA" w14:textId="77777777" w:rsidTr="007C7B37">
        <w:trPr>
          <w:cantSplit/>
        </w:trPr>
        <w:tc>
          <w:tcPr>
            <w:tcW w:w="3836"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DA24B2" w14:textId="77777777" w:rsidR="002D181F" w:rsidRDefault="005216AD">
            <w:pPr>
              <w:pStyle w:val="jaen"/>
            </w:pPr>
            <w:r>
              <w:br w:type="textWrapping" w:clear="all"/>
            </w:r>
          </w:p>
        </w:tc>
        <w:tc>
          <w:tcPr>
            <w:tcW w:w="4863" w:type="dxa"/>
            <w:tcBorders>
              <w:right w:val="single" w:sz="4" w:space="0" w:color="auto"/>
            </w:tcBorders>
            <w:shd w:val="clear" w:color="auto" w:fill="auto"/>
            <w:tcMar>
              <w:top w:w="0" w:type="dxa"/>
              <w:left w:w="108" w:type="dxa"/>
              <w:bottom w:w="0" w:type="dxa"/>
              <w:right w:w="108" w:type="dxa"/>
            </w:tcMar>
          </w:tcPr>
          <w:p w14:paraId="7FBE8A2A" w14:textId="77777777" w:rsidR="002D181F" w:rsidRDefault="005216AD">
            <w:pPr>
              <w:pStyle w:val="jaen"/>
            </w:pPr>
            <w:r>
              <w:t>65% yellow</w:t>
            </w:r>
          </w:p>
        </w:tc>
      </w:tr>
      <w:tr w:rsidR="002D181F" w14:paraId="1EC2F293" w14:textId="77777777" w:rsidTr="007C7B37">
        <w:trPr>
          <w:cantSplit/>
        </w:trPr>
        <w:tc>
          <w:tcPr>
            <w:tcW w:w="3836"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D5ECFF" w14:textId="77777777" w:rsidR="002D181F" w:rsidRDefault="005216AD">
            <w:pPr>
              <w:pStyle w:val="jaen"/>
            </w:pPr>
            <w:r>
              <w:br w:type="textWrapping" w:clear="all"/>
            </w:r>
          </w:p>
        </w:tc>
        <w:tc>
          <w:tcPr>
            <w:tcW w:w="4863" w:type="dxa"/>
            <w:tcBorders>
              <w:bottom w:val="single" w:sz="4" w:space="0" w:color="auto"/>
              <w:right w:val="single" w:sz="4" w:space="0" w:color="auto"/>
            </w:tcBorders>
            <w:shd w:val="clear" w:color="auto" w:fill="auto"/>
            <w:tcMar>
              <w:top w:w="0" w:type="dxa"/>
              <w:left w:w="108" w:type="dxa"/>
              <w:bottom w:w="0" w:type="dxa"/>
              <w:right w:w="108" w:type="dxa"/>
            </w:tcMar>
          </w:tcPr>
          <w:p w14:paraId="52F1BBEA" w14:textId="77777777" w:rsidR="002D181F" w:rsidRDefault="005216AD">
            <w:pPr>
              <w:pStyle w:val="jaen"/>
            </w:pPr>
            <w:r>
              <w:t>0% black</w:t>
            </w:r>
          </w:p>
        </w:tc>
      </w:tr>
      <w:tr w:rsidR="002D181F" w14:paraId="246767C1" w14:textId="77777777" w:rsidTr="007C7B37">
        <w:trPr>
          <w:cantSplit/>
        </w:trPr>
        <w:tc>
          <w:tcPr>
            <w:tcW w:w="3836"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7E0C0D4" w14:textId="77777777" w:rsidR="002D181F" w:rsidRDefault="005216AD">
            <w:pPr>
              <w:pStyle w:val="jaen"/>
            </w:pPr>
            <w:r>
              <w:t>Color of Ending point</w:t>
            </w:r>
          </w:p>
        </w:tc>
        <w:tc>
          <w:tcPr>
            <w:tcW w:w="4863" w:type="dxa"/>
            <w:tcBorders>
              <w:right w:val="single" w:sz="4" w:space="0" w:color="auto"/>
            </w:tcBorders>
            <w:shd w:val="clear" w:color="auto" w:fill="auto"/>
            <w:tcMar>
              <w:top w:w="0" w:type="dxa"/>
              <w:left w:w="108" w:type="dxa"/>
              <w:bottom w:w="0" w:type="dxa"/>
              <w:right w:w="108" w:type="dxa"/>
            </w:tcMar>
          </w:tcPr>
          <w:p w14:paraId="44524D2C" w14:textId="77777777" w:rsidR="002D181F" w:rsidRDefault="005216AD">
            <w:pPr>
              <w:pStyle w:val="jaen"/>
            </w:pPr>
            <w:r>
              <w:t>PANTONE 4645C or 30% cyan</w:t>
            </w:r>
          </w:p>
        </w:tc>
      </w:tr>
      <w:tr w:rsidR="002D181F" w14:paraId="40575168" w14:textId="77777777" w:rsidTr="007C7B37">
        <w:trPr>
          <w:cantSplit/>
        </w:trPr>
        <w:tc>
          <w:tcPr>
            <w:tcW w:w="3836"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0417A1" w14:textId="77777777" w:rsidR="002D181F" w:rsidRDefault="005216AD">
            <w:pPr>
              <w:pStyle w:val="jaen"/>
            </w:pPr>
            <w:r>
              <w:br w:type="textWrapping" w:clear="all"/>
            </w:r>
          </w:p>
        </w:tc>
        <w:tc>
          <w:tcPr>
            <w:tcW w:w="4863" w:type="dxa"/>
            <w:tcBorders>
              <w:right w:val="single" w:sz="4" w:space="0" w:color="auto"/>
            </w:tcBorders>
            <w:shd w:val="clear" w:color="auto" w:fill="auto"/>
            <w:tcMar>
              <w:top w:w="0" w:type="dxa"/>
              <w:left w:w="108" w:type="dxa"/>
              <w:bottom w:w="0" w:type="dxa"/>
              <w:right w:w="108" w:type="dxa"/>
            </w:tcMar>
          </w:tcPr>
          <w:p w14:paraId="6E0B3E06" w14:textId="77777777" w:rsidR="002D181F" w:rsidRDefault="005216AD">
            <w:pPr>
              <w:pStyle w:val="jaen"/>
            </w:pPr>
            <w:r>
              <w:t>50% magenta</w:t>
            </w:r>
          </w:p>
        </w:tc>
      </w:tr>
      <w:tr w:rsidR="002D181F" w14:paraId="1C4A8A90" w14:textId="77777777" w:rsidTr="007C7B37">
        <w:trPr>
          <w:cantSplit/>
        </w:trPr>
        <w:tc>
          <w:tcPr>
            <w:tcW w:w="3836"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DAEBE7" w14:textId="77777777" w:rsidR="002D181F" w:rsidRDefault="005216AD">
            <w:pPr>
              <w:pStyle w:val="jaen"/>
            </w:pPr>
            <w:r>
              <w:br w:type="textWrapping" w:clear="all"/>
            </w:r>
          </w:p>
        </w:tc>
        <w:tc>
          <w:tcPr>
            <w:tcW w:w="4863" w:type="dxa"/>
            <w:tcBorders>
              <w:right w:val="single" w:sz="4" w:space="0" w:color="auto"/>
            </w:tcBorders>
            <w:shd w:val="clear" w:color="auto" w:fill="auto"/>
            <w:tcMar>
              <w:top w:w="0" w:type="dxa"/>
              <w:left w:w="108" w:type="dxa"/>
              <w:bottom w:w="0" w:type="dxa"/>
              <w:right w:w="108" w:type="dxa"/>
            </w:tcMar>
          </w:tcPr>
          <w:p w14:paraId="1998F70E" w14:textId="77777777" w:rsidR="002D181F" w:rsidRDefault="005216AD">
            <w:pPr>
              <w:pStyle w:val="jaen"/>
            </w:pPr>
            <w:r>
              <w:t>70% yellow</w:t>
            </w:r>
          </w:p>
        </w:tc>
      </w:tr>
      <w:tr w:rsidR="002D181F" w14:paraId="1D26E99A" w14:textId="77777777" w:rsidTr="007C7B37">
        <w:trPr>
          <w:cantSplit/>
        </w:trPr>
        <w:tc>
          <w:tcPr>
            <w:tcW w:w="3836"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B26BCF" w14:textId="77777777" w:rsidR="002D181F" w:rsidRDefault="005216AD">
            <w:pPr>
              <w:pStyle w:val="jaen"/>
            </w:pPr>
            <w:r>
              <w:br w:type="textWrapping" w:clear="all"/>
            </w:r>
          </w:p>
        </w:tc>
        <w:tc>
          <w:tcPr>
            <w:tcW w:w="4863" w:type="dxa"/>
            <w:tcBorders>
              <w:bottom w:val="single" w:sz="4" w:space="0" w:color="auto"/>
              <w:right w:val="single" w:sz="4" w:space="0" w:color="auto"/>
            </w:tcBorders>
            <w:shd w:val="clear" w:color="auto" w:fill="auto"/>
            <w:tcMar>
              <w:top w:w="0" w:type="dxa"/>
              <w:left w:w="108" w:type="dxa"/>
              <w:bottom w:w="0" w:type="dxa"/>
              <w:right w:w="108" w:type="dxa"/>
            </w:tcMar>
          </w:tcPr>
          <w:p w14:paraId="41DED890" w14:textId="77777777" w:rsidR="002D181F" w:rsidRDefault="005216AD">
            <w:pPr>
              <w:pStyle w:val="jaen"/>
            </w:pPr>
            <w:r>
              <w:t>10% black</w:t>
            </w:r>
          </w:p>
        </w:tc>
      </w:tr>
    </w:tbl>
    <w:p w14:paraId="78DC71E3" w14:textId="77777777" w:rsidR="002D181F" w:rsidRDefault="002D181F">
      <w:pPr>
        <w:pStyle w:val="enf7"/>
      </w:pPr>
    </w:p>
    <w:p w14:paraId="3C0A1377" w14:textId="77777777" w:rsidR="002D181F" w:rsidRDefault="002D181F"/>
    <w:p w14:paraId="69999BC3" w14:textId="1296DA60" w:rsidR="002D181F" w:rsidRDefault="005216AD">
      <w:pPr>
        <w:pStyle w:val="enff8"/>
      </w:pPr>
      <w:r>
        <w:t>Form 5 (Related to Article 4)</w:t>
      </w:r>
    </w:p>
    <w:p w14:paraId="40444461" w14:textId="1B6A5A9D" w:rsidR="001623DC" w:rsidRPr="007C7B37" w:rsidRDefault="001623DC" w:rsidP="001623DC">
      <w:pPr>
        <w:pStyle w:val="enff8"/>
        <w:ind w:left="0" w:firstLine="0"/>
        <w:rPr>
          <w:rFonts w:eastAsia="游明朝" w:hint="eastAsia"/>
        </w:rPr>
      </w:pPr>
      <w:r w:rsidRPr="007C7B37">
        <w:rPr>
          <w:rFonts w:eastAsia="游明朝"/>
        </w:rPr>
        <w:lastRenderedPageBreak/>
        <w:pict w14:anchorId="5A22FF9E">
          <v:shape id="_x0000_i1029" type="#_x0000_t75" style="width:354pt;height:339pt">
            <v:imagedata r:id="rId8" o:title=""/>
          </v:shape>
        </w:pict>
      </w:r>
    </w:p>
    <w:p w14:paraId="44F97862" w14:textId="77777777" w:rsidR="002D181F" w:rsidRDefault="005216AD">
      <w:pPr>
        <w:pStyle w:val="enf7"/>
      </w:pPr>
      <w:r>
        <w:t>(1) The diameter of the external circle is to be over 15 mm and the diameter of the internal circle is to be 6216/10000 of the diameter of the external circle.</w:t>
      </w:r>
    </w:p>
    <w:p w14:paraId="318C1AB3" w14:textId="77777777" w:rsidR="002D181F" w:rsidRDefault="005216AD">
      <w:r>
        <w:t>(2) The dimensions from A to F of GI logo described above are as follows.</w:t>
      </w:r>
    </w:p>
    <w:tbl>
      <w:tblPr>
        <w:tblW w:w="0" w:type="auto"/>
        <w:tblInd w:w="232" w:type="dxa"/>
        <w:tblLayout w:type="fixed"/>
        <w:tblCellMar>
          <w:left w:w="0" w:type="dxa"/>
          <w:right w:w="0" w:type="dxa"/>
        </w:tblCellMar>
        <w:tblLook w:val="0000" w:firstRow="0" w:lastRow="0" w:firstColumn="0" w:lastColumn="0" w:noHBand="0" w:noVBand="0"/>
      </w:tblPr>
      <w:tblGrid>
        <w:gridCol w:w="1566"/>
        <w:gridCol w:w="7134"/>
      </w:tblGrid>
      <w:tr w:rsidR="002D181F" w14:paraId="7B58F88E" w14:textId="77777777" w:rsidTr="007C7B37">
        <w:trPr>
          <w:cantSplit/>
        </w:trPr>
        <w:tc>
          <w:tcPr>
            <w:tcW w:w="15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E9095C" w14:textId="77777777" w:rsidR="002D181F" w:rsidRDefault="005216AD">
            <w:pPr>
              <w:pStyle w:val="jaen"/>
            </w:pPr>
            <w:r>
              <w:t>Parts</w:t>
            </w:r>
          </w:p>
        </w:tc>
        <w:tc>
          <w:tcPr>
            <w:tcW w:w="7134"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190171" w14:textId="77777777" w:rsidR="002D181F" w:rsidRDefault="005216AD">
            <w:pPr>
              <w:pStyle w:val="jaen"/>
            </w:pPr>
            <w:r>
              <w:t>Sizes</w:t>
            </w:r>
          </w:p>
        </w:tc>
      </w:tr>
      <w:tr w:rsidR="002D181F" w14:paraId="041A6E41" w14:textId="77777777" w:rsidTr="007C7B3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445BBF" w14:textId="77777777" w:rsidR="002D181F" w:rsidRDefault="005216AD">
            <w:pPr>
              <w:pStyle w:val="jaen"/>
            </w:pPr>
            <w:r>
              <w:t>A</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1C80611E" w14:textId="77777777" w:rsidR="002D181F" w:rsidRDefault="005216AD">
            <w:pPr>
              <w:pStyle w:val="jaen"/>
            </w:pPr>
            <w:r>
              <w:t>6.75% of diameter of external circle</w:t>
            </w:r>
          </w:p>
        </w:tc>
      </w:tr>
      <w:tr w:rsidR="002D181F" w14:paraId="2C5BB56F" w14:textId="77777777" w:rsidTr="007C7B3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04697E" w14:textId="77777777" w:rsidR="002D181F" w:rsidRDefault="005216AD">
            <w:pPr>
              <w:pStyle w:val="jaen"/>
            </w:pPr>
            <w:r>
              <w:t>B</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154FAAE4" w14:textId="77777777" w:rsidR="002D181F" w:rsidRDefault="005216AD">
            <w:pPr>
              <w:pStyle w:val="jaen"/>
            </w:pPr>
            <w:r>
              <w:t>45.16 of diameter of external circle</w:t>
            </w:r>
          </w:p>
        </w:tc>
      </w:tr>
      <w:tr w:rsidR="002D181F" w14:paraId="338EA64E" w14:textId="77777777" w:rsidTr="007C7B3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4C3D89" w14:textId="77777777" w:rsidR="002D181F" w:rsidRDefault="005216AD">
            <w:pPr>
              <w:pStyle w:val="jaen"/>
            </w:pPr>
            <w:r>
              <w:t>C</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68E1A548" w14:textId="77777777" w:rsidR="002D181F" w:rsidRDefault="005216AD">
            <w:pPr>
              <w:pStyle w:val="jaen"/>
            </w:pPr>
            <w:r>
              <w:t>21.82%of diameter of external circle</w:t>
            </w:r>
          </w:p>
        </w:tc>
      </w:tr>
      <w:tr w:rsidR="002D181F" w14:paraId="7866BB6B" w14:textId="77777777" w:rsidTr="007C7B3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8ECE70" w14:textId="77777777" w:rsidR="002D181F" w:rsidRDefault="005216AD">
            <w:pPr>
              <w:pStyle w:val="jaen"/>
            </w:pPr>
            <w:r>
              <w:t>D</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3B9258D5" w14:textId="77777777" w:rsidR="002D181F" w:rsidRDefault="005216AD">
            <w:pPr>
              <w:pStyle w:val="jaen"/>
            </w:pPr>
            <w:r>
              <w:t>38.88%of diameter of external circle</w:t>
            </w:r>
          </w:p>
        </w:tc>
      </w:tr>
      <w:tr w:rsidR="002D181F" w14:paraId="78770521" w14:textId="77777777" w:rsidTr="007C7B3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30F920" w14:textId="77777777" w:rsidR="002D181F" w:rsidRDefault="005216AD">
            <w:pPr>
              <w:pStyle w:val="jaen"/>
            </w:pPr>
            <w:r>
              <w:t>E</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29D200D7" w14:textId="77777777" w:rsidR="002D181F" w:rsidRDefault="005216AD">
            <w:pPr>
              <w:pStyle w:val="jaen"/>
            </w:pPr>
            <w:r>
              <w:t>5.5%of diameter of external circle</w:t>
            </w:r>
          </w:p>
        </w:tc>
      </w:tr>
      <w:tr w:rsidR="002D181F" w14:paraId="2504F287" w14:textId="77777777" w:rsidTr="007C7B3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0CB8B4" w14:textId="77777777" w:rsidR="002D181F" w:rsidRDefault="005216AD">
            <w:pPr>
              <w:pStyle w:val="jaen"/>
            </w:pPr>
            <w:r>
              <w:t>F</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481692A7" w14:textId="77777777" w:rsidR="002D181F" w:rsidRDefault="005216AD">
            <w:pPr>
              <w:pStyle w:val="jaen"/>
            </w:pPr>
            <w:r>
              <w:t>56.06%of diameter of external circle</w:t>
            </w:r>
          </w:p>
        </w:tc>
      </w:tr>
    </w:tbl>
    <w:p w14:paraId="49D8E10F" w14:textId="77777777" w:rsidR="002D181F" w:rsidRDefault="002D181F"/>
    <w:p w14:paraId="203EE93F" w14:textId="77777777" w:rsidR="002D181F" w:rsidRDefault="002D181F">
      <w:pPr>
        <w:pStyle w:val="enf7"/>
      </w:pPr>
    </w:p>
    <w:p w14:paraId="2886E5D6" w14:textId="77777777" w:rsidR="002D181F" w:rsidRDefault="005216AD">
      <w:r>
        <w:t>(3) Color of parts of (a), (b), (d), and (e) and characters of “JAPAN GEOGRAPHICAL INDICATION”, “</w:t>
      </w:r>
      <w:r>
        <w:t>日本</w:t>
      </w:r>
      <w:r>
        <w:t>”, “</w:t>
      </w:r>
      <w:r>
        <w:t>地理的表示</w:t>
      </w:r>
      <w:r>
        <w:t>”, and “GI” are as follows;</w:t>
      </w:r>
    </w:p>
    <w:tbl>
      <w:tblPr>
        <w:tblW w:w="0" w:type="auto"/>
        <w:tblInd w:w="232" w:type="dxa"/>
        <w:tblLayout w:type="fixed"/>
        <w:tblCellMar>
          <w:left w:w="0" w:type="dxa"/>
          <w:right w:w="0" w:type="dxa"/>
        </w:tblCellMar>
        <w:tblLook w:val="0000" w:firstRow="0" w:lastRow="0" w:firstColumn="0" w:lastColumn="0" w:noHBand="0" w:noVBand="0"/>
      </w:tblPr>
      <w:tblGrid>
        <w:gridCol w:w="3601"/>
        <w:gridCol w:w="5098"/>
      </w:tblGrid>
      <w:tr w:rsidR="002D181F" w14:paraId="270DDF78" w14:textId="77777777" w:rsidTr="007C7B37">
        <w:trPr>
          <w:cantSplit/>
        </w:trPr>
        <w:tc>
          <w:tcPr>
            <w:tcW w:w="36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2C1550" w14:textId="77777777" w:rsidR="002D181F" w:rsidRDefault="005216AD">
            <w:pPr>
              <w:pStyle w:val="jaen"/>
            </w:pPr>
            <w:r>
              <w:t>Part of Character</w:t>
            </w:r>
          </w:p>
        </w:tc>
        <w:tc>
          <w:tcPr>
            <w:tcW w:w="5098"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3A7E58" w14:textId="77777777" w:rsidR="002D181F" w:rsidRDefault="005216AD">
            <w:pPr>
              <w:pStyle w:val="jaen"/>
            </w:pPr>
            <w:r>
              <w:t>Color</w:t>
            </w:r>
          </w:p>
        </w:tc>
      </w:tr>
      <w:tr w:rsidR="002D181F" w14:paraId="10B67D06" w14:textId="77777777" w:rsidTr="007C7B37">
        <w:trPr>
          <w:cantSplit/>
        </w:trPr>
        <w:tc>
          <w:tcPr>
            <w:tcW w:w="3601"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42CED7" w14:textId="77777777" w:rsidR="002D181F" w:rsidRDefault="005216AD">
            <w:pPr>
              <w:pStyle w:val="jaen"/>
            </w:pPr>
            <w:r>
              <w:t>(a) and character of “</w:t>
            </w:r>
            <w:r>
              <w:t>日本</w:t>
            </w:r>
            <w:r>
              <w:t>”, “</w:t>
            </w:r>
            <w:r>
              <w:t>地理的表示</w:t>
            </w:r>
            <w:r>
              <w:t>”, and “GI”</w:t>
            </w:r>
          </w:p>
        </w:tc>
        <w:tc>
          <w:tcPr>
            <w:tcW w:w="5098" w:type="dxa"/>
            <w:tcBorders>
              <w:bottom w:val="single" w:sz="4" w:space="0" w:color="auto"/>
              <w:right w:val="single" w:sz="4" w:space="0" w:color="auto"/>
            </w:tcBorders>
            <w:shd w:val="clear" w:color="auto" w:fill="auto"/>
            <w:tcMar>
              <w:top w:w="0" w:type="dxa"/>
              <w:left w:w="108" w:type="dxa"/>
              <w:bottom w:w="0" w:type="dxa"/>
              <w:right w:w="108" w:type="dxa"/>
            </w:tcMar>
          </w:tcPr>
          <w:p w14:paraId="5005FC8D" w14:textId="77777777" w:rsidR="002D181F" w:rsidRDefault="005216AD">
            <w:pPr>
              <w:pStyle w:val="jaen"/>
            </w:pPr>
            <w:r>
              <w:t>White</w:t>
            </w:r>
          </w:p>
        </w:tc>
      </w:tr>
      <w:tr w:rsidR="002D181F" w14:paraId="1B8063BF" w14:textId="77777777" w:rsidTr="007C7B37">
        <w:trPr>
          <w:cantSplit/>
        </w:trPr>
        <w:tc>
          <w:tcPr>
            <w:tcW w:w="3601"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E713D0" w14:textId="77777777" w:rsidR="002D181F" w:rsidRDefault="005216AD">
            <w:pPr>
              <w:pStyle w:val="jaen"/>
            </w:pPr>
            <w:r>
              <w:t>(b)</w:t>
            </w:r>
          </w:p>
        </w:tc>
        <w:tc>
          <w:tcPr>
            <w:tcW w:w="5098" w:type="dxa"/>
            <w:tcBorders>
              <w:bottom w:val="single" w:sz="4" w:space="0" w:color="auto"/>
              <w:right w:val="single" w:sz="4" w:space="0" w:color="auto"/>
            </w:tcBorders>
            <w:shd w:val="clear" w:color="auto" w:fill="auto"/>
            <w:tcMar>
              <w:top w:w="0" w:type="dxa"/>
              <w:left w:w="108" w:type="dxa"/>
              <w:bottom w:w="0" w:type="dxa"/>
              <w:right w:w="108" w:type="dxa"/>
            </w:tcMar>
          </w:tcPr>
          <w:p w14:paraId="12EFFB17" w14:textId="77777777" w:rsidR="002D181F" w:rsidRDefault="005216AD">
            <w:pPr>
              <w:pStyle w:val="jaen"/>
            </w:pPr>
            <w:r>
              <w:t>100% black</w:t>
            </w:r>
          </w:p>
        </w:tc>
      </w:tr>
      <w:tr w:rsidR="002D181F" w14:paraId="19D6A41D" w14:textId="77777777" w:rsidTr="007C7B37">
        <w:trPr>
          <w:cantSplit/>
        </w:trPr>
        <w:tc>
          <w:tcPr>
            <w:tcW w:w="3601"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7F4751" w14:textId="77777777" w:rsidR="002D181F" w:rsidRDefault="005216AD">
            <w:pPr>
              <w:pStyle w:val="jaen"/>
            </w:pPr>
            <w:r>
              <w:t>(d) and Character of "JAPAN GEOGRAPHICAL INDICATION"</w:t>
            </w:r>
          </w:p>
        </w:tc>
        <w:tc>
          <w:tcPr>
            <w:tcW w:w="5098" w:type="dxa"/>
            <w:tcBorders>
              <w:bottom w:val="single" w:sz="4" w:space="0" w:color="auto"/>
              <w:right w:val="single" w:sz="4" w:space="0" w:color="auto"/>
            </w:tcBorders>
            <w:shd w:val="clear" w:color="auto" w:fill="auto"/>
            <w:tcMar>
              <w:top w:w="0" w:type="dxa"/>
              <w:left w:w="108" w:type="dxa"/>
              <w:bottom w:w="0" w:type="dxa"/>
              <w:right w:w="108" w:type="dxa"/>
            </w:tcMar>
          </w:tcPr>
          <w:p w14:paraId="58DFB95A" w14:textId="77777777" w:rsidR="002D181F" w:rsidRDefault="005216AD">
            <w:pPr>
              <w:pStyle w:val="jaen"/>
            </w:pPr>
            <w:r>
              <w:t>65% black</w:t>
            </w:r>
          </w:p>
        </w:tc>
      </w:tr>
      <w:tr w:rsidR="002D181F" w14:paraId="1C12BFC9" w14:textId="77777777" w:rsidTr="007C7B37">
        <w:trPr>
          <w:cantSplit/>
        </w:trPr>
        <w:tc>
          <w:tcPr>
            <w:tcW w:w="36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62AE05" w14:textId="77777777" w:rsidR="002D181F" w:rsidRDefault="005216AD">
            <w:pPr>
              <w:pStyle w:val="jaen"/>
            </w:pPr>
            <w:r>
              <w:t>(e)</w:t>
            </w:r>
          </w:p>
        </w:tc>
        <w:tc>
          <w:tcPr>
            <w:tcW w:w="5098" w:type="dxa"/>
            <w:tcBorders>
              <w:bottom w:val="single" w:sz="4" w:space="0" w:color="auto"/>
              <w:right w:val="single" w:sz="4" w:space="0" w:color="auto"/>
            </w:tcBorders>
            <w:shd w:val="clear" w:color="auto" w:fill="auto"/>
            <w:tcMar>
              <w:top w:w="0" w:type="dxa"/>
              <w:left w:w="108" w:type="dxa"/>
              <w:bottom w:w="0" w:type="dxa"/>
              <w:right w:w="108" w:type="dxa"/>
            </w:tcMar>
          </w:tcPr>
          <w:p w14:paraId="16BAEC95" w14:textId="77777777" w:rsidR="002D181F" w:rsidRDefault="005216AD">
            <w:pPr>
              <w:pStyle w:val="jaen"/>
            </w:pPr>
            <w:r>
              <w:t>50% black</w:t>
            </w:r>
          </w:p>
        </w:tc>
      </w:tr>
    </w:tbl>
    <w:p w14:paraId="16544994" w14:textId="77777777" w:rsidR="002D181F" w:rsidRDefault="002D181F"/>
    <w:p w14:paraId="3A977826" w14:textId="77777777" w:rsidR="002D181F" w:rsidRDefault="002D181F">
      <w:pPr>
        <w:pStyle w:val="enf7"/>
      </w:pPr>
    </w:p>
    <w:p w14:paraId="5FE92B49" w14:textId="77777777" w:rsidR="002D181F" w:rsidRDefault="005216AD">
      <w:pPr>
        <w:pStyle w:val="enf7"/>
      </w:pPr>
      <w:r>
        <w:t>(4) The color of (c) is to fall under all the following items:</w:t>
      </w:r>
    </w:p>
    <w:p w14:paraId="0F2E756D" w14:textId="77777777" w:rsidR="002D181F" w:rsidRDefault="005216AD">
      <w:pPr>
        <w:pStyle w:val="enf7"/>
      </w:pPr>
      <w:r>
        <w:t>(i) variation of colors is to be homogeneous; the color of the top of (c) meets the color of starting point stipulated in the following list and the color of 3375/10000 from the top of (c) meets intermediate color between the color of starting point and that of end point stipulated in the following list;</w:t>
      </w:r>
    </w:p>
    <w:p w14:paraId="045B8B47" w14:textId="77777777" w:rsidR="002D181F" w:rsidRDefault="005216AD">
      <w:r>
        <w:t>(ii) variation of colors is to be homogeneous; the color of 3375/10000 from the top of (c) meets the intermediate color stipulated in (i) and the color of 4500/10000 from the top of (c) meets the color of end point stipulated in the following list.</w:t>
      </w:r>
    </w:p>
    <w:tbl>
      <w:tblPr>
        <w:tblW w:w="0" w:type="auto"/>
        <w:tblInd w:w="232" w:type="dxa"/>
        <w:tblLayout w:type="fixed"/>
        <w:tblCellMar>
          <w:left w:w="0" w:type="dxa"/>
          <w:right w:w="0" w:type="dxa"/>
        </w:tblCellMar>
        <w:tblLook w:val="0000" w:firstRow="0" w:lastRow="0" w:firstColumn="0" w:lastColumn="0" w:noHBand="0" w:noVBand="0"/>
      </w:tblPr>
      <w:tblGrid>
        <w:gridCol w:w="6029"/>
        <w:gridCol w:w="2670"/>
      </w:tblGrid>
      <w:tr w:rsidR="002D181F" w14:paraId="5643C937" w14:textId="77777777" w:rsidTr="007C7B37">
        <w:trPr>
          <w:cantSplit/>
        </w:trPr>
        <w:tc>
          <w:tcPr>
            <w:tcW w:w="60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FACA81" w14:textId="77777777" w:rsidR="002D181F" w:rsidRDefault="005216AD">
            <w:pPr>
              <w:pStyle w:val="jaen"/>
            </w:pPr>
            <w:r>
              <w:t>Name of color</w:t>
            </w:r>
          </w:p>
        </w:tc>
        <w:tc>
          <w:tcPr>
            <w:tcW w:w="267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379B0B" w14:textId="77777777" w:rsidR="002D181F" w:rsidRDefault="005216AD">
            <w:pPr>
              <w:pStyle w:val="jaen"/>
            </w:pPr>
            <w:r>
              <w:t>Color</w:t>
            </w:r>
          </w:p>
        </w:tc>
      </w:tr>
      <w:tr w:rsidR="002D181F" w14:paraId="0A1DF694" w14:textId="77777777" w:rsidTr="007C7B37">
        <w:trPr>
          <w:cantSplit/>
        </w:trPr>
        <w:tc>
          <w:tcPr>
            <w:tcW w:w="602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8B231E" w14:textId="77777777" w:rsidR="002D181F" w:rsidRDefault="005216AD">
            <w:pPr>
              <w:pStyle w:val="jaen"/>
            </w:pPr>
            <w:r>
              <w:t>Color of Starting point</w:t>
            </w:r>
          </w:p>
        </w:tc>
        <w:tc>
          <w:tcPr>
            <w:tcW w:w="2670" w:type="dxa"/>
            <w:tcBorders>
              <w:bottom w:val="single" w:sz="4" w:space="0" w:color="auto"/>
              <w:right w:val="single" w:sz="4" w:space="0" w:color="auto"/>
            </w:tcBorders>
            <w:shd w:val="clear" w:color="auto" w:fill="auto"/>
            <w:tcMar>
              <w:top w:w="0" w:type="dxa"/>
              <w:left w:w="108" w:type="dxa"/>
              <w:bottom w:w="0" w:type="dxa"/>
              <w:right w:w="108" w:type="dxa"/>
            </w:tcMar>
          </w:tcPr>
          <w:p w14:paraId="51CEEB19" w14:textId="77777777" w:rsidR="002D181F" w:rsidRDefault="005216AD">
            <w:pPr>
              <w:pStyle w:val="jaen"/>
            </w:pPr>
            <w:r>
              <w:t>0% black</w:t>
            </w:r>
          </w:p>
        </w:tc>
      </w:tr>
      <w:tr w:rsidR="002D181F" w14:paraId="06AF18D6" w14:textId="77777777" w:rsidTr="007C7B37">
        <w:trPr>
          <w:cantSplit/>
        </w:trPr>
        <w:tc>
          <w:tcPr>
            <w:tcW w:w="602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893833" w14:textId="77777777" w:rsidR="002D181F" w:rsidRDefault="005216AD">
            <w:pPr>
              <w:pStyle w:val="jaen"/>
            </w:pPr>
            <w:r>
              <w:t>Color of Ending point</w:t>
            </w:r>
          </w:p>
        </w:tc>
        <w:tc>
          <w:tcPr>
            <w:tcW w:w="2670" w:type="dxa"/>
            <w:tcBorders>
              <w:bottom w:val="single" w:sz="4" w:space="0" w:color="auto"/>
              <w:right w:val="single" w:sz="4" w:space="0" w:color="auto"/>
            </w:tcBorders>
            <w:shd w:val="clear" w:color="auto" w:fill="auto"/>
            <w:tcMar>
              <w:top w:w="0" w:type="dxa"/>
              <w:left w:w="108" w:type="dxa"/>
              <w:bottom w:w="0" w:type="dxa"/>
              <w:right w:w="108" w:type="dxa"/>
            </w:tcMar>
          </w:tcPr>
          <w:p w14:paraId="3D3DCB5A" w14:textId="77777777" w:rsidR="002D181F" w:rsidRDefault="005216AD">
            <w:pPr>
              <w:pStyle w:val="jaen"/>
            </w:pPr>
            <w:r>
              <w:t>80% black</w:t>
            </w:r>
          </w:p>
        </w:tc>
      </w:tr>
    </w:tbl>
    <w:p w14:paraId="065874C1" w14:textId="77777777" w:rsidR="002D181F" w:rsidRDefault="002D181F">
      <w:pPr>
        <w:pStyle w:val="enf7"/>
      </w:pPr>
    </w:p>
    <w:p w14:paraId="0A83CDA2" w14:textId="77777777" w:rsidR="002D181F" w:rsidRDefault="002D181F"/>
    <w:p w14:paraId="7D747832" w14:textId="0BB52E49" w:rsidR="002D181F" w:rsidRDefault="005216AD">
      <w:pPr>
        <w:pStyle w:val="enff8"/>
      </w:pPr>
      <w:r>
        <w:t>Form 6 (Related to Article 4)</w:t>
      </w:r>
    </w:p>
    <w:p w14:paraId="40BD70D9" w14:textId="1747C36D" w:rsidR="001623DC" w:rsidRPr="007C7B37" w:rsidRDefault="001623DC" w:rsidP="001623DC">
      <w:pPr>
        <w:pStyle w:val="enff8"/>
        <w:ind w:left="0" w:firstLine="0"/>
        <w:rPr>
          <w:rFonts w:eastAsia="游明朝" w:hint="eastAsia"/>
        </w:rPr>
      </w:pPr>
      <w:r w:rsidRPr="007C7B37">
        <w:rPr>
          <w:rFonts w:eastAsia="游明朝"/>
        </w:rPr>
        <w:pict w14:anchorId="3720F880">
          <v:shape id="_x0000_i1030" type="#_x0000_t75" style="width:368.25pt;height:338.25pt">
            <v:imagedata r:id="rId9" o:title=""/>
          </v:shape>
        </w:pict>
      </w:r>
    </w:p>
    <w:p w14:paraId="783406C7" w14:textId="77777777" w:rsidR="002D181F" w:rsidRDefault="005216AD">
      <w:pPr>
        <w:pStyle w:val="enf7"/>
      </w:pPr>
      <w:r>
        <w:t>(1) The diameter of the external circle is to be over 15 mm and the diameter of the internal circle is to be 6216/10000 of the diameter of the external circle.</w:t>
      </w:r>
    </w:p>
    <w:p w14:paraId="7EF500CB" w14:textId="77777777" w:rsidR="002D181F" w:rsidRDefault="005216AD">
      <w:r>
        <w:t>(2) The dimensions from A to F of GI logo described above are as follows.</w:t>
      </w:r>
    </w:p>
    <w:tbl>
      <w:tblPr>
        <w:tblW w:w="0" w:type="auto"/>
        <w:tblInd w:w="232" w:type="dxa"/>
        <w:tblLayout w:type="fixed"/>
        <w:tblCellMar>
          <w:left w:w="0" w:type="dxa"/>
          <w:right w:w="0" w:type="dxa"/>
        </w:tblCellMar>
        <w:tblLook w:val="0000" w:firstRow="0" w:lastRow="0" w:firstColumn="0" w:lastColumn="0" w:noHBand="0" w:noVBand="0"/>
      </w:tblPr>
      <w:tblGrid>
        <w:gridCol w:w="1566"/>
        <w:gridCol w:w="7134"/>
      </w:tblGrid>
      <w:tr w:rsidR="002D181F" w14:paraId="118100A8" w14:textId="77777777" w:rsidTr="007C7B37">
        <w:trPr>
          <w:cantSplit/>
        </w:trPr>
        <w:tc>
          <w:tcPr>
            <w:tcW w:w="15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2C595E" w14:textId="77777777" w:rsidR="002D181F" w:rsidRDefault="005216AD">
            <w:pPr>
              <w:pStyle w:val="jaen"/>
            </w:pPr>
            <w:r>
              <w:t>Parts</w:t>
            </w:r>
          </w:p>
        </w:tc>
        <w:tc>
          <w:tcPr>
            <w:tcW w:w="7134"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6D3B18" w14:textId="77777777" w:rsidR="002D181F" w:rsidRDefault="005216AD">
            <w:pPr>
              <w:pStyle w:val="jaen"/>
            </w:pPr>
            <w:r>
              <w:t>Sizes</w:t>
            </w:r>
          </w:p>
        </w:tc>
      </w:tr>
      <w:tr w:rsidR="002D181F" w14:paraId="30093353" w14:textId="77777777" w:rsidTr="007C7B3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02E71A" w14:textId="77777777" w:rsidR="002D181F" w:rsidRDefault="005216AD">
            <w:pPr>
              <w:pStyle w:val="jaen"/>
            </w:pPr>
            <w:r>
              <w:lastRenderedPageBreak/>
              <w:t>A</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1368A185" w14:textId="77777777" w:rsidR="002D181F" w:rsidRDefault="005216AD">
            <w:pPr>
              <w:pStyle w:val="jaen"/>
            </w:pPr>
            <w:r>
              <w:t>6.75% of diameter of external circle</w:t>
            </w:r>
          </w:p>
        </w:tc>
      </w:tr>
      <w:tr w:rsidR="002D181F" w14:paraId="53684532" w14:textId="77777777" w:rsidTr="007C7B3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02BFFB" w14:textId="77777777" w:rsidR="002D181F" w:rsidRDefault="005216AD">
            <w:pPr>
              <w:pStyle w:val="jaen"/>
            </w:pPr>
            <w:r>
              <w:t>B</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408BEF4D" w14:textId="77777777" w:rsidR="002D181F" w:rsidRDefault="005216AD">
            <w:pPr>
              <w:pStyle w:val="jaen"/>
            </w:pPr>
            <w:r>
              <w:t>45.16 of diameter of external circle</w:t>
            </w:r>
          </w:p>
        </w:tc>
      </w:tr>
      <w:tr w:rsidR="002D181F" w14:paraId="48B4F498" w14:textId="77777777" w:rsidTr="007C7B3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338267" w14:textId="77777777" w:rsidR="002D181F" w:rsidRDefault="005216AD">
            <w:pPr>
              <w:pStyle w:val="jaen"/>
            </w:pPr>
            <w:r>
              <w:t>C</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6D1E9131" w14:textId="77777777" w:rsidR="002D181F" w:rsidRDefault="005216AD">
            <w:pPr>
              <w:pStyle w:val="jaen"/>
            </w:pPr>
            <w:r>
              <w:t>21.82%of diameter of external circle</w:t>
            </w:r>
          </w:p>
        </w:tc>
      </w:tr>
      <w:tr w:rsidR="002D181F" w14:paraId="07298038" w14:textId="77777777" w:rsidTr="007C7B3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18455B" w14:textId="77777777" w:rsidR="002D181F" w:rsidRDefault="005216AD">
            <w:pPr>
              <w:pStyle w:val="jaen"/>
            </w:pPr>
            <w:r>
              <w:t>D</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7B29A19A" w14:textId="77777777" w:rsidR="002D181F" w:rsidRDefault="005216AD">
            <w:pPr>
              <w:pStyle w:val="jaen"/>
            </w:pPr>
            <w:r>
              <w:t>38.88%of diameter of external circle</w:t>
            </w:r>
          </w:p>
        </w:tc>
      </w:tr>
      <w:tr w:rsidR="002D181F" w14:paraId="629C5D68" w14:textId="77777777" w:rsidTr="007C7B3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288DC7" w14:textId="77777777" w:rsidR="002D181F" w:rsidRDefault="005216AD">
            <w:pPr>
              <w:pStyle w:val="jaen"/>
            </w:pPr>
            <w:r>
              <w:t>E</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54D3F64A" w14:textId="77777777" w:rsidR="002D181F" w:rsidRDefault="005216AD">
            <w:pPr>
              <w:pStyle w:val="jaen"/>
            </w:pPr>
            <w:r>
              <w:t>5.5%of diameter of external circle</w:t>
            </w:r>
          </w:p>
        </w:tc>
      </w:tr>
      <w:tr w:rsidR="002D181F" w14:paraId="75A3B4F4" w14:textId="77777777" w:rsidTr="007C7B37">
        <w:trPr>
          <w:cantSplit/>
        </w:trPr>
        <w:tc>
          <w:tcPr>
            <w:tcW w:w="156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B84788" w14:textId="77777777" w:rsidR="002D181F" w:rsidRDefault="005216AD">
            <w:pPr>
              <w:pStyle w:val="jaen"/>
            </w:pPr>
            <w:r>
              <w:t>F</w:t>
            </w:r>
          </w:p>
        </w:tc>
        <w:tc>
          <w:tcPr>
            <w:tcW w:w="7134" w:type="dxa"/>
            <w:tcBorders>
              <w:bottom w:val="single" w:sz="4" w:space="0" w:color="auto"/>
              <w:right w:val="single" w:sz="4" w:space="0" w:color="auto"/>
            </w:tcBorders>
            <w:shd w:val="clear" w:color="auto" w:fill="auto"/>
            <w:tcMar>
              <w:top w:w="0" w:type="dxa"/>
              <w:left w:w="108" w:type="dxa"/>
              <w:bottom w:w="0" w:type="dxa"/>
              <w:right w:w="108" w:type="dxa"/>
            </w:tcMar>
          </w:tcPr>
          <w:p w14:paraId="6F9D03B2" w14:textId="77777777" w:rsidR="002D181F" w:rsidRDefault="005216AD">
            <w:pPr>
              <w:pStyle w:val="jaen"/>
            </w:pPr>
            <w:r>
              <w:t>56.06%of diameter of external circle</w:t>
            </w:r>
          </w:p>
        </w:tc>
      </w:tr>
    </w:tbl>
    <w:p w14:paraId="2461E70F" w14:textId="77777777" w:rsidR="002D181F" w:rsidRDefault="002D181F"/>
    <w:p w14:paraId="5AE9EC03" w14:textId="77777777" w:rsidR="002D181F" w:rsidRDefault="002D181F">
      <w:pPr>
        <w:pStyle w:val="enf7"/>
      </w:pPr>
    </w:p>
    <w:p w14:paraId="5B100674" w14:textId="77777777" w:rsidR="002D181F" w:rsidRDefault="005216AD">
      <w:pPr>
        <w:pStyle w:val="enf7"/>
      </w:pPr>
      <w:r>
        <w:t>(3) Colors of parts of (a), (b), (d), and (e) and "JAPAN GEOGRAPHICAL INDICATION" need to be black.</w:t>
      </w:r>
    </w:p>
    <w:sectPr w:rsidR="002D181F" w:rsidSect="002D181F">
      <w:footerReference w:type="default" r:id="rId10"/>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CEF02" w14:textId="77777777" w:rsidR="007C7B37" w:rsidRDefault="007C7B37" w:rsidP="002D181F">
      <w:r>
        <w:separator/>
      </w:r>
    </w:p>
  </w:endnote>
  <w:endnote w:type="continuationSeparator" w:id="0">
    <w:p w14:paraId="313F4B1B" w14:textId="77777777" w:rsidR="007C7B37" w:rsidRDefault="007C7B37" w:rsidP="002D1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F567" w14:textId="77777777" w:rsidR="002D181F" w:rsidRDefault="002D181F">
    <w:pPr>
      <w:pStyle w:val="a3"/>
    </w:pPr>
    <w:r>
      <w:fldChar w:fldCharType="begin"/>
    </w:r>
    <w:r>
      <w:instrText xml:space="preserve"> PAGE  \* MERGEFORMAT </w:instrText>
    </w:r>
    <w:r>
      <w:fldChar w:fldCharType="separate"/>
    </w:r>
    <w:r w:rsidR="005216A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E163E" w14:textId="77777777" w:rsidR="007C7B37" w:rsidRDefault="007C7B37" w:rsidP="002D181F">
      <w:r>
        <w:separator/>
      </w:r>
    </w:p>
  </w:footnote>
  <w:footnote w:type="continuationSeparator" w:id="0">
    <w:p w14:paraId="1FC55BB8" w14:textId="77777777" w:rsidR="007C7B37" w:rsidRDefault="007C7B37" w:rsidP="002D1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B67"/>
    <w:multiLevelType w:val="multilevel"/>
    <w:tmpl w:val="CAE2F91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3E2105"/>
    <w:multiLevelType w:val="multilevel"/>
    <w:tmpl w:val="D62CE1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751CE7"/>
    <w:multiLevelType w:val="multilevel"/>
    <w:tmpl w:val="151ACA5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AD08D5"/>
    <w:multiLevelType w:val="multilevel"/>
    <w:tmpl w:val="EE1C57C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9086F87"/>
    <w:multiLevelType w:val="multilevel"/>
    <w:tmpl w:val="AC3AACC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516983"/>
    <w:multiLevelType w:val="multilevel"/>
    <w:tmpl w:val="23E8DFC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D15076"/>
    <w:multiLevelType w:val="multilevel"/>
    <w:tmpl w:val="249AB38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765305"/>
    <w:multiLevelType w:val="multilevel"/>
    <w:tmpl w:val="79F4EB8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6770C8A"/>
    <w:multiLevelType w:val="multilevel"/>
    <w:tmpl w:val="5E10098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7225B5"/>
    <w:multiLevelType w:val="multilevel"/>
    <w:tmpl w:val="FF283AD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DC51811"/>
    <w:multiLevelType w:val="multilevel"/>
    <w:tmpl w:val="0DD02F2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903092"/>
    <w:multiLevelType w:val="multilevel"/>
    <w:tmpl w:val="1A90692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9564E0"/>
    <w:multiLevelType w:val="multilevel"/>
    <w:tmpl w:val="43322F2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6"/>
  </w:num>
  <w:num w:numId="3">
    <w:abstractNumId w:val="4"/>
  </w:num>
  <w:num w:numId="4">
    <w:abstractNumId w:val="8"/>
  </w:num>
  <w:num w:numId="5">
    <w:abstractNumId w:val="1"/>
  </w:num>
  <w:num w:numId="6">
    <w:abstractNumId w:val="0"/>
  </w:num>
  <w:num w:numId="7">
    <w:abstractNumId w:val="3"/>
  </w:num>
  <w:num w:numId="8">
    <w:abstractNumId w:val="11"/>
  </w:num>
  <w:num w:numId="9">
    <w:abstractNumId w:val="5"/>
  </w:num>
  <w:num w:numId="10">
    <w:abstractNumId w:val="10"/>
  </w:num>
  <w:num w:numId="11">
    <w:abstractNumId w:val="12"/>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oNotTrackMoves/>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181F"/>
    <w:rsid w:val="001623DC"/>
    <w:rsid w:val="002D181F"/>
    <w:rsid w:val="005216AD"/>
    <w:rsid w:val="007C7B3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FED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181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D181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D181F"/>
    <w:rPr>
      <w:rFonts w:ascii="Century" w:eastAsia="Century" w:hAnsi="Century"/>
    </w:rPr>
  </w:style>
  <w:style w:type="paragraph" w:customStyle="1" w:styleId="ja0">
    <w:name w:val="款（ja）"/>
    <w:basedOn w:val="a"/>
    <w:rsid w:val="002D181F"/>
    <w:pPr>
      <w:widowControl w:val="0"/>
      <w:ind w:left="1321" w:hanging="221"/>
    </w:pPr>
    <w:rPr>
      <w:rFonts w:ascii="ＭＳ 明朝" w:eastAsia="ＭＳ 明朝" w:hAnsi="ＭＳ 明朝" w:cs="ＭＳ 明朝"/>
      <w:b/>
    </w:rPr>
  </w:style>
  <w:style w:type="paragraph" w:customStyle="1" w:styleId="en0">
    <w:name w:val="款（en）"/>
    <w:basedOn w:val="ja0"/>
    <w:rsid w:val="002D181F"/>
    <w:rPr>
      <w:rFonts w:ascii="Century" w:eastAsia="Century" w:hAnsi="Century" w:cs="Century"/>
    </w:rPr>
  </w:style>
  <w:style w:type="paragraph" w:customStyle="1" w:styleId="ja1">
    <w:name w:val="前文（ja）"/>
    <w:basedOn w:val="a"/>
    <w:rsid w:val="002D181F"/>
    <w:pPr>
      <w:widowControl w:val="0"/>
      <w:ind w:firstLine="219"/>
    </w:pPr>
    <w:rPr>
      <w:rFonts w:ascii="ＭＳ 明朝" w:eastAsia="ＭＳ 明朝" w:hAnsi="ＭＳ 明朝" w:cs="ＭＳ 明朝"/>
    </w:rPr>
  </w:style>
  <w:style w:type="paragraph" w:customStyle="1" w:styleId="en1">
    <w:name w:val="前文（en）"/>
    <w:basedOn w:val="ja1"/>
    <w:rsid w:val="002D181F"/>
    <w:rPr>
      <w:rFonts w:ascii="Century" w:eastAsia="Century" w:hAnsi="Century" w:cs="Century"/>
    </w:rPr>
  </w:style>
  <w:style w:type="paragraph" w:customStyle="1" w:styleId="ja2">
    <w:name w:val="附則（ja）"/>
    <w:basedOn w:val="a"/>
    <w:rsid w:val="002D181F"/>
    <w:pPr>
      <w:widowControl w:val="0"/>
      <w:ind w:left="881" w:hanging="221"/>
    </w:pPr>
    <w:rPr>
      <w:rFonts w:ascii="ＭＳ 明朝" w:eastAsia="ＭＳ 明朝" w:hAnsi="ＭＳ 明朝" w:cs="ＭＳ 明朝"/>
      <w:b/>
    </w:rPr>
  </w:style>
  <w:style w:type="paragraph" w:customStyle="1" w:styleId="en2">
    <w:name w:val="附則（en）"/>
    <w:basedOn w:val="ja2"/>
    <w:rsid w:val="002D181F"/>
    <w:rPr>
      <w:rFonts w:ascii="Century" w:hAnsi="Century" w:cs="Century"/>
    </w:rPr>
  </w:style>
  <w:style w:type="paragraph" w:customStyle="1" w:styleId="ja3">
    <w:name w:val="章（ja）"/>
    <w:basedOn w:val="a"/>
    <w:rsid w:val="002D181F"/>
    <w:pPr>
      <w:widowControl w:val="0"/>
      <w:ind w:left="881" w:hanging="221"/>
    </w:pPr>
    <w:rPr>
      <w:rFonts w:ascii="ＭＳ 明朝" w:eastAsia="ＭＳ 明朝" w:hAnsi="ＭＳ 明朝" w:cs="ＭＳ 明朝"/>
      <w:b/>
    </w:rPr>
  </w:style>
  <w:style w:type="paragraph" w:customStyle="1" w:styleId="en3">
    <w:name w:val="章（en）"/>
    <w:basedOn w:val="ja3"/>
    <w:rsid w:val="002D181F"/>
    <w:rPr>
      <w:rFonts w:ascii="Century" w:eastAsia="Century" w:hAnsi="Century" w:cs="Century"/>
    </w:rPr>
  </w:style>
  <w:style w:type="paragraph" w:customStyle="1" w:styleId="ja4">
    <w:name w:val="目次編（ja）"/>
    <w:basedOn w:val="a"/>
    <w:rsid w:val="002D181F"/>
    <w:pPr>
      <w:widowControl w:val="0"/>
      <w:ind w:left="219" w:hanging="219"/>
    </w:pPr>
    <w:rPr>
      <w:rFonts w:ascii="ＭＳ 明朝" w:eastAsia="ＭＳ 明朝" w:hAnsi="ＭＳ 明朝"/>
    </w:rPr>
  </w:style>
  <w:style w:type="paragraph" w:customStyle="1" w:styleId="en4">
    <w:name w:val="目次編（en）"/>
    <w:basedOn w:val="ja4"/>
    <w:rsid w:val="002D181F"/>
    <w:rPr>
      <w:rFonts w:ascii="Century" w:eastAsia="Century" w:hAnsi="Century"/>
    </w:rPr>
  </w:style>
  <w:style w:type="paragraph" w:customStyle="1" w:styleId="ja5">
    <w:name w:val="目次章（ja）"/>
    <w:basedOn w:val="a"/>
    <w:rsid w:val="002D181F"/>
    <w:pPr>
      <w:widowControl w:val="0"/>
      <w:ind w:left="439" w:hanging="219"/>
    </w:pPr>
    <w:rPr>
      <w:rFonts w:ascii="ＭＳ 明朝" w:eastAsia="ＭＳ 明朝" w:hAnsi="ＭＳ 明朝"/>
    </w:rPr>
  </w:style>
  <w:style w:type="paragraph" w:customStyle="1" w:styleId="en5">
    <w:name w:val="目次章（en）"/>
    <w:basedOn w:val="ja5"/>
    <w:rsid w:val="002D181F"/>
    <w:rPr>
      <w:rFonts w:ascii="Century" w:eastAsia="Century" w:hAnsi="Century"/>
    </w:rPr>
  </w:style>
  <w:style w:type="paragraph" w:customStyle="1" w:styleId="ja6">
    <w:name w:val="目次節（ja）"/>
    <w:basedOn w:val="a"/>
    <w:rsid w:val="002D181F"/>
    <w:pPr>
      <w:widowControl w:val="0"/>
      <w:ind w:left="659" w:hanging="219"/>
    </w:pPr>
    <w:rPr>
      <w:rFonts w:ascii="ＭＳ 明朝" w:eastAsia="ＭＳ 明朝" w:hAnsi="ＭＳ 明朝"/>
    </w:rPr>
  </w:style>
  <w:style w:type="paragraph" w:customStyle="1" w:styleId="en6">
    <w:name w:val="目次節（en）"/>
    <w:basedOn w:val="ja6"/>
    <w:rsid w:val="002D181F"/>
    <w:rPr>
      <w:rFonts w:ascii="Century" w:eastAsia="Century" w:hAnsi="Century"/>
    </w:rPr>
  </w:style>
  <w:style w:type="paragraph" w:customStyle="1" w:styleId="ja7">
    <w:name w:val="目次款（ja）"/>
    <w:basedOn w:val="a"/>
    <w:rsid w:val="002D181F"/>
    <w:pPr>
      <w:widowControl w:val="0"/>
      <w:ind w:left="879" w:hanging="219"/>
    </w:pPr>
    <w:rPr>
      <w:rFonts w:ascii="ＭＳ 明朝" w:eastAsia="ＭＳ 明朝" w:hAnsi="ＭＳ 明朝" w:cs="Kochi Mincho"/>
    </w:rPr>
  </w:style>
  <w:style w:type="paragraph" w:customStyle="1" w:styleId="en7">
    <w:name w:val="目次款（en）"/>
    <w:basedOn w:val="ja7"/>
    <w:rsid w:val="002D181F"/>
    <w:rPr>
      <w:rFonts w:ascii="Century" w:eastAsia="Century" w:hAnsi="Century"/>
    </w:rPr>
  </w:style>
  <w:style w:type="paragraph" w:customStyle="1" w:styleId="ja8">
    <w:name w:val="別表名（ja）"/>
    <w:basedOn w:val="a"/>
    <w:rsid w:val="002D181F"/>
    <w:pPr>
      <w:widowControl w:val="0"/>
      <w:ind w:left="100" w:hangingChars="100" w:hanging="100"/>
    </w:pPr>
    <w:rPr>
      <w:rFonts w:ascii="ＭＳ 明朝" w:eastAsia="ＭＳ 明朝" w:hAnsi="ＭＳ 明朝" w:cs="ＭＳ 明朝"/>
    </w:rPr>
  </w:style>
  <w:style w:type="paragraph" w:customStyle="1" w:styleId="en8">
    <w:name w:val="別表名（en）"/>
    <w:basedOn w:val="ja8"/>
    <w:rsid w:val="002D181F"/>
    <w:rPr>
      <w:rFonts w:ascii="Century" w:eastAsia="Century" w:hAnsi="Century" w:cs="Century"/>
    </w:rPr>
  </w:style>
  <w:style w:type="paragraph" w:customStyle="1" w:styleId="ja9">
    <w:name w:val="目（ja）"/>
    <w:basedOn w:val="a"/>
    <w:rsid w:val="002D181F"/>
    <w:pPr>
      <w:widowControl w:val="0"/>
      <w:ind w:left="1541" w:hanging="221"/>
    </w:pPr>
    <w:rPr>
      <w:rFonts w:ascii="ＭＳ 明朝" w:eastAsia="ＭＳ 明朝" w:hAnsi="ＭＳ 明朝" w:cs="ＭＳ 明朝"/>
      <w:b/>
    </w:rPr>
  </w:style>
  <w:style w:type="paragraph" w:customStyle="1" w:styleId="en9">
    <w:name w:val="目（en）"/>
    <w:basedOn w:val="ja9"/>
    <w:rsid w:val="002D181F"/>
    <w:rPr>
      <w:rFonts w:ascii="Century" w:eastAsia="Century" w:hAnsi="Century" w:cs="Century"/>
    </w:rPr>
  </w:style>
  <w:style w:type="paragraph" w:customStyle="1" w:styleId="jaa">
    <w:name w:val="見出し（ja）"/>
    <w:basedOn w:val="a"/>
    <w:rsid w:val="002D181F"/>
    <w:pPr>
      <w:widowControl w:val="0"/>
      <w:ind w:left="439" w:hanging="219"/>
    </w:pPr>
    <w:rPr>
      <w:rFonts w:ascii="ＭＳ 明朝" w:eastAsia="ＭＳ 明朝" w:hAnsi="ＭＳ 明朝" w:cs="ＭＳ 明朝"/>
    </w:rPr>
  </w:style>
  <w:style w:type="paragraph" w:customStyle="1" w:styleId="ena">
    <w:name w:val="見出し（en）"/>
    <w:basedOn w:val="jaa"/>
    <w:rsid w:val="002D181F"/>
    <w:rPr>
      <w:rFonts w:ascii="Century" w:eastAsia="Century" w:hAnsi="Century" w:cs="Century"/>
    </w:rPr>
  </w:style>
  <w:style w:type="paragraph" w:styleId="a3">
    <w:name w:val="footer"/>
    <w:basedOn w:val="a"/>
    <w:rsid w:val="002D181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D181F"/>
    <w:pPr>
      <w:widowControl w:val="0"/>
      <w:ind w:left="1099" w:hanging="219"/>
    </w:pPr>
    <w:rPr>
      <w:rFonts w:ascii="ＭＳ 明朝" w:eastAsia="ＭＳ 明朝" w:hAnsi="ＭＳ 明朝" w:cs="Kochi Mincho"/>
    </w:rPr>
  </w:style>
  <w:style w:type="paragraph" w:customStyle="1" w:styleId="enb">
    <w:name w:val="目次目（en）"/>
    <w:basedOn w:val="jab"/>
    <w:rsid w:val="002D181F"/>
    <w:rPr>
      <w:rFonts w:ascii="Century" w:eastAsia="Century" w:hAnsi="Century"/>
    </w:rPr>
  </w:style>
  <w:style w:type="paragraph" w:customStyle="1" w:styleId="jac">
    <w:name w:val="目次附則（ja）"/>
    <w:basedOn w:val="a"/>
    <w:rsid w:val="002D181F"/>
    <w:pPr>
      <w:widowControl w:val="0"/>
      <w:ind w:left="439" w:hanging="219"/>
    </w:pPr>
    <w:rPr>
      <w:rFonts w:ascii="ＭＳ 明朝" w:eastAsia="ＭＳ 明朝" w:hAnsi="ＭＳ 明朝" w:cs="Kochi Mincho"/>
    </w:rPr>
  </w:style>
  <w:style w:type="paragraph" w:customStyle="1" w:styleId="enc">
    <w:name w:val="目次附則（en）"/>
    <w:basedOn w:val="jac"/>
    <w:rsid w:val="002D181F"/>
    <w:rPr>
      <w:rFonts w:ascii="Century" w:eastAsia="Century" w:hAnsi="Century" w:cs="Century"/>
    </w:rPr>
  </w:style>
  <w:style w:type="paragraph" w:customStyle="1" w:styleId="jad">
    <w:name w:val="目次前文（ja）"/>
    <w:basedOn w:val="jac"/>
    <w:rsid w:val="002D181F"/>
  </w:style>
  <w:style w:type="paragraph" w:customStyle="1" w:styleId="end">
    <w:name w:val="目次前文（en）"/>
    <w:basedOn w:val="enc"/>
    <w:rsid w:val="002D181F"/>
  </w:style>
  <w:style w:type="paragraph" w:customStyle="1" w:styleId="jae">
    <w:name w:val="制定文（ja）"/>
    <w:basedOn w:val="a"/>
    <w:rsid w:val="002D181F"/>
    <w:pPr>
      <w:widowControl w:val="0"/>
      <w:ind w:firstLine="219"/>
    </w:pPr>
    <w:rPr>
      <w:rFonts w:ascii="ＭＳ 明朝" w:eastAsia="ＭＳ 明朝" w:hAnsi="ＭＳ 明朝" w:cs="ＭＳ 明朝"/>
    </w:rPr>
  </w:style>
  <w:style w:type="paragraph" w:customStyle="1" w:styleId="ene">
    <w:name w:val="制定文（en）"/>
    <w:basedOn w:val="jae"/>
    <w:rsid w:val="002D181F"/>
    <w:rPr>
      <w:rFonts w:ascii="Century" w:eastAsia="Century" w:hAnsi="Century" w:cs="Century"/>
    </w:rPr>
  </w:style>
  <w:style w:type="paragraph" w:customStyle="1" w:styleId="jaf">
    <w:name w:val="法令番号（ja）"/>
    <w:basedOn w:val="a"/>
    <w:rsid w:val="002D181F"/>
    <w:pPr>
      <w:widowControl w:val="0"/>
      <w:jc w:val="right"/>
    </w:pPr>
    <w:rPr>
      <w:rFonts w:ascii="ＭＳ 明朝" w:eastAsia="ＭＳ 明朝" w:hAnsi="ＭＳ 明朝" w:cs="Kochi Mincho"/>
    </w:rPr>
  </w:style>
  <w:style w:type="paragraph" w:customStyle="1" w:styleId="enf">
    <w:name w:val="法令番号（en）"/>
    <w:basedOn w:val="jaf"/>
    <w:rsid w:val="002D181F"/>
    <w:rPr>
      <w:rFonts w:ascii="Century" w:eastAsia="Century" w:hAnsi="Century" w:cs="Century"/>
    </w:rPr>
  </w:style>
  <w:style w:type="paragraph" w:customStyle="1" w:styleId="jaf0">
    <w:name w:val="目次（ja）"/>
    <w:basedOn w:val="a"/>
    <w:rsid w:val="002D181F"/>
    <w:rPr>
      <w:rFonts w:ascii="ＭＳ 明朝" w:eastAsia="ＭＳ 明朝" w:hAnsi="ＭＳ 明朝"/>
    </w:rPr>
  </w:style>
  <w:style w:type="paragraph" w:customStyle="1" w:styleId="enf0">
    <w:name w:val="目次（en）"/>
    <w:basedOn w:val="jaf0"/>
    <w:rsid w:val="002D181F"/>
    <w:rPr>
      <w:rFonts w:ascii="Century" w:eastAsia="Century" w:hAnsi="Century"/>
    </w:rPr>
  </w:style>
  <w:style w:type="paragraph" w:customStyle="1" w:styleId="jaf1">
    <w:name w:val="編（ja）"/>
    <w:basedOn w:val="a"/>
    <w:rsid w:val="002D181F"/>
    <w:pPr>
      <w:widowControl w:val="0"/>
      <w:ind w:left="661" w:hanging="221"/>
    </w:pPr>
    <w:rPr>
      <w:rFonts w:ascii="ＭＳ 明朝" w:eastAsia="ＭＳ 明朝" w:hAnsi="ＭＳ 明朝" w:cs="ＭＳ 明朝"/>
      <w:b/>
    </w:rPr>
  </w:style>
  <w:style w:type="paragraph" w:customStyle="1" w:styleId="enf1">
    <w:name w:val="編（en）"/>
    <w:basedOn w:val="jaf1"/>
    <w:rsid w:val="002D181F"/>
    <w:rPr>
      <w:rFonts w:ascii="Century" w:eastAsia="Century" w:hAnsi="Century" w:cs="Century"/>
    </w:rPr>
  </w:style>
  <w:style w:type="paragraph" w:customStyle="1" w:styleId="jaf2">
    <w:name w:val="節（ja）"/>
    <w:basedOn w:val="a"/>
    <w:rsid w:val="002D181F"/>
    <w:pPr>
      <w:widowControl w:val="0"/>
      <w:ind w:left="1101" w:hanging="221"/>
    </w:pPr>
    <w:rPr>
      <w:rFonts w:ascii="ＭＳ 明朝" w:eastAsia="ＭＳ 明朝" w:hAnsi="ＭＳ 明朝" w:cs="ＭＳ 明朝"/>
      <w:b/>
    </w:rPr>
  </w:style>
  <w:style w:type="paragraph" w:customStyle="1" w:styleId="enf2">
    <w:name w:val="節（en）"/>
    <w:basedOn w:val="jaf2"/>
    <w:rsid w:val="002D181F"/>
    <w:rPr>
      <w:rFonts w:ascii="Century" w:eastAsia="Century" w:hAnsi="Century" w:cs="Century"/>
    </w:rPr>
  </w:style>
  <w:style w:type="paragraph" w:customStyle="1" w:styleId="jaf3">
    <w:name w:val="条（ja）"/>
    <w:basedOn w:val="a"/>
    <w:rsid w:val="002D181F"/>
    <w:pPr>
      <w:widowControl w:val="0"/>
      <w:ind w:left="219" w:hanging="219"/>
    </w:pPr>
    <w:rPr>
      <w:rFonts w:ascii="ＭＳ 明朝" w:eastAsia="ＭＳ 明朝" w:hAnsi="ＭＳ 明朝" w:cs="ＭＳ 明朝"/>
    </w:rPr>
  </w:style>
  <w:style w:type="paragraph" w:customStyle="1" w:styleId="enf3">
    <w:name w:val="条（en）"/>
    <w:basedOn w:val="jaf3"/>
    <w:rsid w:val="002D181F"/>
    <w:rPr>
      <w:rFonts w:ascii="Century" w:eastAsia="Century" w:hAnsi="Century" w:cs="Century"/>
    </w:rPr>
  </w:style>
  <w:style w:type="paragraph" w:customStyle="1" w:styleId="jaf4">
    <w:name w:val="項（ja）"/>
    <w:basedOn w:val="a"/>
    <w:rsid w:val="002D181F"/>
    <w:pPr>
      <w:widowControl w:val="0"/>
      <w:ind w:left="219" w:hanging="219"/>
    </w:pPr>
    <w:rPr>
      <w:rFonts w:ascii="ＭＳ 明朝" w:eastAsia="ＭＳ 明朝" w:hAnsi="ＭＳ 明朝" w:cs="ＭＳ 明朝"/>
    </w:rPr>
  </w:style>
  <w:style w:type="paragraph" w:customStyle="1" w:styleId="enf4">
    <w:name w:val="項（en）"/>
    <w:basedOn w:val="jaf4"/>
    <w:rsid w:val="002D181F"/>
    <w:rPr>
      <w:rFonts w:ascii="Century" w:eastAsia="Century" w:hAnsi="Century" w:cs="Century"/>
    </w:rPr>
  </w:style>
  <w:style w:type="paragraph" w:customStyle="1" w:styleId="jaf5">
    <w:name w:val="項　番号なし（ja）"/>
    <w:basedOn w:val="a"/>
    <w:rsid w:val="002D181F"/>
    <w:pPr>
      <w:widowControl w:val="0"/>
      <w:ind w:firstLine="221"/>
    </w:pPr>
    <w:rPr>
      <w:rFonts w:ascii="ＭＳ 明朝" w:eastAsia="ＭＳ 明朝" w:hAnsi="ＭＳ 明朝" w:cs="ＭＳ 明朝"/>
    </w:rPr>
  </w:style>
  <w:style w:type="paragraph" w:customStyle="1" w:styleId="enf5">
    <w:name w:val="項　番号なし（en）"/>
    <w:basedOn w:val="jaf5"/>
    <w:rsid w:val="002D181F"/>
    <w:rPr>
      <w:rFonts w:ascii="Century" w:eastAsia="Century" w:hAnsi="Century" w:cs="Century"/>
    </w:rPr>
  </w:style>
  <w:style w:type="paragraph" w:customStyle="1" w:styleId="jaf6">
    <w:name w:val="号（ja）"/>
    <w:basedOn w:val="a"/>
    <w:rsid w:val="002D181F"/>
    <w:pPr>
      <w:widowControl w:val="0"/>
      <w:ind w:left="439" w:hanging="219"/>
    </w:pPr>
    <w:rPr>
      <w:rFonts w:ascii="ＭＳ 明朝" w:eastAsia="ＭＳ 明朝" w:hAnsi="ＭＳ 明朝" w:cs="ＭＳ 明朝"/>
    </w:rPr>
  </w:style>
  <w:style w:type="paragraph" w:customStyle="1" w:styleId="enf6">
    <w:name w:val="号（en）"/>
    <w:basedOn w:val="jaf6"/>
    <w:rsid w:val="002D181F"/>
    <w:rPr>
      <w:rFonts w:ascii="Century" w:eastAsia="Century" w:hAnsi="Century" w:cs="Century"/>
    </w:rPr>
  </w:style>
  <w:style w:type="paragraph" w:customStyle="1" w:styleId="jaf7">
    <w:name w:val="号　番号なし（ja）"/>
    <w:basedOn w:val="a"/>
    <w:rsid w:val="002D181F"/>
    <w:pPr>
      <w:widowControl w:val="0"/>
      <w:ind w:left="221" w:firstLine="221"/>
    </w:pPr>
    <w:rPr>
      <w:rFonts w:ascii="ＭＳ 明朝" w:eastAsia="ＭＳ 明朝" w:hAnsi="ＭＳ 明朝" w:cs="ＭＳ 明朝"/>
    </w:rPr>
  </w:style>
  <w:style w:type="paragraph" w:customStyle="1" w:styleId="enf7">
    <w:name w:val="号　番号なし（en）"/>
    <w:basedOn w:val="jaf7"/>
    <w:rsid w:val="002D181F"/>
    <w:rPr>
      <w:rFonts w:ascii="Century" w:eastAsia="Century" w:hAnsi="Century" w:cs="Century"/>
    </w:rPr>
  </w:style>
  <w:style w:type="paragraph" w:customStyle="1" w:styleId="jaf8">
    <w:name w:val="備考号（ja）"/>
    <w:basedOn w:val="a"/>
    <w:rsid w:val="002D181F"/>
    <w:pPr>
      <w:widowControl w:val="0"/>
      <w:ind w:left="659" w:hanging="219"/>
    </w:pPr>
    <w:rPr>
      <w:rFonts w:ascii="ＭＳ 明朝" w:eastAsia="ＭＳ 明朝" w:hAnsi="ＭＳ 明朝" w:cs="ＭＳ 明朝"/>
    </w:rPr>
  </w:style>
  <w:style w:type="paragraph" w:customStyle="1" w:styleId="enf8">
    <w:name w:val="備考号（en）"/>
    <w:basedOn w:val="jaf8"/>
    <w:rsid w:val="002D181F"/>
    <w:rPr>
      <w:rFonts w:ascii="Century" w:eastAsia="Century" w:hAnsi="Century" w:cs="Century"/>
    </w:rPr>
  </w:style>
  <w:style w:type="paragraph" w:customStyle="1" w:styleId="jaf9">
    <w:name w:val="号細分（ja）"/>
    <w:basedOn w:val="a"/>
    <w:rsid w:val="002D181F"/>
    <w:pPr>
      <w:widowControl w:val="0"/>
      <w:ind w:left="659" w:hanging="219"/>
    </w:pPr>
    <w:rPr>
      <w:rFonts w:ascii="ＭＳ 明朝" w:eastAsia="ＭＳ 明朝" w:hAnsi="ＭＳ 明朝" w:cs="ＭＳ 明朝"/>
    </w:rPr>
  </w:style>
  <w:style w:type="paragraph" w:customStyle="1" w:styleId="enf9">
    <w:name w:val="号細分（en）"/>
    <w:basedOn w:val="jaf9"/>
    <w:rsid w:val="002D181F"/>
    <w:rPr>
      <w:rFonts w:ascii="Century" w:eastAsia="Century" w:hAnsi="Century" w:cs="Century"/>
    </w:rPr>
  </w:style>
  <w:style w:type="paragraph" w:customStyle="1" w:styleId="jafa">
    <w:name w:val="号細分　番号なし（ja）"/>
    <w:basedOn w:val="a"/>
    <w:rsid w:val="002D181F"/>
    <w:pPr>
      <w:widowControl w:val="0"/>
      <w:ind w:left="439"/>
    </w:pPr>
    <w:rPr>
      <w:rFonts w:ascii="ＭＳ 明朝" w:eastAsia="ＭＳ 明朝" w:hAnsi="ＭＳ 明朝" w:cs="ＭＳ 明朝"/>
    </w:rPr>
  </w:style>
  <w:style w:type="paragraph" w:customStyle="1" w:styleId="enfa">
    <w:name w:val="号細分　番号なし（en）"/>
    <w:basedOn w:val="jafa"/>
    <w:rsid w:val="002D181F"/>
    <w:rPr>
      <w:rFonts w:ascii="Century" w:eastAsia="Century" w:hAnsi="Century" w:cs="Century"/>
    </w:rPr>
  </w:style>
  <w:style w:type="paragraph" w:customStyle="1" w:styleId="jafb">
    <w:name w:val="備考号細分（ja）"/>
    <w:basedOn w:val="a"/>
    <w:rsid w:val="002D181F"/>
    <w:pPr>
      <w:widowControl w:val="0"/>
      <w:ind w:left="1099" w:hanging="439"/>
    </w:pPr>
    <w:rPr>
      <w:rFonts w:ascii="ＭＳ 明朝" w:eastAsia="ＭＳ 明朝" w:hAnsi="ＭＳ 明朝" w:cs="ＭＳ 明朝"/>
    </w:rPr>
  </w:style>
  <w:style w:type="paragraph" w:customStyle="1" w:styleId="enfb">
    <w:name w:val="備考号細分（en）"/>
    <w:basedOn w:val="jafb"/>
    <w:rsid w:val="002D181F"/>
    <w:rPr>
      <w:rFonts w:ascii="Century" w:eastAsia="Century" w:hAnsi="Century" w:cs="Century"/>
    </w:rPr>
  </w:style>
  <w:style w:type="paragraph" w:customStyle="1" w:styleId="jafc">
    <w:name w:val="号細細分（ja）"/>
    <w:basedOn w:val="a"/>
    <w:rsid w:val="002D181F"/>
    <w:pPr>
      <w:widowControl w:val="0"/>
      <w:ind w:left="1099" w:hanging="439"/>
    </w:pPr>
    <w:rPr>
      <w:rFonts w:ascii="ＭＳ 明朝" w:eastAsia="ＭＳ 明朝" w:hAnsi="ＭＳ 明朝" w:cs="ＭＳ 明朝"/>
    </w:rPr>
  </w:style>
  <w:style w:type="paragraph" w:customStyle="1" w:styleId="enfc">
    <w:name w:val="号細細分（en）"/>
    <w:basedOn w:val="jafc"/>
    <w:rsid w:val="002D181F"/>
    <w:rPr>
      <w:rFonts w:ascii="Century" w:eastAsia="Century" w:hAnsi="Century" w:cs="Century"/>
    </w:rPr>
  </w:style>
  <w:style w:type="paragraph" w:customStyle="1" w:styleId="jafd">
    <w:name w:val="号細細分　番号なし（ja）"/>
    <w:basedOn w:val="a"/>
    <w:rsid w:val="002D181F"/>
    <w:pPr>
      <w:widowControl w:val="0"/>
      <w:ind w:left="659"/>
    </w:pPr>
    <w:rPr>
      <w:rFonts w:ascii="ＭＳ 明朝" w:eastAsia="ＭＳ 明朝" w:hAnsi="ＭＳ 明朝" w:cs="ＭＳ 明朝"/>
    </w:rPr>
  </w:style>
  <w:style w:type="paragraph" w:customStyle="1" w:styleId="enfd">
    <w:name w:val="号細細分　番号なし（en）"/>
    <w:basedOn w:val="jafd"/>
    <w:rsid w:val="002D181F"/>
    <w:rPr>
      <w:rFonts w:ascii="Century" w:eastAsia="Century" w:hAnsi="Century" w:cs="Century"/>
    </w:rPr>
  </w:style>
  <w:style w:type="paragraph" w:customStyle="1" w:styleId="jafe">
    <w:name w:val="備考号細細分（ja）"/>
    <w:basedOn w:val="a"/>
    <w:rsid w:val="002D181F"/>
    <w:pPr>
      <w:widowControl w:val="0"/>
      <w:ind w:left="1319" w:hanging="439"/>
    </w:pPr>
    <w:rPr>
      <w:rFonts w:ascii="ＭＳ 明朝" w:eastAsia="ＭＳ 明朝" w:hAnsi="ＭＳ 明朝" w:cs="ＭＳ 明朝"/>
    </w:rPr>
  </w:style>
  <w:style w:type="paragraph" w:customStyle="1" w:styleId="enfe">
    <w:name w:val="備考号細細分（en）"/>
    <w:basedOn w:val="jafe"/>
    <w:rsid w:val="002D181F"/>
    <w:rPr>
      <w:rFonts w:ascii="Century" w:eastAsia="Century" w:hAnsi="Century" w:cs="Century"/>
    </w:rPr>
  </w:style>
  <w:style w:type="paragraph" w:customStyle="1" w:styleId="jaff">
    <w:name w:val="号細細細分（ja）"/>
    <w:basedOn w:val="a"/>
    <w:rsid w:val="002D181F"/>
    <w:pPr>
      <w:widowControl w:val="0"/>
      <w:ind w:left="1319" w:hanging="439"/>
    </w:pPr>
    <w:rPr>
      <w:rFonts w:ascii="ＭＳ 明朝" w:eastAsia="ＭＳ 明朝" w:hAnsi="ＭＳ 明朝" w:cs="ＭＳ 明朝"/>
    </w:rPr>
  </w:style>
  <w:style w:type="paragraph" w:customStyle="1" w:styleId="enff">
    <w:name w:val="号細細細分（en）"/>
    <w:basedOn w:val="jaff"/>
    <w:rsid w:val="002D181F"/>
    <w:rPr>
      <w:rFonts w:ascii="Century" w:eastAsia="Century" w:hAnsi="Century" w:cs="Century"/>
    </w:rPr>
  </w:style>
  <w:style w:type="paragraph" w:customStyle="1" w:styleId="jaff0">
    <w:name w:val="号細細細分　番号なし（ja）"/>
    <w:basedOn w:val="a"/>
    <w:rsid w:val="002D181F"/>
    <w:pPr>
      <w:widowControl w:val="0"/>
      <w:ind w:left="879"/>
    </w:pPr>
    <w:rPr>
      <w:rFonts w:ascii="ＭＳ 明朝" w:eastAsia="ＭＳ 明朝" w:hAnsi="ＭＳ 明朝" w:cs="ＭＳ 明朝"/>
    </w:rPr>
  </w:style>
  <w:style w:type="paragraph" w:customStyle="1" w:styleId="enff0">
    <w:name w:val="号細細細分　番号なし（en）"/>
    <w:basedOn w:val="jaff0"/>
    <w:rsid w:val="002D181F"/>
    <w:rPr>
      <w:rFonts w:ascii="Century" w:eastAsia="Century" w:hAnsi="Century" w:cs="Century"/>
    </w:rPr>
  </w:style>
  <w:style w:type="paragraph" w:customStyle="1" w:styleId="jaff1">
    <w:name w:val="備考号細細細分（ja）"/>
    <w:basedOn w:val="a"/>
    <w:rsid w:val="002D181F"/>
    <w:pPr>
      <w:widowControl w:val="0"/>
      <w:ind w:left="1539" w:hanging="439"/>
    </w:pPr>
    <w:rPr>
      <w:rFonts w:ascii="ＭＳ 明朝" w:eastAsia="ＭＳ 明朝" w:hAnsi="ＭＳ 明朝" w:cs="ＭＳ 明朝"/>
    </w:rPr>
  </w:style>
  <w:style w:type="paragraph" w:customStyle="1" w:styleId="enff1">
    <w:name w:val="備考号細細細分（en）"/>
    <w:basedOn w:val="jaff1"/>
    <w:rsid w:val="002D181F"/>
    <w:rPr>
      <w:rFonts w:ascii="Century" w:eastAsia="Century" w:hAnsi="Century" w:cs="Century"/>
    </w:rPr>
  </w:style>
  <w:style w:type="paragraph" w:customStyle="1" w:styleId="jaff2">
    <w:name w:val="類（ja）"/>
    <w:basedOn w:val="a"/>
    <w:rsid w:val="002D181F"/>
    <w:pPr>
      <w:widowControl w:val="0"/>
      <w:ind w:left="439" w:hanging="219"/>
    </w:pPr>
    <w:rPr>
      <w:rFonts w:ascii="ＭＳ 明朝" w:eastAsia="ＭＳ 明朝" w:hAnsi="ＭＳ 明朝" w:cs="ＭＳ 明朝"/>
    </w:rPr>
  </w:style>
  <w:style w:type="paragraph" w:customStyle="1" w:styleId="enff2">
    <w:name w:val="類（en）"/>
    <w:basedOn w:val="jaff2"/>
    <w:rsid w:val="002D181F"/>
    <w:rPr>
      <w:rFonts w:ascii="Century" w:eastAsia="Century" w:hAnsi="Century" w:cs="Century"/>
    </w:rPr>
  </w:style>
  <w:style w:type="paragraph" w:customStyle="1" w:styleId="jaff3">
    <w:name w:val="公布文（ja）"/>
    <w:basedOn w:val="a"/>
    <w:rsid w:val="002D181F"/>
    <w:pPr>
      <w:widowControl w:val="0"/>
      <w:ind w:firstLine="219"/>
    </w:pPr>
    <w:rPr>
      <w:rFonts w:ascii="ＭＳ 明朝" w:eastAsia="ＭＳ 明朝" w:hAnsi="ＭＳ 明朝" w:cs="ＭＳ 明朝"/>
    </w:rPr>
  </w:style>
  <w:style w:type="paragraph" w:customStyle="1" w:styleId="enff3">
    <w:name w:val="公布文（en）"/>
    <w:basedOn w:val="jaff3"/>
    <w:rsid w:val="002D181F"/>
    <w:rPr>
      <w:rFonts w:ascii="Century" w:eastAsia="Century" w:hAnsi="Century" w:cs="Century"/>
    </w:rPr>
  </w:style>
  <w:style w:type="paragraph" w:customStyle="1" w:styleId="jaen">
    <w:name w:val="表（ja：en）"/>
    <w:basedOn w:val="a"/>
    <w:rsid w:val="002D181F"/>
    <w:pPr>
      <w:widowControl w:val="0"/>
      <w:snapToGrid w:val="0"/>
    </w:pPr>
    <w:rPr>
      <w:rFonts w:ascii="Century" w:eastAsia="ＭＳ 明朝" w:hAnsi="Century"/>
    </w:rPr>
  </w:style>
  <w:style w:type="paragraph" w:customStyle="1" w:styleId="jaff4">
    <w:name w:val="備考（ja）"/>
    <w:basedOn w:val="a"/>
    <w:rsid w:val="002D181F"/>
    <w:pPr>
      <w:widowControl w:val="0"/>
      <w:ind w:left="439" w:hanging="219"/>
    </w:pPr>
    <w:rPr>
      <w:rFonts w:ascii="ＭＳ 明朝" w:eastAsia="ＭＳ 明朝" w:hAnsi="ＭＳ 明朝" w:cs="ＭＳ 明朝"/>
    </w:rPr>
  </w:style>
  <w:style w:type="paragraph" w:customStyle="1" w:styleId="enff4">
    <w:name w:val="備考（en）"/>
    <w:basedOn w:val="jaff4"/>
    <w:rsid w:val="002D181F"/>
    <w:rPr>
      <w:rFonts w:ascii="Century" w:eastAsia="Century" w:hAnsi="Century" w:cs="Century"/>
    </w:rPr>
  </w:style>
  <w:style w:type="paragraph" w:customStyle="1" w:styleId="jaff5">
    <w:name w:val="表タイトル（ja）"/>
    <w:basedOn w:val="a"/>
    <w:rsid w:val="002D181F"/>
    <w:pPr>
      <w:widowControl w:val="0"/>
      <w:ind w:left="219"/>
    </w:pPr>
    <w:rPr>
      <w:rFonts w:ascii="ＭＳ 明朝" w:eastAsia="ＭＳ 明朝" w:hAnsi="ＭＳ 明朝" w:cs="ＭＳ 明朝"/>
    </w:rPr>
  </w:style>
  <w:style w:type="paragraph" w:customStyle="1" w:styleId="enff5">
    <w:name w:val="表タイトル（en）"/>
    <w:basedOn w:val="jaff5"/>
    <w:rsid w:val="002D181F"/>
    <w:rPr>
      <w:rFonts w:ascii="Century" w:eastAsia="Century" w:hAnsi="Century" w:cs="Century"/>
    </w:rPr>
  </w:style>
  <w:style w:type="paragraph" w:customStyle="1" w:styleId="jaff6">
    <w:name w:val="改正規定文（ja）"/>
    <w:basedOn w:val="a"/>
    <w:rsid w:val="002D181F"/>
    <w:pPr>
      <w:widowControl w:val="0"/>
      <w:ind w:left="219" w:firstLine="219"/>
    </w:pPr>
    <w:rPr>
      <w:rFonts w:ascii="ＭＳ 明朝" w:eastAsia="ＭＳ 明朝" w:hAnsi="ＭＳ 明朝" w:cs="ＭＳ 明朝"/>
    </w:rPr>
  </w:style>
  <w:style w:type="paragraph" w:customStyle="1" w:styleId="enff6">
    <w:name w:val="改正規定文（en）"/>
    <w:basedOn w:val="jaff6"/>
    <w:rsid w:val="002D181F"/>
    <w:rPr>
      <w:rFonts w:ascii="Century" w:eastAsia="Century" w:hAnsi="Century" w:cs="Century"/>
    </w:rPr>
  </w:style>
  <w:style w:type="paragraph" w:customStyle="1" w:styleId="jaff7">
    <w:name w:val="付記（ja）"/>
    <w:basedOn w:val="a"/>
    <w:rsid w:val="002D181F"/>
    <w:pPr>
      <w:widowControl w:val="0"/>
      <w:ind w:left="219" w:firstLine="219"/>
    </w:pPr>
    <w:rPr>
      <w:rFonts w:ascii="ＭＳ 明朝" w:eastAsia="ＭＳ 明朝" w:hAnsi="ＭＳ 明朝" w:cs="ＭＳ 明朝"/>
    </w:rPr>
  </w:style>
  <w:style w:type="paragraph" w:customStyle="1" w:styleId="enff7">
    <w:name w:val="付記（en）"/>
    <w:basedOn w:val="jaff7"/>
    <w:rsid w:val="002D181F"/>
    <w:rPr>
      <w:rFonts w:ascii="Century" w:eastAsia="Century" w:hAnsi="Century" w:cs="Century"/>
    </w:rPr>
  </w:style>
  <w:style w:type="paragraph" w:customStyle="1" w:styleId="jaff8">
    <w:name w:val="様式名（ja）"/>
    <w:basedOn w:val="a"/>
    <w:rsid w:val="002D181F"/>
    <w:pPr>
      <w:widowControl w:val="0"/>
      <w:ind w:left="439" w:hanging="219"/>
    </w:pPr>
    <w:rPr>
      <w:rFonts w:ascii="ＭＳ 明朝" w:eastAsia="ＭＳ 明朝" w:hAnsi="ＭＳ 明朝" w:cs="ＭＳ 明朝"/>
    </w:rPr>
  </w:style>
  <w:style w:type="paragraph" w:customStyle="1" w:styleId="enff8">
    <w:name w:val="様式名（en）"/>
    <w:basedOn w:val="jaff8"/>
    <w:rsid w:val="002D181F"/>
    <w:rPr>
      <w:rFonts w:ascii="Century" w:eastAsia="Century" w:hAnsi="Century" w:cs="Century"/>
    </w:rPr>
  </w:style>
  <w:style w:type="paragraph" w:customStyle="1" w:styleId="jaff9">
    <w:name w:val="様式項目（ja）"/>
    <w:basedOn w:val="a"/>
    <w:rsid w:val="002D181F"/>
    <w:pPr>
      <w:widowControl w:val="0"/>
      <w:ind w:left="221" w:firstLine="221"/>
    </w:pPr>
    <w:rPr>
      <w:rFonts w:ascii="ＭＳ 明朝" w:eastAsia="ＭＳ 明朝" w:hAnsi="ＭＳ 明朝" w:cs="ＭＳ 明朝"/>
    </w:rPr>
  </w:style>
  <w:style w:type="paragraph" w:customStyle="1" w:styleId="enff9">
    <w:name w:val="様式項目（en）"/>
    <w:basedOn w:val="jaff9"/>
    <w:rsid w:val="002D181F"/>
    <w:rPr>
      <w:rFonts w:ascii="Century" w:eastAsia="Century" w:hAnsi="Century" w:cs="Century"/>
    </w:rPr>
  </w:style>
  <w:style w:type="table" w:customStyle="1" w:styleId="1">
    <w:name w:val="表1"/>
    <w:rsid w:val="002D181F"/>
    <w:tblPr>
      <w:tblInd w:w="340" w:type="dxa"/>
      <w:tblCellMar>
        <w:top w:w="0" w:type="dxa"/>
        <w:left w:w="0" w:type="dxa"/>
        <w:bottom w:w="0" w:type="dxa"/>
        <w:right w:w="0" w:type="dxa"/>
      </w:tblCellMar>
    </w:tblPr>
  </w:style>
  <w:style w:type="numbering" w:customStyle="1" w:styleId="WW8Num1">
    <w:name w:val="WW8Num1"/>
    <w:rsid w:val="002D181F"/>
    <w:pPr>
      <w:numPr>
        <w:numId w:val="2"/>
      </w:numPr>
    </w:pPr>
  </w:style>
  <w:style w:type="numbering" w:customStyle="1" w:styleId="WW8Num2">
    <w:name w:val="WW8Num2"/>
    <w:rsid w:val="002D181F"/>
    <w:pPr>
      <w:numPr>
        <w:numId w:val="3"/>
      </w:numPr>
    </w:pPr>
  </w:style>
  <w:style w:type="numbering" w:customStyle="1" w:styleId="WW8Num3">
    <w:name w:val="WW8Num3"/>
    <w:rsid w:val="002D181F"/>
    <w:pPr>
      <w:numPr>
        <w:numId w:val="4"/>
      </w:numPr>
    </w:pPr>
  </w:style>
  <w:style w:type="numbering" w:customStyle="1" w:styleId="WW8Num4">
    <w:name w:val="WW8Num4"/>
    <w:rsid w:val="002D181F"/>
    <w:pPr>
      <w:numPr>
        <w:numId w:val="5"/>
      </w:numPr>
    </w:pPr>
  </w:style>
  <w:style w:type="numbering" w:customStyle="1" w:styleId="WW8Num5">
    <w:name w:val="WW8Num5"/>
    <w:rsid w:val="002D181F"/>
    <w:pPr>
      <w:numPr>
        <w:numId w:val="6"/>
      </w:numPr>
    </w:pPr>
  </w:style>
  <w:style w:type="numbering" w:customStyle="1" w:styleId="WW8Num6">
    <w:name w:val="WW8Num6"/>
    <w:rsid w:val="002D181F"/>
    <w:pPr>
      <w:numPr>
        <w:numId w:val="7"/>
      </w:numPr>
    </w:pPr>
  </w:style>
  <w:style w:type="numbering" w:customStyle="1" w:styleId="WW8Num7">
    <w:name w:val="WW8Num7"/>
    <w:rsid w:val="002D181F"/>
    <w:pPr>
      <w:numPr>
        <w:numId w:val="8"/>
      </w:numPr>
    </w:pPr>
  </w:style>
  <w:style w:type="numbering" w:customStyle="1" w:styleId="WW8Num8">
    <w:name w:val="WW8Num8"/>
    <w:rsid w:val="002D181F"/>
    <w:pPr>
      <w:numPr>
        <w:numId w:val="9"/>
      </w:numPr>
    </w:pPr>
  </w:style>
  <w:style w:type="numbering" w:customStyle="1" w:styleId="WW8Num9">
    <w:name w:val="WW8Num9"/>
    <w:rsid w:val="002D181F"/>
    <w:pPr>
      <w:numPr>
        <w:numId w:val="10"/>
      </w:numPr>
    </w:pPr>
  </w:style>
  <w:style w:type="numbering" w:customStyle="1" w:styleId="WW8Num10">
    <w:name w:val="WW8Num10"/>
    <w:rsid w:val="002D181F"/>
    <w:pPr>
      <w:numPr>
        <w:numId w:val="11"/>
      </w:numPr>
    </w:pPr>
  </w:style>
  <w:style w:type="numbering" w:customStyle="1" w:styleId="WW8Num11">
    <w:name w:val="WW8Num11"/>
    <w:rsid w:val="002D181F"/>
    <w:pPr>
      <w:numPr>
        <w:numId w:val="12"/>
      </w:numPr>
    </w:pPr>
  </w:style>
  <w:style w:type="numbering" w:customStyle="1" w:styleId="WW8Num12">
    <w:name w:val="WW8Num12"/>
    <w:rsid w:val="002D181F"/>
    <w:pPr>
      <w:numPr>
        <w:numId w:val="13"/>
      </w:numPr>
    </w:pPr>
  </w:style>
  <w:style w:type="paragraph" w:styleId="a4">
    <w:name w:val="header"/>
    <w:basedOn w:val="a"/>
    <w:link w:val="a5"/>
    <w:uiPriority w:val="99"/>
    <w:unhideWhenUsed/>
    <w:rsid w:val="005216AD"/>
    <w:pPr>
      <w:tabs>
        <w:tab w:val="center" w:pos="4252"/>
        <w:tab w:val="right" w:pos="8504"/>
      </w:tabs>
      <w:snapToGrid w:val="0"/>
    </w:pPr>
  </w:style>
  <w:style w:type="character" w:customStyle="1" w:styleId="a5">
    <w:name w:val="ヘッダー (文字)"/>
    <w:link w:val="a4"/>
    <w:uiPriority w:val="99"/>
    <w:rsid w:val="005216A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5831</Words>
  <Characters>33239</Characters>
  <Application>Microsoft Office Word</Application>
  <DocSecurity>0</DocSecurity>
  <Lines>276</Lines>
  <Paragraphs>77</Paragraphs>
  <ScaleCrop>false</ScaleCrop>
  <Company/>
  <LinksUpToDate>false</LinksUpToDate>
  <CharactersWithSpaces>38993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2022-01-04T09:23:00Z</dcterms:created>
  <dcterms:modified xsi:type="dcterms:W3CDTF">2022-01-26T09:46:00Z</dcterms:modified>
</cp:coreProperties>
</file>