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0F0C" w:rsidRDefault="00250483">
      <w:pPr>
        <w:pStyle w:val="ja"/>
      </w:pPr>
      <w:r>
        <w:t>電気事業者による新エネルギー等の利用に関する特別措置法（第二条第二項第六号改正未施行）</w:t>
      </w:r>
    </w:p>
    <w:p w:rsidR="00FC0F0C" w:rsidRDefault="00FC0F0C"/>
    <w:p w:rsidR="00FC0F0C" w:rsidRDefault="00250483">
      <w:pPr>
        <w:pStyle w:val="jaf"/>
      </w:pPr>
      <w:r>
        <w:t>（平成十四年六月七日法律第六十二号）</w:t>
      </w:r>
    </w:p>
    <w:p w:rsidR="00FC0F0C" w:rsidRDefault="00FC0F0C"/>
    <w:p w:rsidR="00FC0F0C" w:rsidRDefault="00250483">
      <w:pPr>
        <w:pStyle w:val="jaa"/>
      </w:pPr>
      <w:r>
        <w:t>（目的）</w:t>
      </w:r>
    </w:p>
    <w:p w:rsidR="00FC0F0C" w:rsidRDefault="00250483">
      <w:pPr>
        <w:pStyle w:val="jaf3"/>
      </w:pPr>
      <w:r>
        <w:t>第一条　この法律は、内外の経済的社会的環境に応じたエネルギーの安定的かつ適切な供給の確保に資するため、電気事業者による新エネルギー等の利用に関する必要な措置を講ずることとし、もって環境の保全に寄与し、及び国民経済の健全な発展に資することを目的とする。</w:t>
      </w:r>
    </w:p>
    <w:p w:rsidR="00FC0F0C" w:rsidRDefault="00FC0F0C"/>
    <w:p w:rsidR="00FC0F0C" w:rsidRDefault="00250483">
      <w:pPr>
        <w:pStyle w:val="jaa"/>
      </w:pPr>
      <w:r>
        <w:t>（定義）</w:t>
      </w:r>
    </w:p>
    <w:p w:rsidR="00FC0F0C" w:rsidRDefault="00250483">
      <w:pPr>
        <w:pStyle w:val="jaf3"/>
      </w:pPr>
      <w:r>
        <w:t>第二条　この法律において「電気事業者」とは、電気事業法（昭和三十九年法律第百七十号）第二条第一項第二号に規定する一般電気事業者、同項第六号に規定する特定電気事業者及び同項第八号に規定する特定規模電気事業者をいう。</w:t>
      </w:r>
    </w:p>
    <w:p w:rsidR="00FC0F0C" w:rsidRDefault="00250483">
      <w:pPr>
        <w:pStyle w:val="jaf4"/>
      </w:pPr>
      <w:r>
        <w:t>２　この法律において「新エネルギー</w:t>
      </w:r>
      <w:r>
        <w:t>等」とは、次に掲げるエネルギーをいう。</w:t>
      </w:r>
    </w:p>
    <w:p w:rsidR="00FC0F0C" w:rsidRDefault="00250483">
      <w:pPr>
        <w:pStyle w:val="jaf6"/>
      </w:pPr>
      <w:r>
        <w:t>一　風力</w:t>
      </w:r>
    </w:p>
    <w:p w:rsidR="00FC0F0C" w:rsidRDefault="00250483">
      <w:pPr>
        <w:pStyle w:val="jaf6"/>
      </w:pPr>
      <w:r>
        <w:t>二　太陽光</w:t>
      </w:r>
    </w:p>
    <w:p w:rsidR="00FC0F0C" w:rsidRDefault="00250483">
      <w:pPr>
        <w:pStyle w:val="jaf6"/>
      </w:pPr>
      <w:r>
        <w:t>三　地熱</w:t>
      </w:r>
    </w:p>
    <w:p w:rsidR="00FC0F0C" w:rsidRDefault="00250483">
      <w:pPr>
        <w:pStyle w:val="jaf6"/>
      </w:pPr>
      <w:r>
        <w:t>四　水力（政令で定めるものに限る。）</w:t>
      </w:r>
    </w:p>
    <w:p w:rsidR="00FC0F0C" w:rsidRDefault="00250483">
      <w:pPr>
        <w:pStyle w:val="jaf6"/>
      </w:pPr>
      <w:r>
        <w:t>五　バイオマス（動植物に由来する有機物であってエネルギー源として利用することができるもの（原油、石油ガス、可燃性天然ガス及び石炭並びにこれらから製造される製品を除く。）をいう。）を熱源とする熱</w:t>
      </w:r>
    </w:p>
    <w:p w:rsidR="00FC0F0C" w:rsidRDefault="00250483">
      <w:pPr>
        <w:pStyle w:val="jaf6"/>
      </w:pPr>
      <w:r>
        <w:t>六　前各号に掲げるもののほか、化石燃料（原油、石油ガス、可燃性天然ガス及び石炭並びにこれらから製造される燃料（その製造に伴い副次的に得られるものであって燃焼の用に供されるものを含む。）をいう。）を熱源とする熱</w:t>
      </w:r>
      <w:r>
        <w:t>以外のエネルギーであって、政令で定めるもの</w:t>
      </w:r>
    </w:p>
    <w:p w:rsidR="00FC0F0C" w:rsidRDefault="00250483">
      <w:pPr>
        <w:pStyle w:val="jaf4"/>
      </w:pPr>
      <w:r>
        <w:t>３　この法律において「新エネルギー等電気」とは、新エネルギー等発電設備を用いて新エネルギー等を変換して得られる電気をいう。</w:t>
      </w:r>
    </w:p>
    <w:p w:rsidR="00FC0F0C" w:rsidRDefault="00250483">
      <w:pPr>
        <w:pStyle w:val="jaf4"/>
      </w:pPr>
      <w:r>
        <w:t>４　この法律において「新エネルギー等発電設備」とは、新エネルギー等を電気に変換する設備であって、第九条第一項の規定により認定を受けたものをいう。</w:t>
      </w:r>
    </w:p>
    <w:p w:rsidR="00FC0F0C" w:rsidRDefault="00250483">
      <w:pPr>
        <w:pStyle w:val="jaf4"/>
      </w:pPr>
      <w:r>
        <w:t>５　この法律において「利用」とは、供給する電気（電気事業者に供給するものを除く。）の全部又は一部を新エネルギー等電気にすることをいう。</w:t>
      </w:r>
    </w:p>
    <w:p w:rsidR="00FC0F0C" w:rsidRDefault="00FC0F0C"/>
    <w:p w:rsidR="00FC0F0C" w:rsidRDefault="00250483">
      <w:pPr>
        <w:pStyle w:val="jaa"/>
      </w:pPr>
      <w:r>
        <w:t>（新エネルギー等電気の利用目標）</w:t>
      </w:r>
    </w:p>
    <w:p w:rsidR="00FC0F0C" w:rsidRDefault="00250483">
      <w:pPr>
        <w:pStyle w:val="jaf3"/>
      </w:pPr>
      <w:r>
        <w:t>第三条　経済産業大臣は、四</w:t>
      </w:r>
      <w:r>
        <w:t>年ごとに、総合資源エネルギー調査会の意見を聴いて、経済産業省令で定めるところにより、当該年度以降の八年間についての電気事業者による新エネルギー等電気の利用の目標（以下「新エネルギー等電気利用目標」という。）を定めなければならない。</w:t>
      </w:r>
    </w:p>
    <w:p w:rsidR="00FC0F0C" w:rsidRDefault="00250483">
      <w:pPr>
        <w:pStyle w:val="jaf4"/>
      </w:pPr>
      <w:r>
        <w:t>２　新エネルギー等電気利用目標に定める事項は、次のとおりとする。</w:t>
      </w:r>
    </w:p>
    <w:p w:rsidR="00FC0F0C" w:rsidRDefault="00250483">
      <w:pPr>
        <w:pStyle w:val="jaf6"/>
      </w:pPr>
      <w:r>
        <w:lastRenderedPageBreak/>
        <w:t>一　新エネルギー等電気の利用の目標量に関する事項</w:t>
      </w:r>
    </w:p>
    <w:p w:rsidR="00FC0F0C" w:rsidRDefault="00250483">
      <w:pPr>
        <w:pStyle w:val="jaf6"/>
      </w:pPr>
      <w:r>
        <w:t>二　新たに設置すべき新エネルギー等発電設備に関する事項</w:t>
      </w:r>
    </w:p>
    <w:p w:rsidR="00FC0F0C" w:rsidRDefault="00250483">
      <w:pPr>
        <w:pStyle w:val="jaf6"/>
      </w:pPr>
      <w:r>
        <w:t>三　その他経済産業省令で定める事項</w:t>
      </w:r>
    </w:p>
    <w:p w:rsidR="00FC0F0C" w:rsidRDefault="00250483">
      <w:pPr>
        <w:pStyle w:val="jaf4"/>
      </w:pPr>
      <w:r>
        <w:t>３　経済産業大臣は、新エネルギー等の普及の状況、石油の需給事情その他の経</w:t>
      </w:r>
      <w:r>
        <w:t>済的社会的事情の著しい変動のため特に必要があると認めるときは、総合資源エネルギー調査会の意見を聴いて、新エネルギー等電気利用目標を変更するものとする。</w:t>
      </w:r>
    </w:p>
    <w:p w:rsidR="00FC0F0C" w:rsidRDefault="00250483">
      <w:pPr>
        <w:pStyle w:val="jaf4"/>
      </w:pPr>
      <w:r>
        <w:t>４　経済産業大臣は、新エネルギー等電気利用目標を定め、又は変更しようとするときは、政令で定めるところにより、あらかじめ、環境大臣及び農林水産大臣又は国土交通大臣の意見を聴かなければならない。</w:t>
      </w:r>
    </w:p>
    <w:p w:rsidR="00FC0F0C" w:rsidRDefault="00250483">
      <w:pPr>
        <w:pStyle w:val="jaf4"/>
      </w:pPr>
      <w:r>
        <w:t>５　経済産業大臣は、新エネルギー等電気利用目標を定め、又は変更したときは、遅滞なく、これを告示するものとする。</w:t>
      </w:r>
    </w:p>
    <w:p w:rsidR="00FC0F0C" w:rsidRDefault="00FC0F0C"/>
    <w:p w:rsidR="00FC0F0C" w:rsidRDefault="00250483">
      <w:pPr>
        <w:pStyle w:val="jaa"/>
      </w:pPr>
      <w:r>
        <w:t>（新エネルギー等電気の基準利用量）</w:t>
      </w:r>
    </w:p>
    <w:p w:rsidR="00FC0F0C" w:rsidRDefault="00250483">
      <w:pPr>
        <w:pStyle w:val="jaf3"/>
      </w:pPr>
      <w:r>
        <w:t>第四条　電気事業者は、毎年六月一日までに、経済産業省令で定めるところにより、その年の四月一日から翌年の三月三十一日までの一年間（以下「届出年度」という。）に利用をすることを予定している新エネルギー等電気の基準利用量（その電気事業者が当該届出年度において利用をすべきものとして、当該届出年度の前年度におけるその電気事業者の電気の供給量（他の電気事業者に供給したもの</w:t>
      </w:r>
      <w:r>
        <w:t>を除く。第十条において同じ。）を基礎として新エネルギー等電気利用目標及び新エネルギー等発電設備の導入に伴い必要となる電圧の調整のための発電設備の普及の状況その他の事情を勘案して経済産業省令で定めるところにより算定される新エネルギー等電気の量をいう。以下同じ。）その他経済産業省令で定める事項を経済産業大臣に届け出なければならない。</w:t>
      </w:r>
    </w:p>
    <w:p w:rsidR="00FC0F0C" w:rsidRDefault="00250483">
      <w:pPr>
        <w:pStyle w:val="jaf4"/>
      </w:pPr>
      <w:r>
        <w:t>２　届出年度の四月一日から六月一日までの間に電気の供給を開始した電気事業者に関する前項の規定の適用については、同項中「四月一日から」とあるのは「当該電気事業者が電気の供給を開始した</w:t>
      </w:r>
      <w:r>
        <w:t>日から」と、「当該届出年度の前年度におけるその電気事業者の電気の供給量」とあるのは「当該届出年度におけるその電気事業者の電気の供給量の見込み」とする。</w:t>
      </w:r>
    </w:p>
    <w:p w:rsidR="00FC0F0C" w:rsidRDefault="00FC0F0C"/>
    <w:p w:rsidR="00FC0F0C" w:rsidRDefault="00250483">
      <w:pPr>
        <w:pStyle w:val="jaf3"/>
      </w:pPr>
      <w:r>
        <w:t>第五条　電気事業者は、毎年度、経済産業省令で定めるところにより、基準利用量（次条及び第七条の規定による変更があったときは、その変更後のもの。第八条において同じ。）以上の量の新エネルギー等電気の利用をしなければならない。</w:t>
      </w:r>
    </w:p>
    <w:p w:rsidR="00FC0F0C" w:rsidRDefault="00FC0F0C"/>
    <w:p w:rsidR="00FC0F0C" w:rsidRDefault="00250483">
      <w:pPr>
        <w:pStyle w:val="jaa"/>
      </w:pPr>
      <w:r>
        <w:t>（基準利用量の変更）</w:t>
      </w:r>
    </w:p>
    <w:p w:rsidR="00FC0F0C" w:rsidRDefault="00250483">
      <w:pPr>
        <w:pStyle w:val="jaf3"/>
      </w:pPr>
      <w:r>
        <w:t>第六条　電気事業者は、他の電気事業者がその基準利用量を超える量の新エネルギー等電気の利用をする場合において、当該他</w:t>
      </w:r>
      <w:r>
        <w:t>の電気事業者の同意を得たときは、経済産業省令で定めるところにより、経済産業大臣の承認を受けて、その超える分に相当する新エネルギー等電気の量を自らの基準利用量から減少することができる。</w:t>
      </w:r>
    </w:p>
    <w:p w:rsidR="00FC0F0C" w:rsidRDefault="00FC0F0C"/>
    <w:p w:rsidR="00FC0F0C" w:rsidRDefault="00250483">
      <w:pPr>
        <w:pStyle w:val="jaf3"/>
      </w:pPr>
      <w:r>
        <w:t>第七条　経済産業大臣は、災害その他やむを得ない事由により、基準利用量に相当する量の新エネルギー等電気の利用を第五条の規定により行うことが困難となった電気事</w:t>
      </w:r>
      <w:r>
        <w:lastRenderedPageBreak/>
        <w:t>業者の申出があったときは、当該届出年度の基準利用量を減少することができる。</w:t>
      </w:r>
    </w:p>
    <w:p w:rsidR="00FC0F0C" w:rsidRDefault="00250483">
      <w:pPr>
        <w:pStyle w:val="jaf4"/>
      </w:pPr>
      <w:r>
        <w:t>２　経済産業大臣は、前項の規定により基準利用量を減少したときは、当該電気事業者に対し、その旨を通</w:t>
      </w:r>
      <w:r>
        <w:t>知するものとする。</w:t>
      </w:r>
    </w:p>
    <w:p w:rsidR="00FC0F0C" w:rsidRDefault="00FC0F0C"/>
    <w:p w:rsidR="00FC0F0C" w:rsidRDefault="00250483">
      <w:pPr>
        <w:pStyle w:val="jaa"/>
      </w:pPr>
      <w:r>
        <w:t>（勧告及び命令）</w:t>
      </w:r>
    </w:p>
    <w:p w:rsidR="00FC0F0C" w:rsidRDefault="00250483">
      <w:pPr>
        <w:pStyle w:val="jaf3"/>
      </w:pPr>
      <w:r>
        <w:t>第八条　経済産業大臣は、電気事業者の新エネルギー等電気の利用をする量が基準利用量に達していない場合において、その達していないことについて正当な理由がないと認めるときは、その電気事業者に対し、期限を定めて、第五条の規定に従って新エネルギー等電気の利用をすべきことを勧告することができる。</w:t>
      </w:r>
    </w:p>
    <w:p w:rsidR="00FC0F0C" w:rsidRDefault="00250483">
      <w:pPr>
        <w:pStyle w:val="jaf4"/>
      </w:pPr>
      <w:r>
        <w:t>２　経済産業大臣は、前項に規定する場合において、新エネルギー等電気の利用をする量が基準利用量に達していない程度が経済産業省令で定める基準に該当すると認めるときは、当該電気事業者に対し、期</w:t>
      </w:r>
      <w:r>
        <w:t>限を定めて、第五条の規定に従って新エネルギー等電気の利用をすべきことを命ずることができる。</w:t>
      </w:r>
    </w:p>
    <w:p w:rsidR="00FC0F0C" w:rsidRDefault="00FC0F0C"/>
    <w:p w:rsidR="00FC0F0C" w:rsidRDefault="00250483">
      <w:pPr>
        <w:pStyle w:val="jaa"/>
      </w:pPr>
      <w:r>
        <w:t>（新エネルギー等発電設備の認定）</w:t>
      </w:r>
    </w:p>
    <w:p w:rsidR="00FC0F0C" w:rsidRDefault="00250483">
      <w:pPr>
        <w:pStyle w:val="jaf3"/>
      </w:pPr>
      <w:r>
        <w:t>第九条　新エネルギー等を電気に変換する設備を用いて発電し、又は発電しようとする者は、経済産業省令で定めるところにより、次の各号のいずれにも適合していることにつき、経済産業大臣の認定を受けることができる。</w:t>
      </w:r>
    </w:p>
    <w:p w:rsidR="00FC0F0C" w:rsidRDefault="00250483">
      <w:pPr>
        <w:pStyle w:val="jaf6"/>
      </w:pPr>
      <w:r>
        <w:t>一　当該発電し、又は発電しようとする者が設置し、又は設置しようとする当該新エネルギー等を電気に変換する設備が経済産業省令で定める基準に適合すること。</w:t>
      </w:r>
    </w:p>
    <w:p w:rsidR="00FC0F0C" w:rsidRDefault="00250483">
      <w:pPr>
        <w:pStyle w:val="jaf6"/>
      </w:pPr>
      <w:r>
        <w:t>二　その発電の方法が経済産業省</w:t>
      </w:r>
      <w:r>
        <w:t>令で定める基準に適合すること。</w:t>
      </w:r>
    </w:p>
    <w:p w:rsidR="00FC0F0C" w:rsidRDefault="00250483">
      <w:pPr>
        <w:pStyle w:val="jaf4"/>
      </w:pPr>
      <w:r>
        <w:t>２　経済産業大臣は、前項の認定の申請に係る発電が同項各号のいずれにも適合していると認めるときは、同項の認定をするものとする。</w:t>
      </w:r>
    </w:p>
    <w:p w:rsidR="00FC0F0C" w:rsidRDefault="00250483">
      <w:pPr>
        <w:pStyle w:val="jaf4"/>
      </w:pPr>
      <w:r>
        <w:t>３　経済産業大臣は、新エネルギー等発電設備について第一項の認定をしようとするときは、政令で定めるところにより、あらかじめ、農林水産大臣、国土交通大臣又は環境大臣に協議しなければならない。</w:t>
      </w:r>
    </w:p>
    <w:p w:rsidR="00FC0F0C" w:rsidRDefault="00250483">
      <w:pPr>
        <w:pStyle w:val="jaf4"/>
      </w:pPr>
      <w:r>
        <w:t>４　経済産業大臣は、第一項の認定に係る発電が同項各号のいずれかに適合しなくなったと認めるときは、当該認定を取り消すことができる。</w:t>
      </w:r>
    </w:p>
    <w:p w:rsidR="00FC0F0C" w:rsidRDefault="00250483">
      <w:pPr>
        <w:pStyle w:val="jaf4"/>
      </w:pPr>
      <w:r>
        <w:t>５　前各項に規定するもののほか、第一</w:t>
      </w:r>
      <w:r>
        <w:t>項の認定に関し必要な事項は、政令で定める。</w:t>
      </w:r>
    </w:p>
    <w:p w:rsidR="00FC0F0C" w:rsidRDefault="00FC0F0C"/>
    <w:p w:rsidR="00FC0F0C" w:rsidRDefault="00250483">
      <w:pPr>
        <w:pStyle w:val="jaa"/>
      </w:pPr>
      <w:r>
        <w:t>（供給した電気の量等の届出）</w:t>
      </w:r>
    </w:p>
    <w:p w:rsidR="00FC0F0C" w:rsidRDefault="00250483">
      <w:pPr>
        <w:pStyle w:val="jaf3"/>
      </w:pPr>
      <w:r>
        <w:t>第十条　電気事業者は、毎年六月一日までに、経済産業省令で定めるところにより、その年の前年の四月一日からその年の三月三十一日までの一年間における電気の供給量その他経済産業省令で定める事項を経済産業大臣に届け出なければならない。</w:t>
      </w:r>
    </w:p>
    <w:p w:rsidR="00FC0F0C" w:rsidRDefault="00FC0F0C"/>
    <w:p w:rsidR="00FC0F0C" w:rsidRDefault="00250483">
      <w:pPr>
        <w:pStyle w:val="jaa"/>
      </w:pPr>
      <w:r>
        <w:t>（帳簿の記載）</w:t>
      </w:r>
    </w:p>
    <w:p w:rsidR="00FC0F0C" w:rsidRDefault="00250483">
      <w:pPr>
        <w:pStyle w:val="jaf3"/>
      </w:pPr>
      <w:r>
        <w:t>第十一条　電気事業者又は第九条第一項の認定を受けた者は、経済産業省令で定めるところにより、帳簿を備え、その利用をし、又は発電した新エネルギー等電気の量その他経済産業省令で定める事項を記載し、これを保存しなければならない。</w:t>
      </w:r>
    </w:p>
    <w:p w:rsidR="00FC0F0C" w:rsidRDefault="00FC0F0C"/>
    <w:p w:rsidR="00FC0F0C" w:rsidRDefault="00250483">
      <w:pPr>
        <w:pStyle w:val="jaa"/>
      </w:pPr>
      <w:r>
        <w:t>（報告徴収及び立入検査）</w:t>
      </w:r>
    </w:p>
    <w:p w:rsidR="00FC0F0C" w:rsidRDefault="00250483">
      <w:pPr>
        <w:pStyle w:val="jaf3"/>
      </w:pPr>
      <w:r>
        <w:t>第十二条　経済産業</w:t>
      </w:r>
      <w:r>
        <w:t>大臣は、この法律の施行に必要な限度において、電気事業者又は第九条第一項の認定を受けた者に対し、その業務に関し報告をさせることができる。</w:t>
      </w:r>
    </w:p>
    <w:p w:rsidR="00FC0F0C" w:rsidRDefault="00250483">
      <w:pPr>
        <w:pStyle w:val="jaf4"/>
      </w:pPr>
      <w:r>
        <w:t>２　経済産業大臣は、この法律の施行に必要な限度において、その職員に、電気事業者又は第九条第一項の認定を受けた者の事業所又は事務所に立ち入り、帳簿、書類その他の物件を検査させることができる。</w:t>
      </w:r>
    </w:p>
    <w:p w:rsidR="00FC0F0C" w:rsidRDefault="00250483">
      <w:pPr>
        <w:pStyle w:val="jaf4"/>
      </w:pPr>
      <w:r>
        <w:t>３　前項の規定により立入検査をする職員は、その身分を示す証明書を携帯し、関係者に提示しなければならない。</w:t>
      </w:r>
    </w:p>
    <w:p w:rsidR="00FC0F0C" w:rsidRDefault="00250483">
      <w:pPr>
        <w:pStyle w:val="jaf4"/>
      </w:pPr>
      <w:r>
        <w:t>４　第二項の規定による立入検査の権限は、犯罪捜査のために認められたものと解釈してはならない。</w:t>
      </w:r>
    </w:p>
    <w:p w:rsidR="00FC0F0C" w:rsidRDefault="00FC0F0C"/>
    <w:p w:rsidR="00FC0F0C" w:rsidRDefault="00250483">
      <w:pPr>
        <w:pStyle w:val="jaa"/>
      </w:pPr>
      <w:r>
        <w:t>（経過措置）</w:t>
      </w:r>
    </w:p>
    <w:p w:rsidR="00FC0F0C" w:rsidRDefault="00250483">
      <w:pPr>
        <w:pStyle w:val="jaf3"/>
      </w:pPr>
      <w:r>
        <w:t>第十三条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FC0F0C" w:rsidRDefault="00FC0F0C"/>
    <w:p w:rsidR="00FC0F0C" w:rsidRDefault="00250483">
      <w:pPr>
        <w:pStyle w:val="jaa"/>
      </w:pPr>
      <w:r>
        <w:t>（権限の委任）</w:t>
      </w:r>
    </w:p>
    <w:p w:rsidR="00FC0F0C" w:rsidRDefault="00250483">
      <w:pPr>
        <w:pStyle w:val="jaf3"/>
      </w:pPr>
      <w:r>
        <w:t>第十四条　この法律の規定により経済産業大臣の権限に属する事項</w:t>
      </w:r>
      <w:r>
        <w:t>は、政令で定めるところにより、経済産業局長に委任することができる。</w:t>
      </w:r>
    </w:p>
    <w:p w:rsidR="00FC0F0C" w:rsidRDefault="00FC0F0C"/>
    <w:p w:rsidR="00FC0F0C" w:rsidRDefault="00250483">
      <w:pPr>
        <w:pStyle w:val="jaa"/>
      </w:pPr>
      <w:r>
        <w:t>（罰則）</w:t>
      </w:r>
    </w:p>
    <w:p w:rsidR="00FC0F0C" w:rsidRDefault="00250483">
      <w:pPr>
        <w:pStyle w:val="jaf3"/>
      </w:pPr>
      <w:r>
        <w:t>第十五条　第八条第二項の規定による命令に違反した者は、百万円以下の罰金に処する。</w:t>
      </w:r>
    </w:p>
    <w:p w:rsidR="00FC0F0C" w:rsidRDefault="00FC0F0C"/>
    <w:p w:rsidR="00FC0F0C" w:rsidRDefault="00250483">
      <w:pPr>
        <w:pStyle w:val="jaf3"/>
      </w:pPr>
      <w:r>
        <w:t>第十六条　次の各号のいずれかに該当する者は、三十万円以下の罰金に処する。</w:t>
      </w:r>
    </w:p>
    <w:p w:rsidR="00FC0F0C" w:rsidRDefault="00250483">
      <w:pPr>
        <w:pStyle w:val="jaf6"/>
      </w:pPr>
      <w:r>
        <w:t>一　第四条又は第十条の規定による届出をせず、又は虚偽の届出をした者</w:t>
      </w:r>
    </w:p>
    <w:p w:rsidR="00FC0F0C" w:rsidRDefault="00250483">
      <w:pPr>
        <w:pStyle w:val="jaf6"/>
      </w:pPr>
      <w:r>
        <w:t>二　第十一条の規定に違反して、帳簿を備えず、帳簿に記載をせず、若しくは虚偽の記載をし、又は帳簿を保存しなかった者</w:t>
      </w:r>
    </w:p>
    <w:p w:rsidR="00FC0F0C" w:rsidRDefault="00250483">
      <w:pPr>
        <w:pStyle w:val="jaf6"/>
      </w:pPr>
      <w:r>
        <w:t>三　第十二条第一項の規定による報告をせず、若しくは虚偽の報告をし、又は同条第二項の規定による</w:t>
      </w:r>
      <w:r>
        <w:t>検査を拒み、妨げ、若しくは忌避した者</w:t>
      </w:r>
    </w:p>
    <w:p w:rsidR="00FC0F0C" w:rsidRDefault="00FC0F0C"/>
    <w:p w:rsidR="00FC0F0C" w:rsidRDefault="00250483">
      <w:pPr>
        <w:pStyle w:val="jaf3"/>
      </w:pPr>
      <w:r>
        <w:t>第十七条　法人の代表者又は法人若しくは人の代理人、使用人その他の従業者が、その法人又は人の業務に関し、前二条の違反行為をしたときは、行為者を罰するほか、その法人又は人に対して各本条の刑を科する。</w:t>
      </w:r>
    </w:p>
    <w:p w:rsidR="00FC0F0C" w:rsidRDefault="00FC0F0C"/>
    <w:p w:rsidR="00FC0F0C" w:rsidRDefault="00250483">
      <w:pPr>
        <w:pStyle w:val="ja2"/>
      </w:pPr>
      <w:r>
        <w:t>附　則　〔抄〕</w:t>
      </w:r>
    </w:p>
    <w:p w:rsidR="00FC0F0C" w:rsidRDefault="00FC0F0C"/>
    <w:p w:rsidR="00FC0F0C" w:rsidRDefault="00250483">
      <w:pPr>
        <w:pStyle w:val="jaa"/>
      </w:pPr>
      <w:r>
        <w:t>（施行期日）</w:t>
      </w:r>
    </w:p>
    <w:p w:rsidR="00FC0F0C" w:rsidRDefault="00250483">
      <w:pPr>
        <w:pStyle w:val="jaf3"/>
      </w:pPr>
      <w:r>
        <w:t>第一条　この法律は、公布の日から起算して六月を超えない範囲内において政令で定める日から施行する。ただし、第三条から第八条まで、第十条から第十二条まで、第十五条及び第十六条（第十一条、第十二条及び第十六条にあっては、電気事業者に係る部分に限る。）の規定は、平成十五年四月一日から施行する。</w:t>
      </w:r>
    </w:p>
    <w:p w:rsidR="00FC0F0C" w:rsidRDefault="00FC0F0C"/>
    <w:p w:rsidR="00FC0F0C" w:rsidRDefault="00250483">
      <w:pPr>
        <w:pStyle w:val="jaa"/>
      </w:pPr>
      <w:r>
        <w:t>（経過措置）</w:t>
      </w:r>
    </w:p>
    <w:p w:rsidR="00FC0F0C" w:rsidRDefault="00250483">
      <w:pPr>
        <w:pStyle w:val="jaf3"/>
      </w:pPr>
      <w:r>
        <w:t>第二条　経済産業大臣は、第三条の規定の施行前においても、同条の規定の例により、新エネルギー等電気利用目標を定め、これを告示することができる。</w:t>
      </w:r>
    </w:p>
    <w:p w:rsidR="00FC0F0C" w:rsidRDefault="00250483">
      <w:pPr>
        <w:pStyle w:val="jaf4"/>
      </w:pPr>
      <w:r>
        <w:t>２　前項の規定により定められた新エネルギー等電気利用目標は、第三条</w:t>
      </w:r>
      <w:r>
        <w:t>の規定の施行の日において同条第一項の規定により定められたものとみなす。</w:t>
      </w:r>
    </w:p>
    <w:p w:rsidR="00FC0F0C" w:rsidRDefault="00FC0F0C"/>
    <w:p w:rsidR="00FC0F0C" w:rsidRDefault="00250483">
      <w:pPr>
        <w:pStyle w:val="jaf3"/>
      </w:pPr>
      <w:r>
        <w:t>第三条　第五条の規定の施行の際現に電気事業者である者のうち、同条の規定に従って新エネルギー等電気の利用をすることが著しく困難であると経済産業大臣が認定したものに係る第四条に規定する基準利用量は、同条の規定にかかわらず、第五条の規定の施行後七年間は、第四条の規定によって算定した量を新エネルギー等電気の利用の状況その他の事情を勘案して経済産業大臣が定める方法により調整して得た量とする。</w:t>
      </w:r>
    </w:p>
    <w:p w:rsidR="00FC0F0C" w:rsidRDefault="00FC0F0C"/>
    <w:p w:rsidR="00FC0F0C" w:rsidRDefault="00250483">
      <w:pPr>
        <w:pStyle w:val="jaa"/>
      </w:pPr>
      <w:r>
        <w:t>（政令への委任）</w:t>
      </w:r>
    </w:p>
    <w:p w:rsidR="00FC0F0C" w:rsidRDefault="00250483">
      <w:pPr>
        <w:pStyle w:val="jaf3"/>
      </w:pPr>
      <w:r>
        <w:t>第四条　前二条に定めるもののほか</w:t>
      </w:r>
      <w:r>
        <w:t>、この法律の施行に関し必要な経過措置は、政令で定める。</w:t>
      </w:r>
    </w:p>
    <w:p w:rsidR="00FC0F0C" w:rsidRDefault="00FC0F0C"/>
    <w:p w:rsidR="00FC0F0C" w:rsidRDefault="00250483">
      <w:pPr>
        <w:pStyle w:val="jaa"/>
      </w:pPr>
      <w:r>
        <w:t>（検討）</w:t>
      </w:r>
    </w:p>
    <w:p w:rsidR="00FC0F0C" w:rsidRDefault="00250483">
      <w:pPr>
        <w:pStyle w:val="jaf3"/>
      </w:pPr>
      <w:r>
        <w:t>第五条　政府は、この法律の施行後三年を経過した場合において、この法律の規定の施行の状況を勘案し、必要があると認めるときは、この法律の規定について検討を加え、その結果に基づいて必要な措置を講ずるものとする。</w:t>
      </w:r>
    </w:p>
    <w:sectPr w:rsidR="00FC0F0C" w:rsidSect="00FC0F0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0F0C" w:rsidRDefault="00FC0F0C" w:rsidP="00FC0F0C">
      <w:r>
        <w:separator/>
      </w:r>
    </w:p>
  </w:endnote>
  <w:endnote w:type="continuationSeparator" w:id="0">
    <w:p w:rsidR="00FC0F0C" w:rsidRDefault="00FC0F0C" w:rsidP="00FC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0F0C" w:rsidRDefault="00FC0F0C">
    <w:pPr>
      <w:pStyle w:val="a3"/>
    </w:pPr>
    <w:r>
      <w:fldChar w:fldCharType="begin"/>
    </w:r>
    <w:r>
      <w:instrText xml:space="preserve"> PAGE  \* MERGEFORMAT </w:instrText>
    </w:r>
    <w:r>
      <w:fldChar w:fldCharType="separate"/>
    </w:r>
    <w:r w:rsidR="0025048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0F0C" w:rsidRDefault="00FC0F0C" w:rsidP="00FC0F0C">
      <w:r>
        <w:separator/>
      </w:r>
    </w:p>
  </w:footnote>
  <w:footnote w:type="continuationSeparator" w:id="0">
    <w:p w:rsidR="00FC0F0C" w:rsidRDefault="00FC0F0C" w:rsidP="00FC0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39C7"/>
    <w:multiLevelType w:val="multilevel"/>
    <w:tmpl w:val="73BEC7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2065C7"/>
    <w:multiLevelType w:val="multilevel"/>
    <w:tmpl w:val="B0C614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497238"/>
    <w:multiLevelType w:val="multilevel"/>
    <w:tmpl w:val="583207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840672"/>
    <w:multiLevelType w:val="multilevel"/>
    <w:tmpl w:val="F28473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B34B31"/>
    <w:multiLevelType w:val="multilevel"/>
    <w:tmpl w:val="A774782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A2152E"/>
    <w:multiLevelType w:val="multilevel"/>
    <w:tmpl w:val="87D200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391FDA"/>
    <w:multiLevelType w:val="multilevel"/>
    <w:tmpl w:val="3070B6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A3662C9"/>
    <w:multiLevelType w:val="multilevel"/>
    <w:tmpl w:val="0FE8B4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433C97"/>
    <w:multiLevelType w:val="multilevel"/>
    <w:tmpl w:val="6AB4D2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286993"/>
    <w:multiLevelType w:val="multilevel"/>
    <w:tmpl w:val="DBF84A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2200F5A"/>
    <w:multiLevelType w:val="multilevel"/>
    <w:tmpl w:val="340E56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461C7C"/>
    <w:multiLevelType w:val="multilevel"/>
    <w:tmpl w:val="DAE07F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E462D7"/>
    <w:multiLevelType w:val="multilevel"/>
    <w:tmpl w:val="F9E20C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2"/>
  </w:num>
  <w:num w:numId="3">
    <w:abstractNumId w:val="5"/>
  </w:num>
  <w:num w:numId="4">
    <w:abstractNumId w:val="6"/>
  </w:num>
  <w:num w:numId="5">
    <w:abstractNumId w:val="7"/>
  </w:num>
  <w:num w:numId="6">
    <w:abstractNumId w:val="4"/>
  </w:num>
  <w:num w:numId="7">
    <w:abstractNumId w:val="8"/>
  </w:num>
  <w:num w:numId="8">
    <w:abstractNumId w:val="0"/>
  </w:num>
  <w:num w:numId="9">
    <w:abstractNumId w:val="11"/>
  </w:num>
  <w:num w:numId="10">
    <w:abstractNumId w:val="10"/>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C0F0C"/>
    <w:rsid w:val="00250483"/>
    <w:rsid w:val="00FC0F0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F0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C0F0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C0F0C"/>
    <w:rPr>
      <w:rFonts w:ascii="Century" w:eastAsia="Century" w:hAnsi="Century"/>
    </w:rPr>
  </w:style>
  <w:style w:type="paragraph" w:customStyle="1" w:styleId="ja0">
    <w:name w:val="款（ja）"/>
    <w:basedOn w:val="a"/>
    <w:rsid w:val="00FC0F0C"/>
    <w:pPr>
      <w:widowControl w:val="0"/>
      <w:ind w:left="1321" w:hanging="221"/>
    </w:pPr>
    <w:rPr>
      <w:rFonts w:ascii="ＭＳ 明朝" w:eastAsia="ＭＳ 明朝" w:hAnsi="ＭＳ 明朝" w:cs="ＭＳ 明朝"/>
      <w:b/>
    </w:rPr>
  </w:style>
  <w:style w:type="paragraph" w:customStyle="1" w:styleId="en0">
    <w:name w:val="款（en）"/>
    <w:basedOn w:val="ja0"/>
    <w:rsid w:val="00FC0F0C"/>
    <w:rPr>
      <w:rFonts w:ascii="Century" w:eastAsia="Century" w:hAnsi="Century" w:cs="Century"/>
    </w:rPr>
  </w:style>
  <w:style w:type="paragraph" w:customStyle="1" w:styleId="ja1">
    <w:name w:val="前文（ja）"/>
    <w:basedOn w:val="a"/>
    <w:rsid w:val="00FC0F0C"/>
    <w:pPr>
      <w:widowControl w:val="0"/>
      <w:ind w:firstLine="219"/>
    </w:pPr>
    <w:rPr>
      <w:rFonts w:ascii="ＭＳ 明朝" w:eastAsia="ＭＳ 明朝" w:hAnsi="ＭＳ 明朝" w:cs="ＭＳ 明朝"/>
    </w:rPr>
  </w:style>
  <w:style w:type="paragraph" w:customStyle="1" w:styleId="en1">
    <w:name w:val="前文（en）"/>
    <w:basedOn w:val="ja1"/>
    <w:rsid w:val="00FC0F0C"/>
    <w:rPr>
      <w:rFonts w:ascii="Century" w:eastAsia="Century" w:hAnsi="Century" w:cs="Century"/>
    </w:rPr>
  </w:style>
  <w:style w:type="paragraph" w:customStyle="1" w:styleId="ja2">
    <w:name w:val="附則（ja）"/>
    <w:basedOn w:val="a"/>
    <w:rsid w:val="00FC0F0C"/>
    <w:pPr>
      <w:widowControl w:val="0"/>
      <w:ind w:left="881" w:hanging="221"/>
    </w:pPr>
    <w:rPr>
      <w:rFonts w:ascii="ＭＳ 明朝" w:eastAsia="ＭＳ 明朝" w:hAnsi="ＭＳ 明朝" w:cs="ＭＳ 明朝"/>
      <w:b/>
    </w:rPr>
  </w:style>
  <w:style w:type="paragraph" w:customStyle="1" w:styleId="en2">
    <w:name w:val="附則（en）"/>
    <w:basedOn w:val="ja2"/>
    <w:rsid w:val="00FC0F0C"/>
    <w:rPr>
      <w:rFonts w:ascii="Century" w:hAnsi="Century" w:cs="Century"/>
    </w:rPr>
  </w:style>
  <w:style w:type="paragraph" w:customStyle="1" w:styleId="ja3">
    <w:name w:val="章（ja）"/>
    <w:basedOn w:val="a"/>
    <w:rsid w:val="00FC0F0C"/>
    <w:pPr>
      <w:widowControl w:val="0"/>
      <w:ind w:left="881" w:hanging="221"/>
    </w:pPr>
    <w:rPr>
      <w:rFonts w:ascii="ＭＳ 明朝" w:eastAsia="ＭＳ 明朝" w:hAnsi="ＭＳ 明朝" w:cs="ＭＳ 明朝"/>
      <w:b/>
    </w:rPr>
  </w:style>
  <w:style w:type="paragraph" w:customStyle="1" w:styleId="en3">
    <w:name w:val="章（en）"/>
    <w:basedOn w:val="ja3"/>
    <w:rsid w:val="00FC0F0C"/>
    <w:rPr>
      <w:rFonts w:ascii="Century" w:eastAsia="Century" w:hAnsi="Century" w:cs="Century"/>
    </w:rPr>
  </w:style>
  <w:style w:type="paragraph" w:customStyle="1" w:styleId="ja4">
    <w:name w:val="目次編（ja）"/>
    <w:basedOn w:val="a"/>
    <w:rsid w:val="00FC0F0C"/>
    <w:pPr>
      <w:widowControl w:val="0"/>
      <w:ind w:left="219" w:hanging="219"/>
    </w:pPr>
    <w:rPr>
      <w:rFonts w:ascii="ＭＳ 明朝" w:eastAsia="ＭＳ 明朝" w:hAnsi="ＭＳ 明朝"/>
    </w:rPr>
  </w:style>
  <w:style w:type="paragraph" w:customStyle="1" w:styleId="en4">
    <w:name w:val="目次編（en）"/>
    <w:basedOn w:val="ja4"/>
    <w:rsid w:val="00FC0F0C"/>
    <w:rPr>
      <w:rFonts w:ascii="Century" w:eastAsia="Century" w:hAnsi="Century"/>
    </w:rPr>
  </w:style>
  <w:style w:type="paragraph" w:customStyle="1" w:styleId="ja5">
    <w:name w:val="目次章（ja）"/>
    <w:basedOn w:val="a"/>
    <w:rsid w:val="00FC0F0C"/>
    <w:pPr>
      <w:widowControl w:val="0"/>
      <w:ind w:left="439" w:hanging="219"/>
    </w:pPr>
    <w:rPr>
      <w:rFonts w:ascii="ＭＳ 明朝" w:eastAsia="ＭＳ 明朝" w:hAnsi="ＭＳ 明朝"/>
    </w:rPr>
  </w:style>
  <w:style w:type="paragraph" w:customStyle="1" w:styleId="en5">
    <w:name w:val="目次章（en）"/>
    <w:basedOn w:val="ja5"/>
    <w:rsid w:val="00FC0F0C"/>
    <w:rPr>
      <w:rFonts w:ascii="Century" w:eastAsia="Century" w:hAnsi="Century"/>
    </w:rPr>
  </w:style>
  <w:style w:type="paragraph" w:customStyle="1" w:styleId="ja6">
    <w:name w:val="目次節（ja）"/>
    <w:basedOn w:val="a"/>
    <w:rsid w:val="00FC0F0C"/>
    <w:pPr>
      <w:widowControl w:val="0"/>
      <w:ind w:left="659" w:hanging="219"/>
    </w:pPr>
    <w:rPr>
      <w:rFonts w:ascii="ＭＳ 明朝" w:eastAsia="ＭＳ 明朝" w:hAnsi="ＭＳ 明朝"/>
    </w:rPr>
  </w:style>
  <w:style w:type="paragraph" w:customStyle="1" w:styleId="en6">
    <w:name w:val="目次節（en）"/>
    <w:basedOn w:val="ja6"/>
    <w:rsid w:val="00FC0F0C"/>
    <w:rPr>
      <w:rFonts w:ascii="Century" w:eastAsia="Century" w:hAnsi="Century"/>
    </w:rPr>
  </w:style>
  <w:style w:type="paragraph" w:customStyle="1" w:styleId="ja7">
    <w:name w:val="目次款（ja）"/>
    <w:basedOn w:val="a"/>
    <w:rsid w:val="00FC0F0C"/>
    <w:pPr>
      <w:widowControl w:val="0"/>
      <w:ind w:left="879" w:hanging="219"/>
    </w:pPr>
    <w:rPr>
      <w:rFonts w:ascii="ＭＳ 明朝" w:eastAsia="ＭＳ 明朝" w:hAnsi="ＭＳ 明朝" w:cs="Kochi Mincho"/>
    </w:rPr>
  </w:style>
  <w:style w:type="paragraph" w:customStyle="1" w:styleId="en7">
    <w:name w:val="目次款（en）"/>
    <w:basedOn w:val="ja7"/>
    <w:rsid w:val="00FC0F0C"/>
    <w:rPr>
      <w:rFonts w:ascii="Century" w:eastAsia="Century" w:hAnsi="Century"/>
    </w:rPr>
  </w:style>
  <w:style w:type="paragraph" w:customStyle="1" w:styleId="ja8">
    <w:name w:val="別表名（ja）"/>
    <w:basedOn w:val="a"/>
    <w:rsid w:val="00FC0F0C"/>
    <w:pPr>
      <w:widowControl w:val="0"/>
      <w:ind w:left="100" w:hangingChars="100" w:hanging="100"/>
    </w:pPr>
    <w:rPr>
      <w:rFonts w:ascii="ＭＳ 明朝" w:eastAsia="ＭＳ 明朝" w:hAnsi="ＭＳ 明朝" w:cs="ＭＳ 明朝"/>
    </w:rPr>
  </w:style>
  <w:style w:type="paragraph" w:customStyle="1" w:styleId="en8">
    <w:name w:val="別表名（en）"/>
    <w:basedOn w:val="ja8"/>
    <w:rsid w:val="00FC0F0C"/>
    <w:rPr>
      <w:rFonts w:ascii="Century" w:eastAsia="Century" w:hAnsi="Century" w:cs="Century"/>
    </w:rPr>
  </w:style>
  <w:style w:type="paragraph" w:customStyle="1" w:styleId="ja9">
    <w:name w:val="目（ja）"/>
    <w:basedOn w:val="a"/>
    <w:rsid w:val="00FC0F0C"/>
    <w:pPr>
      <w:widowControl w:val="0"/>
      <w:ind w:left="1541" w:hanging="221"/>
    </w:pPr>
    <w:rPr>
      <w:rFonts w:ascii="ＭＳ 明朝" w:eastAsia="ＭＳ 明朝" w:hAnsi="ＭＳ 明朝" w:cs="ＭＳ 明朝"/>
      <w:b/>
    </w:rPr>
  </w:style>
  <w:style w:type="paragraph" w:customStyle="1" w:styleId="en9">
    <w:name w:val="目（en）"/>
    <w:basedOn w:val="ja9"/>
    <w:rsid w:val="00FC0F0C"/>
    <w:rPr>
      <w:rFonts w:ascii="Century" w:eastAsia="Century" w:hAnsi="Century" w:cs="Century"/>
    </w:rPr>
  </w:style>
  <w:style w:type="paragraph" w:customStyle="1" w:styleId="jaa">
    <w:name w:val="見出し（ja）"/>
    <w:basedOn w:val="a"/>
    <w:rsid w:val="00FC0F0C"/>
    <w:pPr>
      <w:widowControl w:val="0"/>
      <w:ind w:left="439" w:hanging="219"/>
    </w:pPr>
    <w:rPr>
      <w:rFonts w:ascii="ＭＳ 明朝" w:eastAsia="ＭＳ 明朝" w:hAnsi="ＭＳ 明朝" w:cs="ＭＳ 明朝"/>
    </w:rPr>
  </w:style>
  <w:style w:type="paragraph" w:customStyle="1" w:styleId="ena">
    <w:name w:val="見出し（en）"/>
    <w:basedOn w:val="jaa"/>
    <w:rsid w:val="00FC0F0C"/>
    <w:rPr>
      <w:rFonts w:ascii="Century" w:eastAsia="Century" w:hAnsi="Century" w:cs="Century"/>
    </w:rPr>
  </w:style>
  <w:style w:type="paragraph" w:styleId="a3">
    <w:name w:val="footer"/>
    <w:basedOn w:val="a"/>
    <w:rsid w:val="00FC0F0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C0F0C"/>
    <w:pPr>
      <w:widowControl w:val="0"/>
      <w:ind w:left="1099" w:hanging="219"/>
    </w:pPr>
    <w:rPr>
      <w:rFonts w:ascii="ＭＳ 明朝" w:eastAsia="ＭＳ 明朝" w:hAnsi="ＭＳ 明朝" w:cs="Kochi Mincho"/>
    </w:rPr>
  </w:style>
  <w:style w:type="paragraph" w:customStyle="1" w:styleId="enb">
    <w:name w:val="目次目（en）"/>
    <w:basedOn w:val="jab"/>
    <w:rsid w:val="00FC0F0C"/>
    <w:rPr>
      <w:rFonts w:ascii="Century" w:eastAsia="Century" w:hAnsi="Century"/>
    </w:rPr>
  </w:style>
  <w:style w:type="paragraph" w:customStyle="1" w:styleId="jac">
    <w:name w:val="目次附則（ja）"/>
    <w:basedOn w:val="a"/>
    <w:rsid w:val="00FC0F0C"/>
    <w:pPr>
      <w:widowControl w:val="0"/>
      <w:ind w:left="439" w:hanging="219"/>
    </w:pPr>
    <w:rPr>
      <w:rFonts w:ascii="ＭＳ 明朝" w:eastAsia="ＭＳ 明朝" w:hAnsi="ＭＳ 明朝" w:cs="Kochi Mincho"/>
    </w:rPr>
  </w:style>
  <w:style w:type="paragraph" w:customStyle="1" w:styleId="enc">
    <w:name w:val="目次附則（en）"/>
    <w:basedOn w:val="jac"/>
    <w:rsid w:val="00FC0F0C"/>
    <w:rPr>
      <w:rFonts w:ascii="Century" w:eastAsia="Century" w:hAnsi="Century" w:cs="Century"/>
    </w:rPr>
  </w:style>
  <w:style w:type="paragraph" w:customStyle="1" w:styleId="jad">
    <w:name w:val="目次前文（ja）"/>
    <w:basedOn w:val="jac"/>
    <w:rsid w:val="00FC0F0C"/>
  </w:style>
  <w:style w:type="paragraph" w:customStyle="1" w:styleId="end">
    <w:name w:val="目次前文（en）"/>
    <w:basedOn w:val="enc"/>
    <w:rsid w:val="00FC0F0C"/>
  </w:style>
  <w:style w:type="paragraph" w:customStyle="1" w:styleId="jae">
    <w:name w:val="制定文（ja）"/>
    <w:basedOn w:val="a"/>
    <w:rsid w:val="00FC0F0C"/>
    <w:pPr>
      <w:widowControl w:val="0"/>
      <w:ind w:firstLine="219"/>
    </w:pPr>
    <w:rPr>
      <w:rFonts w:ascii="ＭＳ 明朝" w:eastAsia="ＭＳ 明朝" w:hAnsi="ＭＳ 明朝" w:cs="ＭＳ 明朝"/>
    </w:rPr>
  </w:style>
  <w:style w:type="paragraph" w:customStyle="1" w:styleId="ene">
    <w:name w:val="制定文（en）"/>
    <w:basedOn w:val="jae"/>
    <w:rsid w:val="00FC0F0C"/>
    <w:rPr>
      <w:rFonts w:ascii="Century" w:eastAsia="Century" w:hAnsi="Century" w:cs="Century"/>
    </w:rPr>
  </w:style>
  <w:style w:type="paragraph" w:customStyle="1" w:styleId="jaf">
    <w:name w:val="法令番号（ja）"/>
    <w:basedOn w:val="a"/>
    <w:rsid w:val="00FC0F0C"/>
    <w:pPr>
      <w:widowControl w:val="0"/>
      <w:jc w:val="right"/>
    </w:pPr>
    <w:rPr>
      <w:rFonts w:ascii="ＭＳ 明朝" w:eastAsia="ＭＳ 明朝" w:hAnsi="ＭＳ 明朝" w:cs="Kochi Mincho"/>
    </w:rPr>
  </w:style>
  <w:style w:type="paragraph" w:customStyle="1" w:styleId="enf">
    <w:name w:val="法令番号（en）"/>
    <w:basedOn w:val="jaf"/>
    <w:rsid w:val="00FC0F0C"/>
    <w:rPr>
      <w:rFonts w:ascii="Century" w:eastAsia="Century" w:hAnsi="Century" w:cs="Century"/>
    </w:rPr>
  </w:style>
  <w:style w:type="paragraph" w:customStyle="1" w:styleId="jaf0">
    <w:name w:val="目次（ja）"/>
    <w:basedOn w:val="a"/>
    <w:rsid w:val="00FC0F0C"/>
    <w:rPr>
      <w:rFonts w:ascii="ＭＳ 明朝" w:eastAsia="ＭＳ 明朝" w:hAnsi="ＭＳ 明朝"/>
    </w:rPr>
  </w:style>
  <w:style w:type="paragraph" w:customStyle="1" w:styleId="enf0">
    <w:name w:val="目次（en）"/>
    <w:basedOn w:val="jaf0"/>
    <w:rsid w:val="00FC0F0C"/>
    <w:rPr>
      <w:rFonts w:ascii="Century" w:eastAsia="Century" w:hAnsi="Century"/>
    </w:rPr>
  </w:style>
  <w:style w:type="paragraph" w:customStyle="1" w:styleId="jaf1">
    <w:name w:val="編（ja）"/>
    <w:basedOn w:val="a"/>
    <w:rsid w:val="00FC0F0C"/>
    <w:pPr>
      <w:widowControl w:val="0"/>
      <w:ind w:left="661" w:hanging="221"/>
    </w:pPr>
    <w:rPr>
      <w:rFonts w:ascii="ＭＳ 明朝" w:eastAsia="ＭＳ 明朝" w:hAnsi="ＭＳ 明朝" w:cs="ＭＳ 明朝"/>
      <w:b/>
    </w:rPr>
  </w:style>
  <w:style w:type="paragraph" w:customStyle="1" w:styleId="enf1">
    <w:name w:val="編（en）"/>
    <w:basedOn w:val="jaf1"/>
    <w:rsid w:val="00FC0F0C"/>
    <w:rPr>
      <w:rFonts w:ascii="Century" w:eastAsia="Century" w:hAnsi="Century" w:cs="Century"/>
    </w:rPr>
  </w:style>
  <w:style w:type="paragraph" w:customStyle="1" w:styleId="jaf2">
    <w:name w:val="節（ja）"/>
    <w:basedOn w:val="a"/>
    <w:rsid w:val="00FC0F0C"/>
    <w:pPr>
      <w:widowControl w:val="0"/>
      <w:ind w:left="1101" w:hanging="221"/>
    </w:pPr>
    <w:rPr>
      <w:rFonts w:ascii="ＭＳ 明朝" w:eastAsia="ＭＳ 明朝" w:hAnsi="ＭＳ 明朝" w:cs="ＭＳ 明朝"/>
      <w:b/>
    </w:rPr>
  </w:style>
  <w:style w:type="paragraph" w:customStyle="1" w:styleId="enf2">
    <w:name w:val="節（en）"/>
    <w:basedOn w:val="jaf2"/>
    <w:rsid w:val="00FC0F0C"/>
    <w:rPr>
      <w:rFonts w:ascii="Century" w:eastAsia="Century" w:hAnsi="Century" w:cs="Century"/>
    </w:rPr>
  </w:style>
  <w:style w:type="paragraph" w:customStyle="1" w:styleId="jaf3">
    <w:name w:val="条（ja）"/>
    <w:basedOn w:val="a"/>
    <w:rsid w:val="00FC0F0C"/>
    <w:pPr>
      <w:widowControl w:val="0"/>
      <w:ind w:left="219" w:hanging="219"/>
    </w:pPr>
    <w:rPr>
      <w:rFonts w:ascii="ＭＳ 明朝" w:eastAsia="ＭＳ 明朝" w:hAnsi="ＭＳ 明朝" w:cs="ＭＳ 明朝"/>
    </w:rPr>
  </w:style>
  <w:style w:type="paragraph" w:customStyle="1" w:styleId="enf3">
    <w:name w:val="条（en）"/>
    <w:basedOn w:val="jaf3"/>
    <w:rsid w:val="00FC0F0C"/>
    <w:rPr>
      <w:rFonts w:ascii="Century" w:eastAsia="Century" w:hAnsi="Century" w:cs="Century"/>
    </w:rPr>
  </w:style>
  <w:style w:type="paragraph" w:customStyle="1" w:styleId="jaf4">
    <w:name w:val="項（ja）"/>
    <w:basedOn w:val="a"/>
    <w:rsid w:val="00FC0F0C"/>
    <w:pPr>
      <w:widowControl w:val="0"/>
      <w:ind w:left="219" w:hanging="219"/>
    </w:pPr>
    <w:rPr>
      <w:rFonts w:ascii="ＭＳ 明朝" w:eastAsia="ＭＳ 明朝" w:hAnsi="ＭＳ 明朝" w:cs="ＭＳ 明朝"/>
    </w:rPr>
  </w:style>
  <w:style w:type="paragraph" w:customStyle="1" w:styleId="enf4">
    <w:name w:val="項（en）"/>
    <w:basedOn w:val="jaf4"/>
    <w:rsid w:val="00FC0F0C"/>
    <w:rPr>
      <w:rFonts w:ascii="Century" w:eastAsia="Century" w:hAnsi="Century" w:cs="Century"/>
    </w:rPr>
  </w:style>
  <w:style w:type="paragraph" w:customStyle="1" w:styleId="jaf5">
    <w:name w:val="項　番号なし（ja）"/>
    <w:basedOn w:val="a"/>
    <w:rsid w:val="00FC0F0C"/>
    <w:pPr>
      <w:widowControl w:val="0"/>
      <w:ind w:firstLine="221"/>
    </w:pPr>
    <w:rPr>
      <w:rFonts w:ascii="ＭＳ 明朝" w:eastAsia="ＭＳ 明朝" w:hAnsi="ＭＳ 明朝" w:cs="ＭＳ 明朝"/>
    </w:rPr>
  </w:style>
  <w:style w:type="paragraph" w:customStyle="1" w:styleId="enf5">
    <w:name w:val="項　番号なし（en）"/>
    <w:basedOn w:val="jaf5"/>
    <w:rsid w:val="00FC0F0C"/>
    <w:rPr>
      <w:rFonts w:ascii="Century" w:eastAsia="Century" w:hAnsi="Century" w:cs="Century"/>
    </w:rPr>
  </w:style>
  <w:style w:type="paragraph" w:customStyle="1" w:styleId="jaf6">
    <w:name w:val="号（ja）"/>
    <w:basedOn w:val="a"/>
    <w:rsid w:val="00FC0F0C"/>
    <w:pPr>
      <w:widowControl w:val="0"/>
      <w:ind w:left="439" w:hanging="219"/>
    </w:pPr>
    <w:rPr>
      <w:rFonts w:ascii="ＭＳ 明朝" w:eastAsia="ＭＳ 明朝" w:hAnsi="ＭＳ 明朝" w:cs="ＭＳ 明朝"/>
    </w:rPr>
  </w:style>
  <w:style w:type="paragraph" w:customStyle="1" w:styleId="enf6">
    <w:name w:val="号（en）"/>
    <w:basedOn w:val="jaf6"/>
    <w:rsid w:val="00FC0F0C"/>
    <w:rPr>
      <w:rFonts w:ascii="Century" w:eastAsia="Century" w:hAnsi="Century" w:cs="Century"/>
    </w:rPr>
  </w:style>
  <w:style w:type="paragraph" w:customStyle="1" w:styleId="jaf7">
    <w:name w:val="号　番号なし（ja）"/>
    <w:basedOn w:val="a"/>
    <w:rsid w:val="00FC0F0C"/>
    <w:pPr>
      <w:widowControl w:val="0"/>
      <w:ind w:left="221" w:firstLine="221"/>
    </w:pPr>
    <w:rPr>
      <w:rFonts w:ascii="ＭＳ 明朝" w:eastAsia="ＭＳ 明朝" w:hAnsi="ＭＳ 明朝" w:cs="ＭＳ 明朝"/>
    </w:rPr>
  </w:style>
  <w:style w:type="paragraph" w:customStyle="1" w:styleId="enf7">
    <w:name w:val="号　番号なし（en）"/>
    <w:basedOn w:val="jaf7"/>
    <w:rsid w:val="00FC0F0C"/>
    <w:rPr>
      <w:rFonts w:ascii="Century" w:eastAsia="Century" w:hAnsi="Century" w:cs="Century"/>
    </w:rPr>
  </w:style>
  <w:style w:type="paragraph" w:customStyle="1" w:styleId="jaf8">
    <w:name w:val="備考号（ja）"/>
    <w:basedOn w:val="a"/>
    <w:rsid w:val="00FC0F0C"/>
    <w:pPr>
      <w:widowControl w:val="0"/>
      <w:ind w:left="659" w:hanging="219"/>
    </w:pPr>
    <w:rPr>
      <w:rFonts w:ascii="ＭＳ 明朝" w:eastAsia="ＭＳ 明朝" w:hAnsi="ＭＳ 明朝" w:cs="ＭＳ 明朝"/>
    </w:rPr>
  </w:style>
  <w:style w:type="paragraph" w:customStyle="1" w:styleId="enf8">
    <w:name w:val="備考号（en）"/>
    <w:basedOn w:val="jaf8"/>
    <w:rsid w:val="00FC0F0C"/>
    <w:rPr>
      <w:rFonts w:ascii="Century" w:eastAsia="Century" w:hAnsi="Century" w:cs="Century"/>
    </w:rPr>
  </w:style>
  <w:style w:type="paragraph" w:customStyle="1" w:styleId="jaf9">
    <w:name w:val="号細分（ja）"/>
    <w:basedOn w:val="a"/>
    <w:rsid w:val="00FC0F0C"/>
    <w:pPr>
      <w:widowControl w:val="0"/>
      <w:ind w:left="659" w:hanging="219"/>
    </w:pPr>
    <w:rPr>
      <w:rFonts w:ascii="ＭＳ 明朝" w:eastAsia="ＭＳ 明朝" w:hAnsi="ＭＳ 明朝" w:cs="ＭＳ 明朝"/>
    </w:rPr>
  </w:style>
  <w:style w:type="paragraph" w:customStyle="1" w:styleId="enf9">
    <w:name w:val="号細分（en）"/>
    <w:basedOn w:val="jaf9"/>
    <w:rsid w:val="00FC0F0C"/>
    <w:rPr>
      <w:rFonts w:ascii="Century" w:eastAsia="Century" w:hAnsi="Century" w:cs="Century"/>
    </w:rPr>
  </w:style>
  <w:style w:type="paragraph" w:customStyle="1" w:styleId="jafa">
    <w:name w:val="号細分　番号なし（ja）"/>
    <w:basedOn w:val="a"/>
    <w:rsid w:val="00FC0F0C"/>
    <w:pPr>
      <w:widowControl w:val="0"/>
      <w:ind w:left="439"/>
    </w:pPr>
    <w:rPr>
      <w:rFonts w:ascii="ＭＳ 明朝" w:eastAsia="ＭＳ 明朝" w:hAnsi="ＭＳ 明朝" w:cs="ＭＳ 明朝"/>
    </w:rPr>
  </w:style>
  <w:style w:type="paragraph" w:customStyle="1" w:styleId="enfa">
    <w:name w:val="号細分　番号なし（en）"/>
    <w:basedOn w:val="jafa"/>
    <w:rsid w:val="00FC0F0C"/>
    <w:rPr>
      <w:rFonts w:ascii="Century" w:eastAsia="Century" w:hAnsi="Century" w:cs="Century"/>
    </w:rPr>
  </w:style>
  <w:style w:type="paragraph" w:customStyle="1" w:styleId="jafb">
    <w:name w:val="備考号細分（ja）"/>
    <w:basedOn w:val="a"/>
    <w:rsid w:val="00FC0F0C"/>
    <w:pPr>
      <w:widowControl w:val="0"/>
      <w:ind w:left="1099" w:hanging="439"/>
    </w:pPr>
    <w:rPr>
      <w:rFonts w:ascii="ＭＳ 明朝" w:eastAsia="ＭＳ 明朝" w:hAnsi="ＭＳ 明朝" w:cs="ＭＳ 明朝"/>
    </w:rPr>
  </w:style>
  <w:style w:type="paragraph" w:customStyle="1" w:styleId="enfb">
    <w:name w:val="備考号細分（en）"/>
    <w:basedOn w:val="jafb"/>
    <w:rsid w:val="00FC0F0C"/>
    <w:rPr>
      <w:rFonts w:ascii="Century" w:eastAsia="Century" w:hAnsi="Century" w:cs="Century"/>
    </w:rPr>
  </w:style>
  <w:style w:type="paragraph" w:customStyle="1" w:styleId="jafc">
    <w:name w:val="号細細分（ja）"/>
    <w:basedOn w:val="a"/>
    <w:rsid w:val="00FC0F0C"/>
    <w:pPr>
      <w:widowControl w:val="0"/>
      <w:ind w:left="1099" w:hanging="439"/>
    </w:pPr>
    <w:rPr>
      <w:rFonts w:ascii="ＭＳ 明朝" w:eastAsia="ＭＳ 明朝" w:hAnsi="ＭＳ 明朝" w:cs="ＭＳ 明朝"/>
    </w:rPr>
  </w:style>
  <w:style w:type="paragraph" w:customStyle="1" w:styleId="enfc">
    <w:name w:val="号細細分（en）"/>
    <w:basedOn w:val="jafc"/>
    <w:rsid w:val="00FC0F0C"/>
    <w:rPr>
      <w:rFonts w:ascii="Century" w:eastAsia="Century" w:hAnsi="Century" w:cs="Century"/>
    </w:rPr>
  </w:style>
  <w:style w:type="paragraph" w:customStyle="1" w:styleId="jafd">
    <w:name w:val="号細細分　番号なし（ja）"/>
    <w:basedOn w:val="a"/>
    <w:rsid w:val="00FC0F0C"/>
    <w:pPr>
      <w:widowControl w:val="0"/>
      <w:ind w:left="659"/>
    </w:pPr>
    <w:rPr>
      <w:rFonts w:ascii="ＭＳ 明朝" w:eastAsia="ＭＳ 明朝" w:hAnsi="ＭＳ 明朝" w:cs="ＭＳ 明朝"/>
    </w:rPr>
  </w:style>
  <w:style w:type="paragraph" w:customStyle="1" w:styleId="enfd">
    <w:name w:val="号細細分　番号なし（en）"/>
    <w:basedOn w:val="jafd"/>
    <w:rsid w:val="00FC0F0C"/>
    <w:rPr>
      <w:rFonts w:ascii="Century" w:eastAsia="Century" w:hAnsi="Century" w:cs="Century"/>
    </w:rPr>
  </w:style>
  <w:style w:type="paragraph" w:customStyle="1" w:styleId="jafe">
    <w:name w:val="備考号細細分（ja）"/>
    <w:basedOn w:val="a"/>
    <w:rsid w:val="00FC0F0C"/>
    <w:pPr>
      <w:widowControl w:val="0"/>
      <w:ind w:left="1319" w:hanging="439"/>
    </w:pPr>
    <w:rPr>
      <w:rFonts w:ascii="ＭＳ 明朝" w:eastAsia="ＭＳ 明朝" w:hAnsi="ＭＳ 明朝" w:cs="ＭＳ 明朝"/>
    </w:rPr>
  </w:style>
  <w:style w:type="paragraph" w:customStyle="1" w:styleId="enfe">
    <w:name w:val="備考号細細分（en）"/>
    <w:basedOn w:val="jafe"/>
    <w:rsid w:val="00FC0F0C"/>
    <w:rPr>
      <w:rFonts w:ascii="Century" w:eastAsia="Century" w:hAnsi="Century" w:cs="Century"/>
    </w:rPr>
  </w:style>
  <w:style w:type="paragraph" w:customStyle="1" w:styleId="jaff">
    <w:name w:val="号細細細分（ja）"/>
    <w:basedOn w:val="a"/>
    <w:rsid w:val="00FC0F0C"/>
    <w:pPr>
      <w:widowControl w:val="0"/>
      <w:ind w:left="1319" w:hanging="439"/>
    </w:pPr>
    <w:rPr>
      <w:rFonts w:ascii="ＭＳ 明朝" w:eastAsia="ＭＳ 明朝" w:hAnsi="ＭＳ 明朝" w:cs="ＭＳ 明朝"/>
    </w:rPr>
  </w:style>
  <w:style w:type="paragraph" w:customStyle="1" w:styleId="enff">
    <w:name w:val="号細細細分（en）"/>
    <w:basedOn w:val="jaff"/>
    <w:rsid w:val="00FC0F0C"/>
    <w:rPr>
      <w:rFonts w:ascii="Century" w:eastAsia="Century" w:hAnsi="Century" w:cs="Century"/>
    </w:rPr>
  </w:style>
  <w:style w:type="paragraph" w:customStyle="1" w:styleId="jaff0">
    <w:name w:val="号細細細分　番号なし（ja）"/>
    <w:basedOn w:val="a"/>
    <w:rsid w:val="00FC0F0C"/>
    <w:pPr>
      <w:widowControl w:val="0"/>
      <w:ind w:left="879"/>
    </w:pPr>
    <w:rPr>
      <w:rFonts w:ascii="ＭＳ 明朝" w:eastAsia="ＭＳ 明朝" w:hAnsi="ＭＳ 明朝" w:cs="ＭＳ 明朝"/>
    </w:rPr>
  </w:style>
  <w:style w:type="paragraph" w:customStyle="1" w:styleId="enff0">
    <w:name w:val="号細細細分　番号なし（en）"/>
    <w:basedOn w:val="jaff0"/>
    <w:rsid w:val="00FC0F0C"/>
    <w:rPr>
      <w:rFonts w:ascii="Century" w:eastAsia="Century" w:hAnsi="Century" w:cs="Century"/>
    </w:rPr>
  </w:style>
  <w:style w:type="paragraph" w:customStyle="1" w:styleId="jaff1">
    <w:name w:val="備考号細細細分（ja）"/>
    <w:basedOn w:val="a"/>
    <w:rsid w:val="00FC0F0C"/>
    <w:pPr>
      <w:widowControl w:val="0"/>
      <w:ind w:left="1539" w:hanging="439"/>
    </w:pPr>
    <w:rPr>
      <w:rFonts w:ascii="ＭＳ 明朝" w:eastAsia="ＭＳ 明朝" w:hAnsi="ＭＳ 明朝" w:cs="ＭＳ 明朝"/>
    </w:rPr>
  </w:style>
  <w:style w:type="paragraph" w:customStyle="1" w:styleId="enff1">
    <w:name w:val="備考号細細細分（en）"/>
    <w:basedOn w:val="jaff1"/>
    <w:rsid w:val="00FC0F0C"/>
    <w:rPr>
      <w:rFonts w:ascii="Century" w:eastAsia="Century" w:hAnsi="Century" w:cs="Century"/>
    </w:rPr>
  </w:style>
  <w:style w:type="paragraph" w:customStyle="1" w:styleId="jaff2">
    <w:name w:val="類（ja）"/>
    <w:basedOn w:val="a"/>
    <w:rsid w:val="00FC0F0C"/>
    <w:pPr>
      <w:widowControl w:val="0"/>
      <w:ind w:left="439" w:hanging="219"/>
    </w:pPr>
    <w:rPr>
      <w:rFonts w:ascii="ＭＳ 明朝" w:eastAsia="ＭＳ 明朝" w:hAnsi="ＭＳ 明朝" w:cs="ＭＳ 明朝"/>
    </w:rPr>
  </w:style>
  <w:style w:type="paragraph" w:customStyle="1" w:styleId="enff2">
    <w:name w:val="類（en）"/>
    <w:basedOn w:val="jaff2"/>
    <w:rsid w:val="00FC0F0C"/>
    <w:rPr>
      <w:rFonts w:ascii="Century" w:eastAsia="Century" w:hAnsi="Century" w:cs="Century"/>
    </w:rPr>
  </w:style>
  <w:style w:type="paragraph" w:customStyle="1" w:styleId="jaff3">
    <w:name w:val="公布文（ja）"/>
    <w:basedOn w:val="a"/>
    <w:rsid w:val="00FC0F0C"/>
    <w:pPr>
      <w:widowControl w:val="0"/>
      <w:ind w:firstLine="219"/>
    </w:pPr>
    <w:rPr>
      <w:rFonts w:ascii="ＭＳ 明朝" w:eastAsia="ＭＳ 明朝" w:hAnsi="ＭＳ 明朝" w:cs="ＭＳ 明朝"/>
    </w:rPr>
  </w:style>
  <w:style w:type="paragraph" w:customStyle="1" w:styleId="enff3">
    <w:name w:val="公布文（en）"/>
    <w:basedOn w:val="jaff3"/>
    <w:rsid w:val="00FC0F0C"/>
    <w:rPr>
      <w:rFonts w:ascii="Century" w:eastAsia="Century" w:hAnsi="Century" w:cs="Century"/>
    </w:rPr>
  </w:style>
  <w:style w:type="paragraph" w:customStyle="1" w:styleId="jaen">
    <w:name w:val="表（ja：en）"/>
    <w:basedOn w:val="a"/>
    <w:rsid w:val="00FC0F0C"/>
    <w:pPr>
      <w:widowControl w:val="0"/>
      <w:snapToGrid w:val="0"/>
    </w:pPr>
    <w:rPr>
      <w:rFonts w:ascii="Century" w:eastAsia="ＭＳ 明朝" w:hAnsi="Century"/>
    </w:rPr>
  </w:style>
  <w:style w:type="paragraph" w:customStyle="1" w:styleId="jaff4">
    <w:name w:val="備考（ja）"/>
    <w:basedOn w:val="a"/>
    <w:rsid w:val="00FC0F0C"/>
    <w:pPr>
      <w:widowControl w:val="0"/>
      <w:ind w:left="439" w:hanging="219"/>
    </w:pPr>
    <w:rPr>
      <w:rFonts w:ascii="ＭＳ 明朝" w:eastAsia="ＭＳ 明朝" w:hAnsi="ＭＳ 明朝" w:cs="ＭＳ 明朝"/>
    </w:rPr>
  </w:style>
  <w:style w:type="paragraph" w:customStyle="1" w:styleId="enff4">
    <w:name w:val="備考（en）"/>
    <w:basedOn w:val="jaff4"/>
    <w:rsid w:val="00FC0F0C"/>
    <w:rPr>
      <w:rFonts w:ascii="Century" w:eastAsia="Century" w:hAnsi="Century" w:cs="Century"/>
    </w:rPr>
  </w:style>
  <w:style w:type="paragraph" w:customStyle="1" w:styleId="jaff5">
    <w:name w:val="表タイトル（ja）"/>
    <w:basedOn w:val="a"/>
    <w:rsid w:val="00FC0F0C"/>
    <w:pPr>
      <w:widowControl w:val="0"/>
      <w:ind w:left="219"/>
    </w:pPr>
    <w:rPr>
      <w:rFonts w:ascii="ＭＳ 明朝" w:eastAsia="ＭＳ 明朝" w:hAnsi="ＭＳ 明朝" w:cs="ＭＳ 明朝"/>
    </w:rPr>
  </w:style>
  <w:style w:type="paragraph" w:customStyle="1" w:styleId="enff5">
    <w:name w:val="表タイトル（en）"/>
    <w:basedOn w:val="jaff5"/>
    <w:rsid w:val="00FC0F0C"/>
    <w:rPr>
      <w:rFonts w:ascii="Century" w:eastAsia="Century" w:hAnsi="Century" w:cs="Century"/>
    </w:rPr>
  </w:style>
  <w:style w:type="paragraph" w:customStyle="1" w:styleId="jaff6">
    <w:name w:val="改正規定文（ja）"/>
    <w:basedOn w:val="a"/>
    <w:rsid w:val="00FC0F0C"/>
    <w:pPr>
      <w:widowControl w:val="0"/>
      <w:ind w:left="219" w:firstLine="219"/>
    </w:pPr>
    <w:rPr>
      <w:rFonts w:ascii="ＭＳ 明朝" w:eastAsia="ＭＳ 明朝" w:hAnsi="ＭＳ 明朝" w:cs="ＭＳ 明朝"/>
    </w:rPr>
  </w:style>
  <w:style w:type="paragraph" w:customStyle="1" w:styleId="enff6">
    <w:name w:val="改正規定文（en）"/>
    <w:basedOn w:val="jaff6"/>
    <w:rsid w:val="00FC0F0C"/>
    <w:rPr>
      <w:rFonts w:ascii="Century" w:eastAsia="Century" w:hAnsi="Century" w:cs="Century"/>
    </w:rPr>
  </w:style>
  <w:style w:type="paragraph" w:customStyle="1" w:styleId="jaff7">
    <w:name w:val="付記（ja）"/>
    <w:basedOn w:val="a"/>
    <w:rsid w:val="00FC0F0C"/>
    <w:pPr>
      <w:widowControl w:val="0"/>
      <w:ind w:left="219" w:firstLine="219"/>
    </w:pPr>
    <w:rPr>
      <w:rFonts w:ascii="ＭＳ 明朝" w:eastAsia="ＭＳ 明朝" w:hAnsi="ＭＳ 明朝" w:cs="ＭＳ 明朝"/>
    </w:rPr>
  </w:style>
  <w:style w:type="paragraph" w:customStyle="1" w:styleId="enff7">
    <w:name w:val="付記（en）"/>
    <w:basedOn w:val="jaff7"/>
    <w:rsid w:val="00FC0F0C"/>
    <w:rPr>
      <w:rFonts w:ascii="Century" w:eastAsia="Century" w:hAnsi="Century" w:cs="Century"/>
    </w:rPr>
  </w:style>
  <w:style w:type="paragraph" w:customStyle="1" w:styleId="jaff8">
    <w:name w:val="様式名（ja）"/>
    <w:basedOn w:val="a"/>
    <w:rsid w:val="00FC0F0C"/>
    <w:pPr>
      <w:widowControl w:val="0"/>
      <w:ind w:left="439" w:hanging="219"/>
    </w:pPr>
    <w:rPr>
      <w:rFonts w:ascii="ＭＳ 明朝" w:eastAsia="ＭＳ 明朝" w:hAnsi="ＭＳ 明朝" w:cs="ＭＳ 明朝"/>
    </w:rPr>
  </w:style>
  <w:style w:type="paragraph" w:customStyle="1" w:styleId="enff8">
    <w:name w:val="様式名（en）"/>
    <w:basedOn w:val="jaff8"/>
    <w:rsid w:val="00FC0F0C"/>
    <w:rPr>
      <w:rFonts w:ascii="Century" w:eastAsia="Century" w:hAnsi="Century" w:cs="Century"/>
    </w:rPr>
  </w:style>
  <w:style w:type="paragraph" w:customStyle="1" w:styleId="jaff9">
    <w:name w:val="様式項目（ja）"/>
    <w:basedOn w:val="a"/>
    <w:rsid w:val="00FC0F0C"/>
    <w:pPr>
      <w:widowControl w:val="0"/>
      <w:ind w:left="221" w:firstLine="221"/>
    </w:pPr>
    <w:rPr>
      <w:rFonts w:ascii="ＭＳ 明朝" w:eastAsia="ＭＳ 明朝" w:hAnsi="ＭＳ 明朝" w:cs="ＭＳ 明朝"/>
    </w:rPr>
  </w:style>
  <w:style w:type="paragraph" w:customStyle="1" w:styleId="enff9">
    <w:name w:val="様式項目（en）"/>
    <w:basedOn w:val="jaff9"/>
    <w:rsid w:val="00FC0F0C"/>
    <w:rPr>
      <w:rFonts w:ascii="Century" w:eastAsia="Century" w:hAnsi="Century" w:cs="Century"/>
    </w:rPr>
  </w:style>
  <w:style w:type="table" w:customStyle="1" w:styleId="1">
    <w:name w:val="表1"/>
    <w:rsid w:val="00FC0F0C"/>
    <w:tblPr>
      <w:tblInd w:w="340" w:type="dxa"/>
      <w:tblCellMar>
        <w:top w:w="0" w:type="dxa"/>
        <w:left w:w="0" w:type="dxa"/>
        <w:bottom w:w="0" w:type="dxa"/>
        <w:right w:w="0" w:type="dxa"/>
      </w:tblCellMar>
    </w:tblPr>
  </w:style>
  <w:style w:type="numbering" w:customStyle="1" w:styleId="WW8Num1">
    <w:name w:val="WW8Num1"/>
    <w:rsid w:val="00FC0F0C"/>
    <w:pPr>
      <w:numPr>
        <w:numId w:val="2"/>
      </w:numPr>
    </w:pPr>
  </w:style>
  <w:style w:type="numbering" w:customStyle="1" w:styleId="WW8Num2">
    <w:name w:val="WW8Num2"/>
    <w:rsid w:val="00FC0F0C"/>
    <w:pPr>
      <w:numPr>
        <w:numId w:val="3"/>
      </w:numPr>
    </w:pPr>
  </w:style>
  <w:style w:type="numbering" w:customStyle="1" w:styleId="WW8Num3">
    <w:name w:val="WW8Num3"/>
    <w:rsid w:val="00FC0F0C"/>
    <w:pPr>
      <w:numPr>
        <w:numId w:val="4"/>
      </w:numPr>
    </w:pPr>
  </w:style>
  <w:style w:type="numbering" w:customStyle="1" w:styleId="WW8Num4">
    <w:name w:val="WW8Num4"/>
    <w:rsid w:val="00FC0F0C"/>
    <w:pPr>
      <w:numPr>
        <w:numId w:val="5"/>
      </w:numPr>
    </w:pPr>
  </w:style>
  <w:style w:type="numbering" w:customStyle="1" w:styleId="WW8Num5">
    <w:name w:val="WW8Num5"/>
    <w:rsid w:val="00FC0F0C"/>
    <w:pPr>
      <w:numPr>
        <w:numId w:val="6"/>
      </w:numPr>
    </w:pPr>
  </w:style>
  <w:style w:type="numbering" w:customStyle="1" w:styleId="WW8Num6">
    <w:name w:val="WW8Num6"/>
    <w:rsid w:val="00FC0F0C"/>
    <w:pPr>
      <w:numPr>
        <w:numId w:val="7"/>
      </w:numPr>
    </w:pPr>
  </w:style>
  <w:style w:type="numbering" w:customStyle="1" w:styleId="WW8Num7">
    <w:name w:val="WW8Num7"/>
    <w:rsid w:val="00FC0F0C"/>
    <w:pPr>
      <w:numPr>
        <w:numId w:val="8"/>
      </w:numPr>
    </w:pPr>
  </w:style>
  <w:style w:type="numbering" w:customStyle="1" w:styleId="WW8Num8">
    <w:name w:val="WW8Num8"/>
    <w:rsid w:val="00FC0F0C"/>
    <w:pPr>
      <w:numPr>
        <w:numId w:val="9"/>
      </w:numPr>
    </w:pPr>
  </w:style>
  <w:style w:type="numbering" w:customStyle="1" w:styleId="WW8Num9">
    <w:name w:val="WW8Num9"/>
    <w:rsid w:val="00FC0F0C"/>
    <w:pPr>
      <w:numPr>
        <w:numId w:val="10"/>
      </w:numPr>
    </w:pPr>
  </w:style>
  <w:style w:type="numbering" w:customStyle="1" w:styleId="WW8Num10">
    <w:name w:val="WW8Num10"/>
    <w:rsid w:val="00FC0F0C"/>
    <w:pPr>
      <w:numPr>
        <w:numId w:val="11"/>
      </w:numPr>
    </w:pPr>
  </w:style>
  <w:style w:type="numbering" w:customStyle="1" w:styleId="WW8Num11">
    <w:name w:val="WW8Num11"/>
    <w:rsid w:val="00FC0F0C"/>
    <w:pPr>
      <w:numPr>
        <w:numId w:val="12"/>
      </w:numPr>
    </w:pPr>
  </w:style>
  <w:style w:type="numbering" w:customStyle="1" w:styleId="WW8Num12">
    <w:name w:val="WW8Num12"/>
    <w:rsid w:val="00FC0F0C"/>
    <w:pPr>
      <w:numPr>
        <w:numId w:val="13"/>
      </w:numPr>
    </w:pPr>
  </w:style>
  <w:style w:type="paragraph" w:styleId="a4">
    <w:name w:val="header"/>
    <w:basedOn w:val="a"/>
    <w:link w:val="a5"/>
    <w:uiPriority w:val="99"/>
    <w:unhideWhenUsed/>
    <w:rsid w:val="00250483"/>
    <w:pPr>
      <w:tabs>
        <w:tab w:val="center" w:pos="4252"/>
        <w:tab w:val="right" w:pos="8504"/>
      </w:tabs>
      <w:snapToGrid w:val="0"/>
    </w:pPr>
  </w:style>
  <w:style w:type="character" w:customStyle="1" w:styleId="a5">
    <w:name w:val="ヘッダー (文字)"/>
    <w:basedOn w:val="a0"/>
    <w:link w:val="a4"/>
    <w:uiPriority w:val="99"/>
    <w:rsid w:val="0025048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2022-01-04T14:08:00Z</dcterms:created>
  <dcterms:modified xsi:type="dcterms:W3CDTF">2022-01-04T14:08:00Z</dcterms:modified>
</cp:coreProperties>
</file>