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F2079" w:rsidRDefault="008D4B24">
      <w:pPr>
        <w:pStyle w:val="ja"/>
      </w:pPr>
      <w:r>
        <w:t>会社法施行令</w:t>
      </w:r>
    </w:p>
    <w:p w:rsidR="008F2079" w:rsidRDefault="008D4B24">
      <w:pPr>
        <w:pStyle w:val="en"/>
      </w:pPr>
      <w:r>
        <w:t>Enforcement Order of the Companies Act</w:t>
      </w:r>
    </w:p>
    <w:p w:rsidR="008F2079" w:rsidRDefault="008F2079"/>
    <w:p w:rsidR="008F2079" w:rsidRDefault="008D4B24">
      <w:pPr>
        <w:pStyle w:val="jaf"/>
      </w:pPr>
      <w:r>
        <w:t>（平成十七年十二月十四日政令第三百六十四号）</w:t>
      </w:r>
    </w:p>
    <w:p w:rsidR="008F2079" w:rsidRDefault="008D4B24">
      <w:pPr>
        <w:pStyle w:val="enf"/>
      </w:pPr>
      <w:r>
        <w:t>(Cabinet Order No. 364 of December 14, 2005)</w:t>
      </w:r>
    </w:p>
    <w:p w:rsidR="008F2079" w:rsidRDefault="008F2079"/>
    <w:p w:rsidR="008F2079" w:rsidRDefault="008D4B24">
      <w:pPr>
        <w:pStyle w:val="jae"/>
      </w:pPr>
      <w:r>
        <w:t>内閣は、会社法（平成十七年法律第八十六号）の規定に基づき、この政令を制定する。</w:t>
      </w:r>
    </w:p>
    <w:p w:rsidR="008F2079" w:rsidRDefault="008D4B24">
      <w:pPr>
        <w:pStyle w:val="ene"/>
      </w:pPr>
      <w:r>
        <w:t xml:space="preserve">The Cabinet hereby enacts this Cabinet Order pursuant to the provisions of the Companies Act </w:t>
      </w:r>
      <w:r>
        <w:t>(Act No. 86 of 2005).</w:t>
      </w:r>
    </w:p>
    <w:p w:rsidR="008F2079" w:rsidRDefault="008F2079"/>
    <w:p w:rsidR="008F2079" w:rsidRDefault="008D4B24">
      <w:pPr>
        <w:pStyle w:val="jaa"/>
      </w:pPr>
      <w:r>
        <w:t>（書面に記載すべき事項等の電磁的方法による提供の承諾等）</w:t>
      </w:r>
    </w:p>
    <w:p w:rsidR="008F2079" w:rsidRDefault="008D4B24">
      <w:pPr>
        <w:pStyle w:val="ena"/>
      </w:pPr>
      <w:r>
        <w:t>(Consent to the Provision of Matters to Be Stated in Documents by Electronic or Magnetic Means)</w:t>
      </w:r>
    </w:p>
    <w:p w:rsidR="008F2079" w:rsidRDefault="008D4B24">
      <w:pPr>
        <w:pStyle w:val="jaf3"/>
      </w:pPr>
      <w:r>
        <w:t>第一条　次に掲げる規定に規定する事項を電磁的方法（会社法（以下「法」という。）第二条第三十四号に規定する電磁的方法をいう。以下同じ。）により提供しようとする者（次項において「提供者」という。）は、法務省令で定めるとこ</w:t>
      </w:r>
      <w:r>
        <w:t>ろにより、あらかじめ、当該事項の提供の相手方に対し、その用いる電磁的方法の種類及び内容を示し、書面又は電磁的方法による承諾を得なければならない。</w:t>
      </w:r>
    </w:p>
    <w:p w:rsidR="008F2079" w:rsidRDefault="008D4B24">
      <w:pPr>
        <w:pStyle w:val="enf3"/>
      </w:pPr>
      <w:r>
        <w:t xml:space="preserve">Article 1  (1) A person (referred to as the "provider" in the following paragraph) who seeks to provide the matters listed in the following provisions by electronic or magnetic means </w:t>
      </w:r>
      <w:r>
        <w:t>(meaning the electronic or magnetic means prescribed in Article 2, item (xxxiv) of the Companies Act (hereinafter referred to as the "Act"); the same applies hereinafter) must, as provided by Order of the Ministry of Justice, indicate to the recipient of t</w:t>
      </w:r>
      <w:r>
        <w:t>he matters the type and details of the electronic or magnetic means used, and obtain their consent in writing or by electronic or magnetic means in advance:</w:t>
      </w:r>
    </w:p>
    <w:p w:rsidR="008F2079" w:rsidRDefault="008D4B24">
      <w:pPr>
        <w:pStyle w:val="jaf6"/>
      </w:pPr>
      <w:r>
        <w:t>一　法第五十九条第四項</w:t>
      </w:r>
    </w:p>
    <w:p w:rsidR="008F2079" w:rsidRDefault="008D4B24">
      <w:pPr>
        <w:pStyle w:val="enf6"/>
      </w:pPr>
      <w:r>
        <w:t>(i) Article 59, paragraph (4) of the Act;</w:t>
      </w:r>
    </w:p>
    <w:p w:rsidR="008F2079" w:rsidRDefault="008D4B24">
      <w:pPr>
        <w:pStyle w:val="jaf6"/>
      </w:pPr>
      <w:r>
        <w:t>二　法第七十四条第三項（法第八十六条において準用する場合を含む。）</w:t>
      </w:r>
    </w:p>
    <w:p w:rsidR="008F2079" w:rsidRDefault="008D4B24">
      <w:pPr>
        <w:pStyle w:val="enf6"/>
      </w:pPr>
      <w:r>
        <w:t>(ii) Articl</w:t>
      </w:r>
      <w:r>
        <w:t>e 74, paragraph (3) of the Act (including as applied mutatis mutandis pursuant to Article 86 of the Act);</w:t>
      </w:r>
    </w:p>
    <w:p w:rsidR="008F2079" w:rsidRDefault="008D4B24">
      <w:pPr>
        <w:pStyle w:val="jaf6"/>
      </w:pPr>
      <w:r>
        <w:t>三　法第七十六条第一項（法第八十六条において準用する場合を含む。）</w:t>
      </w:r>
    </w:p>
    <w:p w:rsidR="008F2079" w:rsidRDefault="008D4B24">
      <w:pPr>
        <w:pStyle w:val="enf6"/>
      </w:pPr>
      <w:r>
        <w:t>(iii) Article 76, paragraph (1) of the Act (including as applied mutatis mutandis pursuant to Article 86 of the Act)</w:t>
      </w:r>
      <w:r>
        <w:t>;</w:t>
      </w:r>
    </w:p>
    <w:p w:rsidR="008F2079" w:rsidRDefault="008D4B24">
      <w:pPr>
        <w:pStyle w:val="jaf6"/>
      </w:pPr>
      <w:r>
        <w:t>四　法第二百三条第三項</w:t>
      </w:r>
    </w:p>
    <w:p w:rsidR="008F2079" w:rsidRDefault="008D4B24">
      <w:pPr>
        <w:pStyle w:val="enf6"/>
      </w:pPr>
      <w:r>
        <w:t>(iv) Article 203, paragraph (3) of the Act;</w:t>
      </w:r>
    </w:p>
    <w:p w:rsidR="008F2079" w:rsidRDefault="008D4B24">
      <w:pPr>
        <w:pStyle w:val="jaf6"/>
      </w:pPr>
      <w:r>
        <w:t>五　法第二百四十二条第三項</w:t>
      </w:r>
    </w:p>
    <w:p w:rsidR="008F2079" w:rsidRDefault="008D4B24">
      <w:pPr>
        <w:pStyle w:val="enf6"/>
      </w:pPr>
      <w:r>
        <w:t>(v) Article 242, paragraph (3) of the Act;</w:t>
      </w:r>
    </w:p>
    <w:p w:rsidR="008F2079" w:rsidRDefault="008D4B24">
      <w:pPr>
        <w:pStyle w:val="jaf6"/>
      </w:pPr>
      <w:r>
        <w:t>六　法第三百十条第三項（法第三百二十五条において準用する場合を含む。）</w:t>
      </w:r>
    </w:p>
    <w:p w:rsidR="008F2079" w:rsidRDefault="008D4B24">
      <w:pPr>
        <w:pStyle w:val="enf6"/>
      </w:pPr>
      <w:r>
        <w:t xml:space="preserve">(vi) Article 310, paragraph (3) of the Act (including as applied mutatis </w:t>
      </w:r>
      <w:r>
        <w:lastRenderedPageBreak/>
        <w:t>mutandis pursuant to Article 325</w:t>
      </w:r>
      <w:r>
        <w:t xml:space="preserve"> of the Act);</w:t>
      </w:r>
    </w:p>
    <w:p w:rsidR="008F2079" w:rsidRDefault="008D4B24">
      <w:pPr>
        <w:pStyle w:val="jaf6"/>
      </w:pPr>
      <w:r>
        <w:t>七　法第三百十二条第一項（法第三百二十五条において準用する場合を含む。）</w:t>
      </w:r>
    </w:p>
    <w:p w:rsidR="008F2079" w:rsidRDefault="008D4B24">
      <w:pPr>
        <w:pStyle w:val="enf6"/>
      </w:pPr>
      <w:r>
        <w:t>(vii) Article 312, paragraph (1) of the Act (including as applied mutatis mutandis pursuant to Article 325 of the Act);</w:t>
      </w:r>
    </w:p>
    <w:p w:rsidR="008F2079" w:rsidRDefault="008D4B24">
      <w:pPr>
        <w:pStyle w:val="jaf6"/>
      </w:pPr>
      <w:r>
        <w:t>八　法第五百五十五条第三項（法第八百二十二条第三項において準用する場合を含む。）</w:t>
      </w:r>
    </w:p>
    <w:p w:rsidR="008F2079" w:rsidRDefault="008D4B24">
      <w:pPr>
        <w:pStyle w:val="enf6"/>
      </w:pPr>
      <w:r>
        <w:t xml:space="preserve">(viii) Article 555, paragraph (3) of the </w:t>
      </w:r>
      <w:r>
        <w:t>Act (including as applied mutatis mutandis pursuant to Article 822, paragraph (3) of the Act);</w:t>
      </w:r>
    </w:p>
    <w:p w:rsidR="008F2079" w:rsidRDefault="008D4B24">
      <w:pPr>
        <w:pStyle w:val="jaf6"/>
      </w:pPr>
      <w:r>
        <w:t>九　法第五百五十七条第一項（法第八百二十二条第三項において準用する場合を含む。）</w:t>
      </w:r>
    </w:p>
    <w:p w:rsidR="008F2079" w:rsidRDefault="008D4B24">
      <w:pPr>
        <w:pStyle w:val="enf6"/>
      </w:pPr>
      <w:r>
        <w:t>(ix) Article 557, paragraph (1) of the Act (including as applied mutatis mutandis pursuant to Article 822, paragraph (3)</w:t>
      </w:r>
      <w:r>
        <w:t xml:space="preserve"> of the Act);</w:t>
      </w:r>
    </w:p>
    <w:p w:rsidR="008F2079" w:rsidRDefault="008D4B24">
      <w:pPr>
        <w:pStyle w:val="jaf6"/>
      </w:pPr>
      <w:r>
        <w:t>十　法第六百七十七条第三項</w:t>
      </w:r>
    </w:p>
    <w:p w:rsidR="008F2079" w:rsidRDefault="008D4B24">
      <w:pPr>
        <w:pStyle w:val="enf6"/>
      </w:pPr>
      <w:r>
        <w:t>(x) Article 677, paragraph (3) of the Act;</w:t>
      </w:r>
    </w:p>
    <w:p w:rsidR="008F2079" w:rsidRDefault="008D4B24">
      <w:pPr>
        <w:pStyle w:val="jaf6"/>
      </w:pPr>
      <w:r>
        <w:t>十一　法第七百二十一条第四項</w:t>
      </w:r>
    </w:p>
    <w:p w:rsidR="008F2079" w:rsidRDefault="008D4B24">
      <w:pPr>
        <w:pStyle w:val="enf6"/>
      </w:pPr>
      <w:r>
        <w:t>(xi) Article 721, paragraph (4) of the Act;</w:t>
      </w:r>
    </w:p>
    <w:p w:rsidR="008F2079" w:rsidRDefault="008D4B24">
      <w:pPr>
        <w:pStyle w:val="jaf6"/>
      </w:pPr>
      <w:r>
        <w:t>十二　法第七百二十五条第三項</w:t>
      </w:r>
    </w:p>
    <w:p w:rsidR="008F2079" w:rsidRDefault="008D4B24">
      <w:pPr>
        <w:pStyle w:val="enf6"/>
      </w:pPr>
      <w:r>
        <w:t>(xii) Article 725, paragraph (3) of the Act;</w:t>
      </w:r>
    </w:p>
    <w:p w:rsidR="008F2079" w:rsidRDefault="008D4B24">
      <w:pPr>
        <w:pStyle w:val="jaf6"/>
      </w:pPr>
      <w:r>
        <w:t>十三　法第七百二十七条第一項</w:t>
      </w:r>
    </w:p>
    <w:p w:rsidR="008F2079" w:rsidRDefault="008D4B24">
      <w:pPr>
        <w:pStyle w:val="enf6"/>
      </w:pPr>
      <w:r>
        <w:t>(xiii) Article 727, paragraph (1) of the Act; and</w:t>
      </w:r>
    </w:p>
    <w:p w:rsidR="008F2079" w:rsidRDefault="008D4B24">
      <w:pPr>
        <w:pStyle w:val="jaf6"/>
      </w:pPr>
      <w:r>
        <w:t>十</w:t>
      </w:r>
      <w:r>
        <w:t>四　法第七百三十九条第二項</w:t>
      </w:r>
    </w:p>
    <w:p w:rsidR="008F2079" w:rsidRDefault="008D4B24">
      <w:pPr>
        <w:pStyle w:val="enf6"/>
      </w:pPr>
      <w:r>
        <w:t>(xiv) Article 739, paragraph (2) of the Act.</w:t>
      </w:r>
    </w:p>
    <w:p w:rsidR="008F2079" w:rsidRDefault="008D4B24">
      <w:pPr>
        <w:pStyle w:val="jaf4"/>
      </w:pPr>
      <w:r>
        <w:t>２　前項の規定による承諾を得た提供者は、同項の相手方から書面又は電磁的方法により電磁的方法による事項の提供を受けない旨の申出があったときは、当該相手方に対し、当該事項の提供を電磁的方法によってしてはならない。ただし、当該相手方が再び同項の規定による承諾をした場合は、この限りでない。</w:t>
      </w:r>
    </w:p>
    <w:p w:rsidR="008F2079" w:rsidRDefault="008D4B24">
      <w:pPr>
        <w:pStyle w:val="enf4"/>
      </w:pPr>
      <w:r>
        <w:t>(2) The provider who has obtained consent pursuant to t</w:t>
      </w:r>
      <w:r>
        <w:t>he provisions of the preceding paragraph may not provide the relevant matters to the recipient set forth in the same paragraph by electronic or magnetic means if the recipient has indicated in writing or by electronic or magnetic means to the effect that t</w:t>
      </w:r>
      <w:r>
        <w:t>hey are not to be provided with the matters by electronic or magnetic means; provided, however, that this does not apply in the case where the recipient gives consent pursuant to the provisions of that paragraph again.</w:t>
      </w:r>
    </w:p>
    <w:p w:rsidR="008F2079" w:rsidRDefault="008F2079"/>
    <w:p w:rsidR="008F2079" w:rsidRDefault="008D4B24">
      <w:pPr>
        <w:pStyle w:val="jaa"/>
      </w:pPr>
      <w:r>
        <w:t>（電磁的方法による通知の承諾等）</w:t>
      </w:r>
    </w:p>
    <w:p w:rsidR="008F2079" w:rsidRDefault="008D4B24">
      <w:pPr>
        <w:pStyle w:val="ena"/>
      </w:pPr>
      <w:r>
        <w:t>(Consent to the Not</w:t>
      </w:r>
      <w:r>
        <w:t>ice by Electronic or Magnetic Means)</w:t>
      </w:r>
    </w:p>
    <w:p w:rsidR="008F2079" w:rsidRDefault="008D4B24">
      <w:pPr>
        <w:pStyle w:val="jaf3"/>
      </w:pPr>
      <w:r>
        <w:t>第二条　次に掲げる規定により電磁的方法により通知を発しようとする者（次項において「通知発出者」という。）は、法務省令で定めるところにより、あらかじめ、当該通知の相手方に対し、その用いる電磁的方法の種類及び内容を示し、書面又は電磁的方法による承諾を得なければならない。</w:t>
      </w:r>
    </w:p>
    <w:p w:rsidR="008F2079" w:rsidRDefault="008D4B24">
      <w:pPr>
        <w:pStyle w:val="enf3"/>
      </w:pPr>
      <w:r>
        <w:t xml:space="preserve">Article 2  (1) A person who seeks to issue a notice by electronic or magnetic </w:t>
      </w:r>
      <w:r>
        <w:lastRenderedPageBreak/>
        <w:t>means p</w:t>
      </w:r>
      <w:r>
        <w:t>ursuant to the following provisions (referred to as the "notice issuer" in the following paragraph), as provided by Order of the Ministry of Justice, must indicate to the recipient of the notice the type and details of electronic or magnetic means used, an</w:t>
      </w:r>
      <w:r>
        <w:t>d obtain their consent in writing or by electronic or magnetic means in advance:</w:t>
      </w:r>
    </w:p>
    <w:p w:rsidR="008F2079" w:rsidRDefault="008D4B24">
      <w:pPr>
        <w:pStyle w:val="jaf6"/>
      </w:pPr>
      <w:r>
        <w:t>一　法第六十八条第三項（法第八十六条において準用する場合を含む。）</w:t>
      </w:r>
    </w:p>
    <w:p w:rsidR="008F2079" w:rsidRDefault="008D4B24">
      <w:pPr>
        <w:pStyle w:val="enf6"/>
      </w:pPr>
      <w:r>
        <w:t>(i) Article 68, paragraph (3) of the Act (including as applied mutatis mutandis pursuant to Article 86 of the Act);</w:t>
      </w:r>
    </w:p>
    <w:p w:rsidR="008F2079" w:rsidRDefault="008D4B24">
      <w:pPr>
        <w:pStyle w:val="jaf6"/>
      </w:pPr>
      <w:r>
        <w:t>二　法第二百九十九条第三項（法第三百二十五条におい</w:t>
      </w:r>
      <w:r>
        <w:t>て準用する場合を含む。）</w:t>
      </w:r>
    </w:p>
    <w:p w:rsidR="008F2079" w:rsidRDefault="008D4B24">
      <w:pPr>
        <w:pStyle w:val="enf6"/>
      </w:pPr>
      <w:r>
        <w:t>(ii) Article 299, paragraph (3) of the Act (including as applied mutatis mutandis pursuant to Article 325 of the Act);</w:t>
      </w:r>
    </w:p>
    <w:p w:rsidR="008F2079" w:rsidRDefault="008D4B24">
      <w:pPr>
        <w:pStyle w:val="jaf6"/>
      </w:pPr>
      <w:r>
        <w:t>三　法第五百四十九条第二項（同条第四項（法第八百二十二条第三項において準用する場合を含む。）及び法第八百二十二条第三項において準用する場合を含む。）</w:t>
      </w:r>
    </w:p>
    <w:p w:rsidR="008F2079" w:rsidRDefault="008D4B24">
      <w:pPr>
        <w:pStyle w:val="enf6"/>
      </w:pPr>
      <w:r>
        <w:t xml:space="preserve">(iii) Article 549, paragraph (2) of the Act </w:t>
      </w:r>
      <w:r>
        <w:t>(including as applied mutatis mutandis pursuant to paragraph (4) of the same Article (including as applied mutatis mutandis pursuant to Article 822, paragraph (3) of the Act) and Article 822, paragraph (3) of the Act); and</w:t>
      </w:r>
    </w:p>
    <w:p w:rsidR="008F2079" w:rsidRDefault="008D4B24">
      <w:pPr>
        <w:pStyle w:val="jaf6"/>
      </w:pPr>
      <w:r>
        <w:t>四　法第七百二十条第二項</w:t>
      </w:r>
    </w:p>
    <w:p w:rsidR="008F2079" w:rsidRDefault="008D4B24">
      <w:pPr>
        <w:pStyle w:val="enf6"/>
      </w:pPr>
      <w:r>
        <w:t xml:space="preserve">(iv) Article </w:t>
      </w:r>
      <w:r>
        <w:t>720, paragraph (2) of the Act.</w:t>
      </w:r>
    </w:p>
    <w:p w:rsidR="008F2079" w:rsidRDefault="008D4B24">
      <w:pPr>
        <w:pStyle w:val="jaf4"/>
      </w:pPr>
      <w:r>
        <w:t>２　前項の規定による承諾を得た通知発出者は、同項の相手方から書面又は電磁的方法により電磁的方法による通知を受けない旨の申出があったときは、当該相手方に対し、当該通知を電磁的方法によって発してはならない。ただし、当該相手方が再び同項の規定による承諾をした場合は、この限りでない。</w:t>
      </w:r>
    </w:p>
    <w:p w:rsidR="008F2079" w:rsidRDefault="008D4B24">
      <w:pPr>
        <w:pStyle w:val="enf4"/>
      </w:pPr>
      <w:r>
        <w:t>(2) The notice issuer who has obtained consent pursuant to the provisions of the prece</w:t>
      </w:r>
      <w:r>
        <w:t>ding paragraph may not issue a notice to the recipient set forth in the same paragraph by electronic or magnetic means if the recipient has indicated in writing or by electronic or magnetic means to the effect that they are not to receive the notice by ele</w:t>
      </w:r>
      <w:r>
        <w:t>ctronic or magnetic means; provided however, that this does not apply in the case where the recipient gives consent pursuant to the provisions of that paragraph again.</w:t>
      </w:r>
    </w:p>
    <w:p w:rsidR="008F2079" w:rsidRDefault="008F2079"/>
    <w:p w:rsidR="008F2079" w:rsidRDefault="008D4B24">
      <w:pPr>
        <w:pStyle w:val="jaa"/>
      </w:pPr>
      <w:r>
        <w:t>（電子公告調査機関の登録及びその更新の申請に係る手数料の額）</w:t>
      </w:r>
    </w:p>
    <w:p w:rsidR="008F2079" w:rsidRDefault="008D4B24">
      <w:pPr>
        <w:pStyle w:val="ena"/>
      </w:pPr>
      <w:r>
        <w:t>(Amount of Fees Pertaining to Registration of Electronic</w:t>
      </w:r>
      <w:r>
        <w:t xml:space="preserve"> Public Notice Investigation Body and Application for Its Renewal)</w:t>
      </w:r>
    </w:p>
    <w:p w:rsidR="008F2079" w:rsidRDefault="008D4B24">
      <w:pPr>
        <w:pStyle w:val="jaf3"/>
      </w:pPr>
      <w:r>
        <w:t>第三条　法第九百四十二条第二項（法第九百四十五条第二項において準用する場合を含む。）の政令で定める手数料の額は、四十二万六百円とする。</w:t>
      </w:r>
    </w:p>
    <w:p w:rsidR="008F2079" w:rsidRDefault="008D4B24">
      <w:pPr>
        <w:pStyle w:val="enf3"/>
      </w:pPr>
      <w:r>
        <w:t>Article 3  The amount of fees specified by Cabinet Order, set forth in Article 942, paragraph (2) of the Act (including a</w:t>
      </w:r>
      <w:r>
        <w:t>s applied mutatis mutandis pursuant to Article 945, paragraph (2) of the Act), is 420,600 yen.</w:t>
      </w:r>
    </w:p>
    <w:p w:rsidR="008F2079" w:rsidRDefault="008F2079"/>
    <w:p w:rsidR="008F2079" w:rsidRDefault="008D4B24">
      <w:pPr>
        <w:pStyle w:val="jaa"/>
      </w:pPr>
      <w:r>
        <w:t>（電子公告調査機関の登録の有効期間）</w:t>
      </w:r>
    </w:p>
    <w:p w:rsidR="008F2079" w:rsidRDefault="008D4B24">
      <w:pPr>
        <w:pStyle w:val="ena"/>
      </w:pPr>
      <w:r>
        <w:t>(The Valid Period of Registration of Electronic Public Notice Investigation Body)</w:t>
      </w:r>
    </w:p>
    <w:p w:rsidR="008F2079" w:rsidRDefault="008D4B24">
      <w:pPr>
        <w:pStyle w:val="jaf3"/>
      </w:pPr>
      <w:r>
        <w:t>第四条　法第九百四十五条第一項の政令で定める期間は、三年とする。</w:t>
      </w:r>
    </w:p>
    <w:p w:rsidR="008F2079" w:rsidRDefault="008D4B24">
      <w:pPr>
        <w:pStyle w:val="enf3"/>
      </w:pPr>
      <w:r>
        <w:t>Article 4  The period spec</w:t>
      </w:r>
      <w:r>
        <w:t>ified by Cabinet Order under Article 945, paragraph (1) of the Act is three years.</w:t>
      </w:r>
    </w:p>
    <w:sectPr w:rsidR="008F2079" w:rsidSect="008F207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F2079" w:rsidRDefault="008F2079" w:rsidP="008F2079">
      <w:r>
        <w:separator/>
      </w:r>
    </w:p>
  </w:endnote>
  <w:endnote w:type="continuationSeparator" w:id="0">
    <w:p w:rsidR="008F2079" w:rsidRDefault="008F2079" w:rsidP="008F2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2079" w:rsidRDefault="008F2079">
    <w:pPr>
      <w:pStyle w:val="a3"/>
    </w:pPr>
    <w:r>
      <w:fldChar w:fldCharType="begin"/>
    </w:r>
    <w:r>
      <w:instrText xml:space="preserve"> PAGE  \* MERGEFORMAT </w:instrText>
    </w:r>
    <w:r>
      <w:fldChar w:fldCharType="separate"/>
    </w:r>
    <w:r w:rsidR="008D4B2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F2079" w:rsidRDefault="008F2079" w:rsidP="008F2079">
      <w:r>
        <w:separator/>
      </w:r>
    </w:p>
  </w:footnote>
  <w:footnote w:type="continuationSeparator" w:id="0">
    <w:p w:rsidR="008F2079" w:rsidRDefault="008F2079" w:rsidP="008F20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7F0E"/>
    <w:multiLevelType w:val="multilevel"/>
    <w:tmpl w:val="05B40D6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E935B4"/>
    <w:multiLevelType w:val="multilevel"/>
    <w:tmpl w:val="DCF43C0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40A1675"/>
    <w:multiLevelType w:val="multilevel"/>
    <w:tmpl w:val="1D42D25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CA81603"/>
    <w:multiLevelType w:val="multilevel"/>
    <w:tmpl w:val="3DCE5C8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E136409"/>
    <w:multiLevelType w:val="multilevel"/>
    <w:tmpl w:val="D15A252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0B50AD6"/>
    <w:multiLevelType w:val="multilevel"/>
    <w:tmpl w:val="D8A25A4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9084C43"/>
    <w:multiLevelType w:val="multilevel"/>
    <w:tmpl w:val="DDC8D34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1EB6572"/>
    <w:multiLevelType w:val="multilevel"/>
    <w:tmpl w:val="277C270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333547"/>
    <w:multiLevelType w:val="multilevel"/>
    <w:tmpl w:val="3488A82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B57565"/>
    <w:multiLevelType w:val="multilevel"/>
    <w:tmpl w:val="F4BE9D4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4B1436"/>
    <w:multiLevelType w:val="multilevel"/>
    <w:tmpl w:val="057CE57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2D66C1"/>
    <w:multiLevelType w:val="multilevel"/>
    <w:tmpl w:val="AED6F99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68D4F43"/>
    <w:multiLevelType w:val="multilevel"/>
    <w:tmpl w:val="16DE90F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7"/>
  </w:num>
  <w:num w:numId="3">
    <w:abstractNumId w:val="6"/>
  </w:num>
  <w:num w:numId="4">
    <w:abstractNumId w:val="12"/>
  </w:num>
  <w:num w:numId="5">
    <w:abstractNumId w:val="4"/>
  </w:num>
  <w:num w:numId="6">
    <w:abstractNumId w:val="5"/>
  </w:num>
  <w:num w:numId="7">
    <w:abstractNumId w:val="8"/>
  </w:num>
  <w:num w:numId="8">
    <w:abstractNumId w:val="0"/>
  </w:num>
  <w:num w:numId="9">
    <w:abstractNumId w:val="9"/>
  </w:num>
  <w:num w:numId="10">
    <w:abstractNumId w:val="3"/>
  </w:num>
  <w:num w:numId="11">
    <w:abstractNumId w:val="1"/>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F2079"/>
    <w:rsid w:val="008D4B24"/>
    <w:rsid w:val="008F207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207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F207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F2079"/>
    <w:rPr>
      <w:rFonts w:ascii="Century" w:eastAsia="Century" w:hAnsi="Century"/>
    </w:rPr>
  </w:style>
  <w:style w:type="paragraph" w:customStyle="1" w:styleId="ja0">
    <w:name w:val="款（ja）"/>
    <w:basedOn w:val="a"/>
    <w:rsid w:val="008F2079"/>
    <w:pPr>
      <w:widowControl w:val="0"/>
      <w:ind w:left="1321" w:hanging="221"/>
    </w:pPr>
    <w:rPr>
      <w:rFonts w:ascii="ＭＳ 明朝" w:eastAsia="ＭＳ 明朝" w:hAnsi="ＭＳ 明朝" w:cs="ＭＳ 明朝"/>
      <w:b/>
    </w:rPr>
  </w:style>
  <w:style w:type="paragraph" w:customStyle="1" w:styleId="en0">
    <w:name w:val="款（en）"/>
    <w:basedOn w:val="ja0"/>
    <w:rsid w:val="008F2079"/>
    <w:rPr>
      <w:rFonts w:ascii="Century" w:eastAsia="Century" w:hAnsi="Century" w:cs="Century"/>
    </w:rPr>
  </w:style>
  <w:style w:type="paragraph" w:customStyle="1" w:styleId="ja1">
    <w:name w:val="前文（ja）"/>
    <w:basedOn w:val="a"/>
    <w:rsid w:val="008F2079"/>
    <w:pPr>
      <w:widowControl w:val="0"/>
      <w:ind w:firstLine="219"/>
    </w:pPr>
    <w:rPr>
      <w:rFonts w:ascii="ＭＳ 明朝" w:eastAsia="ＭＳ 明朝" w:hAnsi="ＭＳ 明朝" w:cs="ＭＳ 明朝"/>
    </w:rPr>
  </w:style>
  <w:style w:type="paragraph" w:customStyle="1" w:styleId="en1">
    <w:name w:val="前文（en）"/>
    <w:basedOn w:val="ja1"/>
    <w:rsid w:val="008F2079"/>
    <w:rPr>
      <w:rFonts w:ascii="Century" w:eastAsia="Century" w:hAnsi="Century" w:cs="Century"/>
    </w:rPr>
  </w:style>
  <w:style w:type="paragraph" w:customStyle="1" w:styleId="ja2">
    <w:name w:val="附則（ja）"/>
    <w:basedOn w:val="a"/>
    <w:rsid w:val="008F2079"/>
    <w:pPr>
      <w:widowControl w:val="0"/>
      <w:ind w:left="881" w:hanging="221"/>
    </w:pPr>
    <w:rPr>
      <w:rFonts w:ascii="ＭＳ 明朝" w:eastAsia="ＭＳ 明朝" w:hAnsi="ＭＳ 明朝" w:cs="ＭＳ 明朝"/>
      <w:b/>
    </w:rPr>
  </w:style>
  <w:style w:type="paragraph" w:customStyle="1" w:styleId="en2">
    <w:name w:val="附則（en）"/>
    <w:basedOn w:val="ja2"/>
    <w:rsid w:val="008F2079"/>
    <w:rPr>
      <w:rFonts w:ascii="Century" w:hAnsi="Century" w:cs="Century"/>
    </w:rPr>
  </w:style>
  <w:style w:type="paragraph" w:customStyle="1" w:styleId="ja3">
    <w:name w:val="章（ja）"/>
    <w:basedOn w:val="a"/>
    <w:rsid w:val="008F2079"/>
    <w:pPr>
      <w:widowControl w:val="0"/>
      <w:ind w:left="881" w:hanging="221"/>
    </w:pPr>
    <w:rPr>
      <w:rFonts w:ascii="ＭＳ 明朝" w:eastAsia="ＭＳ 明朝" w:hAnsi="ＭＳ 明朝" w:cs="ＭＳ 明朝"/>
      <w:b/>
    </w:rPr>
  </w:style>
  <w:style w:type="paragraph" w:customStyle="1" w:styleId="en3">
    <w:name w:val="章（en）"/>
    <w:basedOn w:val="ja3"/>
    <w:rsid w:val="008F2079"/>
    <w:rPr>
      <w:rFonts w:ascii="Century" w:eastAsia="Century" w:hAnsi="Century" w:cs="Century"/>
    </w:rPr>
  </w:style>
  <w:style w:type="paragraph" w:customStyle="1" w:styleId="ja4">
    <w:name w:val="目次編（ja）"/>
    <w:basedOn w:val="a"/>
    <w:rsid w:val="008F2079"/>
    <w:pPr>
      <w:widowControl w:val="0"/>
      <w:ind w:left="219" w:hanging="219"/>
    </w:pPr>
    <w:rPr>
      <w:rFonts w:ascii="ＭＳ 明朝" w:eastAsia="ＭＳ 明朝" w:hAnsi="ＭＳ 明朝"/>
    </w:rPr>
  </w:style>
  <w:style w:type="paragraph" w:customStyle="1" w:styleId="en4">
    <w:name w:val="目次編（en）"/>
    <w:basedOn w:val="ja4"/>
    <w:rsid w:val="008F2079"/>
    <w:rPr>
      <w:rFonts w:ascii="Century" w:eastAsia="Century" w:hAnsi="Century"/>
    </w:rPr>
  </w:style>
  <w:style w:type="paragraph" w:customStyle="1" w:styleId="ja5">
    <w:name w:val="目次章（ja）"/>
    <w:basedOn w:val="a"/>
    <w:rsid w:val="008F2079"/>
    <w:pPr>
      <w:widowControl w:val="0"/>
      <w:ind w:left="439" w:hanging="219"/>
    </w:pPr>
    <w:rPr>
      <w:rFonts w:ascii="ＭＳ 明朝" w:eastAsia="ＭＳ 明朝" w:hAnsi="ＭＳ 明朝"/>
    </w:rPr>
  </w:style>
  <w:style w:type="paragraph" w:customStyle="1" w:styleId="en5">
    <w:name w:val="目次章（en）"/>
    <w:basedOn w:val="ja5"/>
    <w:rsid w:val="008F2079"/>
    <w:rPr>
      <w:rFonts w:ascii="Century" w:eastAsia="Century" w:hAnsi="Century"/>
    </w:rPr>
  </w:style>
  <w:style w:type="paragraph" w:customStyle="1" w:styleId="ja6">
    <w:name w:val="目次節（ja）"/>
    <w:basedOn w:val="a"/>
    <w:rsid w:val="008F2079"/>
    <w:pPr>
      <w:widowControl w:val="0"/>
      <w:ind w:left="659" w:hanging="219"/>
    </w:pPr>
    <w:rPr>
      <w:rFonts w:ascii="ＭＳ 明朝" w:eastAsia="ＭＳ 明朝" w:hAnsi="ＭＳ 明朝"/>
    </w:rPr>
  </w:style>
  <w:style w:type="paragraph" w:customStyle="1" w:styleId="en6">
    <w:name w:val="目次節（en）"/>
    <w:basedOn w:val="ja6"/>
    <w:rsid w:val="008F2079"/>
    <w:rPr>
      <w:rFonts w:ascii="Century" w:eastAsia="Century" w:hAnsi="Century"/>
    </w:rPr>
  </w:style>
  <w:style w:type="paragraph" w:customStyle="1" w:styleId="ja7">
    <w:name w:val="目次款（ja）"/>
    <w:basedOn w:val="a"/>
    <w:rsid w:val="008F2079"/>
    <w:pPr>
      <w:widowControl w:val="0"/>
      <w:ind w:left="879" w:hanging="219"/>
    </w:pPr>
    <w:rPr>
      <w:rFonts w:ascii="ＭＳ 明朝" w:eastAsia="ＭＳ 明朝" w:hAnsi="ＭＳ 明朝" w:cs="Kochi Mincho"/>
    </w:rPr>
  </w:style>
  <w:style w:type="paragraph" w:customStyle="1" w:styleId="en7">
    <w:name w:val="目次款（en）"/>
    <w:basedOn w:val="ja7"/>
    <w:rsid w:val="008F2079"/>
    <w:rPr>
      <w:rFonts w:ascii="Century" w:eastAsia="Century" w:hAnsi="Century"/>
    </w:rPr>
  </w:style>
  <w:style w:type="paragraph" w:customStyle="1" w:styleId="ja8">
    <w:name w:val="別表名（ja）"/>
    <w:basedOn w:val="a"/>
    <w:rsid w:val="008F2079"/>
    <w:pPr>
      <w:widowControl w:val="0"/>
      <w:ind w:left="100" w:hangingChars="100" w:hanging="100"/>
    </w:pPr>
    <w:rPr>
      <w:rFonts w:ascii="ＭＳ 明朝" w:eastAsia="ＭＳ 明朝" w:hAnsi="ＭＳ 明朝" w:cs="ＭＳ 明朝"/>
    </w:rPr>
  </w:style>
  <w:style w:type="paragraph" w:customStyle="1" w:styleId="en8">
    <w:name w:val="別表名（en）"/>
    <w:basedOn w:val="ja8"/>
    <w:rsid w:val="008F2079"/>
    <w:rPr>
      <w:rFonts w:ascii="Century" w:eastAsia="Century" w:hAnsi="Century" w:cs="Century"/>
    </w:rPr>
  </w:style>
  <w:style w:type="paragraph" w:customStyle="1" w:styleId="ja9">
    <w:name w:val="目（ja）"/>
    <w:basedOn w:val="a"/>
    <w:rsid w:val="008F2079"/>
    <w:pPr>
      <w:widowControl w:val="0"/>
      <w:ind w:left="1541" w:hanging="221"/>
    </w:pPr>
    <w:rPr>
      <w:rFonts w:ascii="ＭＳ 明朝" w:eastAsia="ＭＳ 明朝" w:hAnsi="ＭＳ 明朝" w:cs="ＭＳ 明朝"/>
      <w:b/>
    </w:rPr>
  </w:style>
  <w:style w:type="paragraph" w:customStyle="1" w:styleId="en9">
    <w:name w:val="目（en）"/>
    <w:basedOn w:val="ja9"/>
    <w:rsid w:val="008F2079"/>
    <w:rPr>
      <w:rFonts w:ascii="Century" w:eastAsia="Century" w:hAnsi="Century" w:cs="Century"/>
    </w:rPr>
  </w:style>
  <w:style w:type="paragraph" w:customStyle="1" w:styleId="jaa">
    <w:name w:val="見出し（ja）"/>
    <w:basedOn w:val="a"/>
    <w:rsid w:val="008F2079"/>
    <w:pPr>
      <w:widowControl w:val="0"/>
      <w:ind w:left="439" w:hanging="219"/>
    </w:pPr>
    <w:rPr>
      <w:rFonts w:ascii="ＭＳ 明朝" w:eastAsia="ＭＳ 明朝" w:hAnsi="ＭＳ 明朝" w:cs="ＭＳ 明朝"/>
    </w:rPr>
  </w:style>
  <w:style w:type="paragraph" w:customStyle="1" w:styleId="ena">
    <w:name w:val="見出し（en）"/>
    <w:basedOn w:val="jaa"/>
    <w:rsid w:val="008F2079"/>
    <w:rPr>
      <w:rFonts w:ascii="Century" w:eastAsia="Century" w:hAnsi="Century" w:cs="Century"/>
    </w:rPr>
  </w:style>
  <w:style w:type="paragraph" w:styleId="a3">
    <w:name w:val="footer"/>
    <w:basedOn w:val="a"/>
    <w:rsid w:val="008F207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F2079"/>
    <w:pPr>
      <w:widowControl w:val="0"/>
      <w:ind w:left="1099" w:hanging="219"/>
    </w:pPr>
    <w:rPr>
      <w:rFonts w:ascii="ＭＳ 明朝" w:eastAsia="ＭＳ 明朝" w:hAnsi="ＭＳ 明朝" w:cs="Kochi Mincho"/>
    </w:rPr>
  </w:style>
  <w:style w:type="paragraph" w:customStyle="1" w:styleId="enb">
    <w:name w:val="目次目（en）"/>
    <w:basedOn w:val="jab"/>
    <w:rsid w:val="008F2079"/>
    <w:rPr>
      <w:rFonts w:ascii="Century" w:eastAsia="Century" w:hAnsi="Century"/>
    </w:rPr>
  </w:style>
  <w:style w:type="paragraph" w:customStyle="1" w:styleId="jac">
    <w:name w:val="目次附則（ja）"/>
    <w:basedOn w:val="a"/>
    <w:rsid w:val="008F2079"/>
    <w:pPr>
      <w:widowControl w:val="0"/>
      <w:ind w:left="439" w:hanging="219"/>
    </w:pPr>
    <w:rPr>
      <w:rFonts w:ascii="ＭＳ 明朝" w:eastAsia="ＭＳ 明朝" w:hAnsi="ＭＳ 明朝" w:cs="Kochi Mincho"/>
    </w:rPr>
  </w:style>
  <w:style w:type="paragraph" w:customStyle="1" w:styleId="enc">
    <w:name w:val="目次附則（en）"/>
    <w:basedOn w:val="jac"/>
    <w:rsid w:val="008F2079"/>
    <w:rPr>
      <w:rFonts w:ascii="Century" w:eastAsia="Century" w:hAnsi="Century" w:cs="Century"/>
    </w:rPr>
  </w:style>
  <w:style w:type="paragraph" w:customStyle="1" w:styleId="jad">
    <w:name w:val="目次前文（ja）"/>
    <w:basedOn w:val="jac"/>
    <w:rsid w:val="008F2079"/>
  </w:style>
  <w:style w:type="paragraph" w:customStyle="1" w:styleId="end">
    <w:name w:val="目次前文（en）"/>
    <w:basedOn w:val="enc"/>
    <w:rsid w:val="008F2079"/>
  </w:style>
  <w:style w:type="paragraph" w:customStyle="1" w:styleId="jae">
    <w:name w:val="制定文（ja）"/>
    <w:basedOn w:val="a"/>
    <w:rsid w:val="008F2079"/>
    <w:pPr>
      <w:widowControl w:val="0"/>
      <w:ind w:firstLine="219"/>
    </w:pPr>
    <w:rPr>
      <w:rFonts w:ascii="ＭＳ 明朝" w:eastAsia="ＭＳ 明朝" w:hAnsi="ＭＳ 明朝" w:cs="ＭＳ 明朝"/>
    </w:rPr>
  </w:style>
  <w:style w:type="paragraph" w:customStyle="1" w:styleId="ene">
    <w:name w:val="制定文（en）"/>
    <w:basedOn w:val="jae"/>
    <w:rsid w:val="008F2079"/>
    <w:rPr>
      <w:rFonts w:ascii="Century" w:eastAsia="Century" w:hAnsi="Century" w:cs="Century"/>
    </w:rPr>
  </w:style>
  <w:style w:type="paragraph" w:customStyle="1" w:styleId="jaf">
    <w:name w:val="法令番号（ja）"/>
    <w:basedOn w:val="a"/>
    <w:rsid w:val="008F2079"/>
    <w:pPr>
      <w:widowControl w:val="0"/>
      <w:jc w:val="right"/>
    </w:pPr>
    <w:rPr>
      <w:rFonts w:ascii="ＭＳ 明朝" w:eastAsia="ＭＳ 明朝" w:hAnsi="ＭＳ 明朝" w:cs="Kochi Mincho"/>
    </w:rPr>
  </w:style>
  <w:style w:type="paragraph" w:customStyle="1" w:styleId="enf">
    <w:name w:val="法令番号（en）"/>
    <w:basedOn w:val="jaf"/>
    <w:rsid w:val="008F2079"/>
    <w:rPr>
      <w:rFonts w:ascii="Century" w:eastAsia="Century" w:hAnsi="Century" w:cs="Century"/>
    </w:rPr>
  </w:style>
  <w:style w:type="paragraph" w:customStyle="1" w:styleId="jaf0">
    <w:name w:val="目次（ja）"/>
    <w:basedOn w:val="a"/>
    <w:rsid w:val="008F2079"/>
    <w:rPr>
      <w:rFonts w:ascii="ＭＳ 明朝" w:eastAsia="ＭＳ 明朝" w:hAnsi="ＭＳ 明朝"/>
    </w:rPr>
  </w:style>
  <w:style w:type="paragraph" w:customStyle="1" w:styleId="enf0">
    <w:name w:val="目次（en）"/>
    <w:basedOn w:val="jaf0"/>
    <w:rsid w:val="008F2079"/>
    <w:rPr>
      <w:rFonts w:ascii="Century" w:eastAsia="Century" w:hAnsi="Century"/>
    </w:rPr>
  </w:style>
  <w:style w:type="paragraph" w:customStyle="1" w:styleId="jaf1">
    <w:name w:val="編（ja）"/>
    <w:basedOn w:val="a"/>
    <w:rsid w:val="008F2079"/>
    <w:pPr>
      <w:widowControl w:val="0"/>
      <w:ind w:left="661" w:hanging="221"/>
    </w:pPr>
    <w:rPr>
      <w:rFonts w:ascii="ＭＳ 明朝" w:eastAsia="ＭＳ 明朝" w:hAnsi="ＭＳ 明朝" w:cs="ＭＳ 明朝"/>
      <w:b/>
    </w:rPr>
  </w:style>
  <w:style w:type="paragraph" w:customStyle="1" w:styleId="enf1">
    <w:name w:val="編（en）"/>
    <w:basedOn w:val="jaf1"/>
    <w:rsid w:val="008F2079"/>
    <w:rPr>
      <w:rFonts w:ascii="Century" w:eastAsia="Century" w:hAnsi="Century" w:cs="Century"/>
    </w:rPr>
  </w:style>
  <w:style w:type="paragraph" w:customStyle="1" w:styleId="jaf2">
    <w:name w:val="節（ja）"/>
    <w:basedOn w:val="a"/>
    <w:rsid w:val="008F2079"/>
    <w:pPr>
      <w:widowControl w:val="0"/>
      <w:ind w:left="1101" w:hanging="221"/>
    </w:pPr>
    <w:rPr>
      <w:rFonts w:ascii="ＭＳ 明朝" w:eastAsia="ＭＳ 明朝" w:hAnsi="ＭＳ 明朝" w:cs="ＭＳ 明朝"/>
      <w:b/>
    </w:rPr>
  </w:style>
  <w:style w:type="paragraph" w:customStyle="1" w:styleId="enf2">
    <w:name w:val="節（en）"/>
    <w:basedOn w:val="jaf2"/>
    <w:rsid w:val="008F2079"/>
    <w:rPr>
      <w:rFonts w:ascii="Century" w:eastAsia="Century" w:hAnsi="Century" w:cs="Century"/>
    </w:rPr>
  </w:style>
  <w:style w:type="paragraph" w:customStyle="1" w:styleId="jaf3">
    <w:name w:val="条（ja）"/>
    <w:basedOn w:val="a"/>
    <w:rsid w:val="008F2079"/>
    <w:pPr>
      <w:widowControl w:val="0"/>
      <w:ind w:left="219" w:hanging="219"/>
    </w:pPr>
    <w:rPr>
      <w:rFonts w:ascii="ＭＳ 明朝" w:eastAsia="ＭＳ 明朝" w:hAnsi="ＭＳ 明朝" w:cs="ＭＳ 明朝"/>
    </w:rPr>
  </w:style>
  <w:style w:type="paragraph" w:customStyle="1" w:styleId="enf3">
    <w:name w:val="条（en）"/>
    <w:basedOn w:val="jaf3"/>
    <w:rsid w:val="008F2079"/>
    <w:rPr>
      <w:rFonts w:ascii="Century" w:eastAsia="Century" w:hAnsi="Century" w:cs="Century"/>
    </w:rPr>
  </w:style>
  <w:style w:type="paragraph" w:customStyle="1" w:styleId="jaf4">
    <w:name w:val="項（ja）"/>
    <w:basedOn w:val="a"/>
    <w:rsid w:val="008F2079"/>
    <w:pPr>
      <w:widowControl w:val="0"/>
      <w:ind w:left="219" w:hanging="219"/>
    </w:pPr>
    <w:rPr>
      <w:rFonts w:ascii="ＭＳ 明朝" w:eastAsia="ＭＳ 明朝" w:hAnsi="ＭＳ 明朝" w:cs="ＭＳ 明朝"/>
    </w:rPr>
  </w:style>
  <w:style w:type="paragraph" w:customStyle="1" w:styleId="enf4">
    <w:name w:val="項（en）"/>
    <w:basedOn w:val="jaf4"/>
    <w:rsid w:val="008F2079"/>
    <w:rPr>
      <w:rFonts w:ascii="Century" w:eastAsia="Century" w:hAnsi="Century" w:cs="Century"/>
    </w:rPr>
  </w:style>
  <w:style w:type="paragraph" w:customStyle="1" w:styleId="jaf5">
    <w:name w:val="項　番号なし（ja）"/>
    <w:basedOn w:val="a"/>
    <w:rsid w:val="008F2079"/>
    <w:pPr>
      <w:widowControl w:val="0"/>
      <w:ind w:firstLine="221"/>
    </w:pPr>
    <w:rPr>
      <w:rFonts w:ascii="ＭＳ 明朝" w:eastAsia="ＭＳ 明朝" w:hAnsi="ＭＳ 明朝" w:cs="ＭＳ 明朝"/>
    </w:rPr>
  </w:style>
  <w:style w:type="paragraph" w:customStyle="1" w:styleId="enf5">
    <w:name w:val="項　番号なし（en）"/>
    <w:basedOn w:val="jaf5"/>
    <w:rsid w:val="008F2079"/>
    <w:rPr>
      <w:rFonts w:ascii="Century" w:eastAsia="Century" w:hAnsi="Century" w:cs="Century"/>
    </w:rPr>
  </w:style>
  <w:style w:type="paragraph" w:customStyle="1" w:styleId="jaf6">
    <w:name w:val="号（ja）"/>
    <w:basedOn w:val="a"/>
    <w:rsid w:val="008F2079"/>
    <w:pPr>
      <w:widowControl w:val="0"/>
      <w:ind w:left="439" w:hanging="219"/>
    </w:pPr>
    <w:rPr>
      <w:rFonts w:ascii="ＭＳ 明朝" w:eastAsia="ＭＳ 明朝" w:hAnsi="ＭＳ 明朝" w:cs="ＭＳ 明朝"/>
    </w:rPr>
  </w:style>
  <w:style w:type="paragraph" w:customStyle="1" w:styleId="enf6">
    <w:name w:val="号（en）"/>
    <w:basedOn w:val="jaf6"/>
    <w:rsid w:val="008F2079"/>
    <w:rPr>
      <w:rFonts w:ascii="Century" w:eastAsia="Century" w:hAnsi="Century" w:cs="Century"/>
    </w:rPr>
  </w:style>
  <w:style w:type="paragraph" w:customStyle="1" w:styleId="jaf7">
    <w:name w:val="号　番号なし（ja）"/>
    <w:basedOn w:val="a"/>
    <w:rsid w:val="008F2079"/>
    <w:pPr>
      <w:widowControl w:val="0"/>
      <w:ind w:left="221" w:firstLine="221"/>
    </w:pPr>
    <w:rPr>
      <w:rFonts w:ascii="ＭＳ 明朝" w:eastAsia="ＭＳ 明朝" w:hAnsi="ＭＳ 明朝" w:cs="ＭＳ 明朝"/>
    </w:rPr>
  </w:style>
  <w:style w:type="paragraph" w:customStyle="1" w:styleId="enf7">
    <w:name w:val="号　番号なし（en）"/>
    <w:basedOn w:val="jaf7"/>
    <w:rsid w:val="008F2079"/>
    <w:rPr>
      <w:rFonts w:ascii="Century" w:eastAsia="Century" w:hAnsi="Century" w:cs="Century"/>
    </w:rPr>
  </w:style>
  <w:style w:type="paragraph" w:customStyle="1" w:styleId="jaf8">
    <w:name w:val="備考号（ja）"/>
    <w:basedOn w:val="a"/>
    <w:rsid w:val="008F2079"/>
    <w:pPr>
      <w:widowControl w:val="0"/>
      <w:ind w:left="659" w:hanging="219"/>
    </w:pPr>
    <w:rPr>
      <w:rFonts w:ascii="ＭＳ 明朝" w:eastAsia="ＭＳ 明朝" w:hAnsi="ＭＳ 明朝" w:cs="ＭＳ 明朝"/>
    </w:rPr>
  </w:style>
  <w:style w:type="paragraph" w:customStyle="1" w:styleId="enf8">
    <w:name w:val="備考号（en）"/>
    <w:basedOn w:val="jaf8"/>
    <w:rsid w:val="008F2079"/>
    <w:rPr>
      <w:rFonts w:ascii="Century" w:eastAsia="Century" w:hAnsi="Century" w:cs="Century"/>
    </w:rPr>
  </w:style>
  <w:style w:type="paragraph" w:customStyle="1" w:styleId="jaf9">
    <w:name w:val="号細分（ja）"/>
    <w:basedOn w:val="a"/>
    <w:rsid w:val="008F2079"/>
    <w:pPr>
      <w:widowControl w:val="0"/>
      <w:ind w:left="659" w:hanging="219"/>
    </w:pPr>
    <w:rPr>
      <w:rFonts w:ascii="ＭＳ 明朝" w:eastAsia="ＭＳ 明朝" w:hAnsi="ＭＳ 明朝" w:cs="ＭＳ 明朝"/>
    </w:rPr>
  </w:style>
  <w:style w:type="paragraph" w:customStyle="1" w:styleId="enf9">
    <w:name w:val="号細分（en）"/>
    <w:basedOn w:val="jaf9"/>
    <w:rsid w:val="008F2079"/>
    <w:rPr>
      <w:rFonts w:ascii="Century" w:eastAsia="Century" w:hAnsi="Century" w:cs="Century"/>
    </w:rPr>
  </w:style>
  <w:style w:type="paragraph" w:customStyle="1" w:styleId="jafa">
    <w:name w:val="号細分　番号なし（ja）"/>
    <w:basedOn w:val="a"/>
    <w:rsid w:val="008F2079"/>
    <w:pPr>
      <w:widowControl w:val="0"/>
      <w:ind w:left="439"/>
    </w:pPr>
    <w:rPr>
      <w:rFonts w:ascii="ＭＳ 明朝" w:eastAsia="ＭＳ 明朝" w:hAnsi="ＭＳ 明朝" w:cs="ＭＳ 明朝"/>
    </w:rPr>
  </w:style>
  <w:style w:type="paragraph" w:customStyle="1" w:styleId="enfa">
    <w:name w:val="号細分　番号なし（en）"/>
    <w:basedOn w:val="jafa"/>
    <w:rsid w:val="008F2079"/>
    <w:rPr>
      <w:rFonts w:ascii="Century" w:eastAsia="Century" w:hAnsi="Century" w:cs="Century"/>
    </w:rPr>
  </w:style>
  <w:style w:type="paragraph" w:customStyle="1" w:styleId="jafb">
    <w:name w:val="備考号細分（ja）"/>
    <w:basedOn w:val="a"/>
    <w:rsid w:val="008F2079"/>
    <w:pPr>
      <w:widowControl w:val="0"/>
      <w:ind w:left="1099" w:hanging="439"/>
    </w:pPr>
    <w:rPr>
      <w:rFonts w:ascii="ＭＳ 明朝" w:eastAsia="ＭＳ 明朝" w:hAnsi="ＭＳ 明朝" w:cs="ＭＳ 明朝"/>
    </w:rPr>
  </w:style>
  <w:style w:type="paragraph" w:customStyle="1" w:styleId="enfb">
    <w:name w:val="備考号細分（en）"/>
    <w:basedOn w:val="jafb"/>
    <w:rsid w:val="008F2079"/>
    <w:rPr>
      <w:rFonts w:ascii="Century" w:eastAsia="Century" w:hAnsi="Century" w:cs="Century"/>
    </w:rPr>
  </w:style>
  <w:style w:type="paragraph" w:customStyle="1" w:styleId="jafc">
    <w:name w:val="号細細分（ja）"/>
    <w:basedOn w:val="a"/>
    <w:rsid w:val="008F2079"/>
    <w:pPr>
      <w:widowControl w:val="0"/>
      <w:ind w:left="1099" w:hanging="439"/>
    </w:pPr>
    <w:rPr>
      <w:rFonts w:ascii="ＭＳ 明朝" w:eastAsia="ＭＳ 明朝" w:hAnsi="ＭＳ 明朝" w:cs="ＭＳ 明朝"/>
    </w:rPr>
  </w:style>
  <w:style w:type="paragraph" w:customStyle="1" w:styleId="enfc">
    <w:name w:val="号細細分（en）"/>
    <w:basedOn w:val="jafc"/>
    <w:rsid w:val="008F2079"/>
    <w:rPr>
      <w:rFonts w:ascii="Century" w:eastAsia="Century" w:hAnsi="Century" w:cs="Century"/>
    </w:rPr>
  </w:style>
  <w:style w:type="paragraph" w:customStyle="1" w:styleId="jafd">
    <w:name w:val="号細細分　番号なし（ja）"/>
    <w:basedOn w:val="a"/>
    <w:rsid w:val="008F2079"/>
    <w:pPr>
      <w:widowControl w:val="0"/>
      <w:ind w:left="659"/>
    </w:pPr>
    <w:rPr>
      <w:rFonts w:ascii="ＭＳ 明朝" w:eastAsia="ＭＳ 明朝" w:hAnsi="ＭＳ 明朝" w:cs="ＭＳ 明朝"/>
    </w:rPr>
  </w:style>
  <w:style w:type="paragraph" w:customStyle="1" w:styleId="enfd">
    <w:name w:val="号細細分　番号なし（en）"/>
    <w:basedOn w:val="jafd"/>
    <w:rsid w:val="008F2079"/>
    <w:rPr>
      <w:rFonts w:ascii="Century" w:eastAsia="Century" w:hAnsi="Century" w:cs="Century"/>
    </w:rPr>
  </w:style>
  <w:style w:type="paragraph" w:customStyle="1" w:styleId="jafe">
    <w:name w:val="備考号細細分（ja）"/>
    <w:basedOn w:val="a"/>
    <w:rsid w:val="008F2079"/>
    <w:pPr>
      <w:widowControl w:val="0"/>
      <w:ind w:left="1319" w:hanging="439"/>
    </w:pPr>
    <w:rPr>
      <w:rFonts w:ascii="ＭＳ 明朝" w:eastAsia="ＭＳ 明朝" w:hAnsi="ＭＳ 明朝" w:cs="ＭＳ 明朝"/>
    </w:rPr>
  </w:style>
  <w:style w:type="paragraph" w:customStyle="1" w:styleId="enfe">
    <w:name w:val="備考号細細分（en）"/>
    <w:basedOn w:val="jafe"/>
    <w:rsid w:val="008F2079"/>
    <w:rPr>
      <w:rFonts w:ascii="Century" w:eastAsia="Century" w:hAnsi="Century" w:cs="Century"/>
    </w:rPr>
  </w:style>
  <w:style w:type="paragraph" w:customStyle="1" w:styleId="jaff">
    <w:name w:val="号細細細分（ja）"/>
    <w:basedOn w:val="a"/>
    <w:rsid w:val="008F2079"/>
    <w:pPr>
      <w:widowControl w:val="0"/>
      <w:ind w:left="1319" w:hanging="439"/>
    </w:pPr>
    <w:rPr>
      <w:rFonts w:ascii="ＭＳ 明朝" w:eastAsia="ＭＳ 明朝" w:hAnsi="ＭＳ 明朝" w:cs="ＭＳ 明朝"/>
    </w:rPr>
  </w:style>
  <w:style w:type="paragraph" w:customStyle="1" w:styleId="enff">
    <w:name w:val="号細細細分（en）"/>
    <w:basedOn w:val="jaff"/>
    <w:rsid w:val="008F2079"/>
    <w:rPr>
      <w:rFonts w:ascii="Century" w:eastAsia="Century" w:hAnsi="Century" w:cs="Century"/>
    </w:rPr>
  </w:style>
  <w:style w:type="paragraph" w:customStyle="1" w:styleId="jaff0">
    <w:name w:val="号細細細分　番号なし（ja）"/>
    <w:basedOn w:val="a"/>
    <w:rsid w:val="008F2079"/>
    <w:pPr>
      <w:widowControl w:val="0"/>
      <w:ind w:left="879"/>
    </w:pPr>
    <w:rPr>
      <w:rFonts w:ascii="ＭＳ 明朝" w:eastAsia="ＭＳ 明朝" w:hAnsi="ＭＳ 明朝" w:cs="ＭＳ 明朝"/>
    </w:rPr>
  </w:style>
  <w:style w:type="paragraph" w:customStyle="1" w:styleId="enff0">
    <w:name w:val="号細細細分　番号なし（en）"/>
    <w:basedOn w:val="jaff0"/>
    <w:rsid w:val="008F2079"/>
    <w:rPr>
      <w:rFonts w:ascii="Century" w:eastAsia="Century" w:hAnsi="Century" w:cs="Century"/>
    </w:rPr>
  </w:style>
  <w:style w:type="paragraph" w:customStyle="1" w:styleId="jaff1">
    <w:name w:val="備考号細細細分（ja）"/>
    <w:basedOn w:val="a"/>
    <w:rsid w:val="008F2079"/>
    <w:pPr>
      <w:widowControl w:val="0"/>
      <w:ind w:left="1539" w:hanging="439"/>
    </w:pPr>
    <w:rPr>
      <w:rFonts w:ascii="ＭＳ 明朝" w:eastAsia="ＭＳ 明朝" w:hAnsi="ＭＳ 明朝" w:cs="ＭＳ 明朝"/>
    </w:rPr>
  </w:style>
  <w:style w:type="paragraph" w:customStyle="1" w:styleId="enff1">
    <w:name w:val="備考号細細細分（en）"/>
    <w:basedOn w:val="jaff1"/>
    <w:rsid w:val="008F2079"/>
    <w:rPr>
      <w:rFonts w:ascii="Century" w:eastAsia="Century" w:hAnsi="Century" w:cs="Century"/>
    </w:rPr>
  </w:style>
  <w:style w:type="paragraph" w:customStyle="1" w:styleId="jaff2">
    <w:name w:val="類（ja）"/>
    <w:basedOn w:val="a"/>
    <w:rsid w:val="008F2079"/>
    <w:pPr>
      <w:widowControl w:val="0"/>
      <w:ind w:left="439" w:hanging="219"/>
    </w:pPr>
    <w:rPr>
      <w:rFonts w:ascii="ＭＳ 明朝" w:eastAsia="ＭＳ 明朝" w:hAnsi="ＭＳ 明朝" w:cs="ＭＳ 明朝"/>
    </w:rPr>
  </w:style>
  <w:style w:type="paragraph" w:customStyle="1" w:styleId="enff2">
    <w:name w:val="類（en）"/>
    <w:basedOn w:val="jaff2"/>
    <w:rsid w:val="008F2079"/>
    <w:rPr>
      <w:rFonts w:ascii="Century" w:eastAsia="Century" w:hAnsi="Century" w:cs="Century"/>
    </w:rPr>
  </w:style>
  <w:style w:type="paragraph" w:customStyle="1" w:styleId="jaff3">
    <w:name w:val="公布文（ja）"/>
    <w:basedOn w:val="a"/>
    <w:rsid w:val="008F2079"/>
    <w:pPr>
      <w:widowControl w:val="0"/>
      <w:ind w:firstLine="219"/>
    </w:pPr>
    <w:rPr>
      <w:rFonts w:ascii="ＭＳ 明朝" w:eastAsia="ＭＳ 明朝" w:hAnsi="ＭＳ 明朝" w:cs="ＭＳ 明朝"/>
    </w:rPr>
  </w:style>
  <w:style w:type="paragraph" w:customStyle="1" w:styleId="enff3">
    <w:name w:val="公布文（en）"/>
    <w:basedOn w:val="jaff3"/>
    <w:rsid w:val="008F2079"/>
    <w:rPr>
      <w:rFonts w:ascii="Century" w:eastAsia="Century" w:hAnsi="Century" w:cs="Century"/>
    </w:rPr>
  </w:style>
  <w:style w:type="paragraph" w:customStyle="1" w:styleId="jaen">
    <w:name w:val="表（ja：en）"/>
    <w:basedOn w:val="a"/>
    <w:rsid w:val="008F2079"/>
    <w:pPr>
      <w:widowControl w:val="0"/>
      <w:snapToGrid w:val="0"/>
    </w:pPr>
    <w:rPr>
      <w:rFonts w:ascii="Century" w:eastAsia="ＭＳ 明朝" w:hAnsi="Century"/>
    </w:rPr>
  </w:style>
  <w:style w:type="paragraph" w:customStyle="1" w:styleId="jaff4">
    <w:name w:val="備考（ja）"/>
    <w:basedOn w:val="a"/>
    <w:rsid w:val="008F2079"/>
    <w:pPr>
      <w:widowControl w:val="0"/>
      <w:ind w:left="439" w:hanging="219"/>
    </w:pPr>
    <w:rPr>
      <w:rFonts w:ascii="ＭＳ 明朝" w:eastAsia="ＭＳ 明朝" w:hAnsi="ＭＳ 明朝" w:cs="ＭＳ 明朝"/>
    </w:rPr>
  </w:style>
  <w:style w:type="paragraph" w:customStyle="1" w:styleId="enff4">
    <w:name w:val="備考（en）"/>
    <w:basedOn w:val="jaff4"/>
    <w:rsid w:val="008F2079"/>
    <w:rPr>
      <w:rFonts w:ascii="Century" w:eastAsia="Century" w:hAnsi="Century" w:cs="Century"/>
    </w:rPr>
  </w:style>
  <w:style w:type="paragraph" w:customStyle="1" w:styleId="jaff5">
    <w:name w:val="表タイトル（ja）"/>
    <w:basedOn w:val="a"/>
    <w:rsid w:val="008F2079"/>
    <w:pPr>
      <w:widowControl w:val="0"/>
      <w:ind w:left="219"/>
    </w:pPr>
    <w:rPr>
      <w:rFonts w:ascii="ＭＳ 明朝" w:eastAsia="ＭＳ 明朝" w:hAnsi="ＭＳ 明朝" w:cs="ＭＳ 明朝"/>
    </w:rPr>
  </w:style>
  <w:style w:type="paragraph" w:customStyle="1" w:styleId="enff5">
    <w:name w:val="表タイトル（en）"/>
    <w:basedOn w:val="jaff5"/>
    <w:rsid w:val="008F2079"/>
    <w:rPr>
      <w:rFonts w:ascii="Century" w:eastAsia="Century" w:hAnsi="Century" w:cs="Century"/>
    </w:rPr>
  </w:style>
  <w:style w:type="paragraph" w:customStyle="1" w:styleId="jaff6">
    <w:name w:val="改正規定文（ja）"/>
    <w:basedOn w:val="a"/>
    <w:rsid w:val="008F2079"/>
    <w:pPr>
      <w:widowControl w:val="0"/>
      <w:ind w:left="219" w:firstLine="219"/>
    </w:pPr>
    <w:rPr>
      <w:rFonts w:ascii="ＭＳ 明朝" w:eastAsia="ＭＳ 明朝" w:hAnsi="ＭＳ 明朝" w:cs="ＭＳ 明朝"/>
    </w:rPr>
  </w:style>
  <w:style w:type="paragraph" w:customStyle="1" w:styleId="enff6">
    <w:name w:val="改正規定文（en）"/>
    <w:basedOn w:val="jaff6"/>
    <w:rsid w:val="008F2079"/>
    <w:rPr>
      <w:rFonts w:ascii="Century" w:eastAsia="Century" w:hAnsi="Century" w:cs="Century"/>
    </w:rPr>
  </w:style>
  <w:style w:type="paragraph" w:customStyle="1" w:styleId="jaff7">
    <w:name w:val="付記（ja）"/>
    <w:basedOn w:val="a"/>
    <w:rsid w:val="008F2079"/>
    <w:pPr>
      <w:widowControl w:val="0"/>
      <w:ind w:left="219" w:firstLine="219"/>
    </w:pPr>
    <w:rPr>
      <w:rFonts w:ascii="ＭＳ 明朝" w:eastAsia="ＭＳ 明朝" w:hAnsi="ＭＳ 明朝" w:cs="ＭＳ 明朝"/>
    </w:rPr>
  </w:style>
  <w:style w:type="paragraph" w:customStyle="1" w:styleId="enff7">
    <w:name w:val="付記（en）"/>
    <w:basedOn w:val="jaff7"/>
    <w:rsid w:val="008F2079"/>
    <w:rPr>
      <w:rFonts w:ascii="Century" w:eastAsia="Century" w:hAnsi="Century" w:cs="Century"/>
    </w:rPr>
  </w:style>
  <w:style w:type="paragraph" w:customStyle="1" w:styleId="jaff8">
    <w:name w:val="様式名（ja）"/>
    <w:basedOn w:val="a"/>
    <w:rsid w:val="008F2079"/>
    <w:pPr>
      <w:widowControl w:val="0"/>
      <w:ind w:left="439" w:hanging="219"/>
    </w:pPr>
    <w:rPr>
      <w:rFonts w:ascii="ＭＳ 明朝" w:eastAsia="ＭＳ 明朝" w:hAnsi="ＭＳ 明朝" w:cs="ＭＳ 明朝"/>
    </w:rPr>
  </w:style>
  <w:style w:type="paragraph" w:customStyle="1" w:styleId="enff8">
    <w:name w:val="様式名（en）"/>
    <w:basedOn w:val="jaff8"/>
    <w:rsid w:val="008F2079"/>
    <w:rPr>
      <w:rFonts w:ascii="Century" w:eastAsia="Century" w:hAnsi="Century" w:cs="Century"/>
    </w:rPr>
  </w:style>
  <w:style w:type="paragraph" w:customStyle="1" w:styleId="jaff9">
    <w:name w:val="様式項目（ja）"/>
    <w:basedOn w:val="a"/>
    <w:rsid w:val="008F2079"/>
    <w:pPr>
      <w:widowControl w:val="0"/>
      <w:ind w:left="221" w:firstLine="221"/>
    </w:pPr>
    <w:rPr>
      <w:rFonts w:ascii="ＭＳ 明朝" w:eastAsia="ＭＳ 明朝" w:hAnsi="ＭＳ 明朝" w:cs="ＭＳ 明朝"/>
    </w:rPr>
  </w:style>
  <w:style w:type="paragraph" w:customStyle="1" w:styleId="enff9">
    <w:name w:val="様式項目（en）"/>
    <w:basedOn w:val="jaff9"/>
    <w:rsid w:val="008F2079"/>
    <w:rPr>
      <w:rFonts w:ascii="Century" w:eastAsia="Century" w:hAnsi="Century" w:cs="Century"/>
    </w:rPr>
  </w:style>
  <w:style w:type="table" w:customStyle="1" w:styleId="1">
    <w:name w:val="表1"/>
    <w:rsid w:val="008F2079"/>
    <w:tblPr>
      <w:tblInd w:w="340" w:type="dxa"/>
      <w:tblCellMar>
        <w:top w:w="0" w:type="dxa"/>
        <w:left w:w="0" w:type="dxa"/>
        <w:bottom w:w="0" w:type="dxa"/>
        <w:right w:w="0" w:type="dxa"/>
      </w:tblCellMar>
    </w:tblPr>
  </w:style>
  <w:style w:type="numbering" w:customStyle="1" w:styleId="WW8Num1">
    <w:name w:val="WW8Num1"/>
    <w:rsid w:val="008F2079"/>
    <w:pPr>
      <w:numPr>
        <w:numId w:val="2"/>
      </w:numPr>
    </w:pPr>
  </w:style>
  <w:style w:type="numbering" w:customStyle="1" w:styleId="WW8Num2">
    <w:name w:val="WW8Num2"/>
    <w:rsid w:val="008F2079"/>
    <w:pPr>
      <w:numPr>
        <w:numId w:val="3"/>
      </w:numPr>
    </w:pPr>
  </w:style>
  <w:style w:type="numbering" w:customStyle="1" w:styleId="WW8Num3">
    <w:name w:val="WW8Num3"/>
    <w:rsid w:val="008F2079"/>
    <w:pPr>
      <w:numPr>
        <w:numId w:val="4"/>
      </w:numPr>
    </w:pPr>
  </w:style>
  <w:style w:type="numbering" w:customStyle="1" w:styleId="WW8Num4">
    <w:name w:val="WW8Num4"/>
    <w:rsid w:val="008F2079"/>
    <w:pPr>
      <w:numPr>
        <w:numId w:val="5"/>
      </w:numPr>
    </w:pPr>
  </w:style>
  <w:style w:type="numbering" w:customStyle="1" w:styleId="WW8Num5">
    <w:name w:val="WW8Num5"/>
    <w:rsid w:val="008F2079"/>
    <w:pPr>
      <w:numPr>
        <w:numId w:val="6"/>
      </w:numPr>
    </w:pPr>
  </w:style>
  <w:style w:type="numbering" w:customStyle="1" w:styleId="WW8Num6">
    <w:name w:val="WW8Num6"/>
    <w:rsid w:val="008F2079"/>
    <w:pPr>
      <w:numPr>
        <w:numId w:val="7"/>
      </w:numPr>
    </w:pPr>
  </w:style>
  <w:style w:type="numbering" w:customStyle="1" w:styleId="WW8Num7">
    <w:name w:val="WW8Num7"/>
    <w:rsid w:val="008F2079"/>
    <w:pPr>
      <w:numPr>
        <w:numId w:val="8"/>
      </w:numPr>
    </w:pPr>
  </w:style>
  <w:style w:type="numbering" w:customStyle="1" w:styleId="WW8Num8">
    <w:name w:val="WW8Num8"/>
    <w:rsid w:val="008F2079"/>
    <w:pPr>
      <w:numPr>
        <w:numId w:val="9"/>
      </w:numPr>
    </w:pPr>
  </w:style>
  <w:style w:type="numbering" w:customStyle="1" w:styleId="WW8Num9">
    <w:name w:val="WW8Num9"/>
    <w:rsid w:val="008F2079"/>
    <w:pPr>
      <w:numPr>
        <w:numId w:val="10"/>
      </w:numPr>
    </w:pPr>
  </w:style>
  <w:style w:type="numbering" w:customStyle="1" w:styleId="WW8Num10">
    <w:name w:val="WW8Num10"/>
    <w:rsid w:val="008F2079"/>
    <w:pPr>
      <w:numPr>
        <w:numId w:val="11"/>
      </w:numPr>
    </w:pPr>
  </w:style>
  <w:style w:type="numbering" w:customStyle="1" w:styleId="WW8Num11">
    <w:name w:val="WW8Num11"/>
    <w:rsid w:val="008F2079"/>
    <w:pPr>
      <w:numPr>
        <w:numId w:val="12"/>
      </w:numPr>
    </w:pPr>
  </w:style>
  <w:style w:type="numbering" w:customStyle="1" w:styleId="WW8Num12">
    <w:name w:val="WW8Num12"/>
    <w:rsid w:val="008F2079"/>
    <w:pPr>
      <w:numPr>
        <w:numId w:val="13"/>
      </w:numPr>
    </w:pPr>
  </w:style>
  <w:style w:type="paragraph" w:styleId="a4">
    <w:name w:val="header"/>
    <w:basedOn w:val="a"/>
    <w:link w:val="a5"/>
    <w:uiPriority w:val="99"/>
    <w:unhideWhenUsed/>
    <w:rsid w:val="008D4B24"/>
    <w:pPr>
      <w:tabs>
        <w:tab w:val="center" w:pos="4252"/>
        <w:tab w:val="right" w:pos="8504"/>
      </w:tabs>
      <w:snapToGrid w:val="0"/>
    </w:pPr>
  </w:style>
  <w:style w:type="character" w:customStyle="1" w:styleId="a5">
    <w:name w:val="ヘッダー (文字)"/>
    <w:basedOn w:val="a0"/>
    <w:link w:val="a4"/>
    <w:uiPriority w:val="99"/>
    <w:rsid w:val="008D4B2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887</Words>
  <Characters>5062</Characters>
  <Application>Microsoft Office Word</Application>
  <DocSecurity>0</DocSecurity>
  <Lines>42</Lines>
  <Paragraphs>11</Paragraphs>
  <ScaleCrop>false</ScaleCrop>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2022-01-04T14:22:00Z</dcterms:created>
  <dcterms:modified xsi:type="dcterms:W3CDTF">2022-01-04T14:22:00Z</dcterms:modified>
</cp:coreProperties>
</file>