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0DD2" w:rsidRDefault="00152132">
      <w:pPr>
        <w:pStyle w:val="en"/>
      </w:pPr>
      <w:r>
        <w:t>Enforcement Order of the Act on the Assessment of Releases of Specified Chemical Substances in the Environment and the Promotion of Management Improvement</w:t>
      </w:r>
    </w:p>
    <w:p w:rsidR="00F20DD2" w:rsidRDefault="00F20DD2"/>
    <w:p w:rsidR="00F20DD2" w:rsidRDefault="00152132">
      <w:pPr>
        <w:pStyle w:val="enf"/>
      </w:pPr>
      <w:r>
        <w:t>(Cabinet Order No. 138 of March 29, 2000)</w:t>
      </w:r>
    </w:p>
    <w:p w:rsidR="00F20DD2" w:rsidRDefault="00F20DD2"/>
    <w:p w:rsidR="00F20DD2" w:rsidRDefault="00152132">
      <w:pPr>
        <w:pStyle w:val="ene"/>
      </w:pPr>
      <w:r>
        <w:t xml:space="preserve">The Cabinet hereby enacts this Cabinet Order based on </w:t>
      </w:r>
      <w:r>
        <w:t xml:space="preserve">the provisions of Article 2, paragraph (2), paragraph (3), paragraph (5) and paragraph (6), and Article 21 of the Act on the Assessment of Releases of Specified Chemical Substances in the Environment and the Promotion of Management Improvement (Act No. 86 </w:t>
      </w:r>
      <w:r>
        <w:t>of 1999).</w:t>
      </w:r>
    </w:p>
    <w:p w:rsidR="00F20DD2" w:rsidRDefault="00F20DD2"/>
    <w:p w:rsidR="00F20DD2" w:rsidRDefault="00152132">
      <w:pPr>
        <w:pStyle w:val="ena"/>
      </w:pPr>
      <w:r>
        <w:t>(Class I Designated Chemical Substances)</w:t>
      </w:r>
    </w:p>
    <w:p w:rsidR="00F20DD2" w:rsidRDefault="00152132">
      <w:pPr>
        <w:pStyle w:val="enf3"/>
      </w:pPr>
      <w:r>
        <w:t>Article 1  Class I designated chemical substances set forth in Article 2, paragraph (2) of the Act on the Assessment of Releases of Specified Chemical Substances in the Environment and the Promotion of Ma</w:t>
      </w:r>
      <w:r>
        <w:t>nagement Improvement (hereinafter referred to as the "Act") are as prescribed in the Appended Table 1.</w:t>
      </w:r>
    </w:p>
    <w:p w:rsidR="00F20DD2" w:rsidRDefault="00F20DD2"/>
    <w:p w:rsidR="00F20DD2" w:rsidRDefault="00152132">
      <w:pPr>
        <w:pStyle w:val="ena"/>
      </w:pPr>
      <w:r>
        <w:t>(Class II Designated Chemical Substances)</w:t>
      </w:r>
    </w:p>
    <w:p w:rsidR="00F20DD2" w:rsidRDefault="00152132">
      <w:pPr>
        <w:pStyle w:val="enf3"/>
      </w:pPr>
      <w:r>
        <w:t>Article 2  Class II designated chemical substances set forth in Article 2, paragraph (3) of the Act are as pre</w:t>
      </w:r>
      <w:r>
        <w:t>scribed in the Appended Table 2.</w:t>
      </w:r>
    </w:p>
    <w:p w:rsidR="00F20DD2" w:rsidRDefault="00F20DD2"/>
    <w:p w:rsidR="00F20DD2" w:rsidRDefault="00152132">
      <w:pPr>
        <w:pStyle w:val="ena"/>
      </w:pPr>
      <w:r>
        <w:t>(Business Types)</w:t>
      </w:r>
    </w:p>
    <w:p w:rsidR="00F20DD2" w:rsidRDefault="00152132">
      <w:pPr>
        <w:pStyle w:val="enf3"/>
      </w:pPr>
      <w:r>
        <w:t>Article 3  Business types specified by Cabinet Order as set forth in Article 2, paragraph (5) of the Act are as follows:</w:t>
      </w:r>
    </w:p>
    <w:p w:rsidR="00F20DD2" w:rsidRDefault="00152132">
      <w:pPr>
        <w:pStyle w:val="enf6"/>
      </w:pPr>
      <w:r>
        <w:t>(i) metal mining;</w:t>
      </w:r>
    </w:p>
    <w:p w:rsidR="00F20DD2" w:rsidRDefault="00152132">
      <w:pPr>
        <w:pStyle w:val="enf6"/>
      </w:pPr>
      <w:r>
        <w:t>(ii) crude oil and natural gas mining;</w:t>
      </w:r>
    </w:p>
    <w:p w:rsidR="00F20DD2" w:rsidRDefault="00152132">
      <w:pPr>
        <w:pStyle w:val="enf6"/>
      </w:pPr>
      <w:r>
        <w:t>(iii) manufacturing industr</w:t>
      </w:r>
      <w:r>
        <w:t>y;</w:t>
      </w:r>
    </w:p>
    <w:p w:rsidR="00F20DD2" w:rsidRDefault="00152132">
      <w:pPr>
        <w:pStyle w:val="enf6"/>
      </w:pPr>
      <w:r>
        <w:t>(iv) electric utility industry;</w:t>
      </w:r>
    </w:p>
    <w:p w:rsidR="00F20DD2" w:rsidRDefault="00152132">
      <w:pPr>
        <w:pStyle w:val="enf6"/>
      </w:pPr>
      <w:r>
        <w:t>(v) gas industry;</w:t>
      </w:r>
    </w:p>
    <w:p w:rsidR="00F20DD2" w:rsidRDefault="00152132">
      <w:pPr>
        <w:pStyle w:val="enf6"/>
      </w:pPr>
      <w:r>
        <w:t>(vi) heat supply industry</w:t>
      </w:r>
    </w:p>
    <w:p w:rsidR="00F20DD2" w:rsidRDefault="00152132">
      <w:pPr>
        <w:pStyle w:val="enf6"/>
      </w:pPr>
      <w:r>
        <w:t>(vii) sewerage industry;</w:t>
      </w:r>
    </w:p>
    <w:p w:rsidR="00F20DD2" w:rsidRDefault="00152132">
      <w:pPr>
        <w:pStyle w:val="enf6"/>
      </w:pPr>
      <w:r>
        <w:t>(viii) railroad industry;</w:t>
      </w:r>
    </w:p>
    <w:p w:rsidR="00F20DD2" w:rsidRDefault="00152132">
      <w:pPr>
        <w:pStyle w:val="enf6"/>
      </w:pPr>
      <w:r>
        <w:t>(ix) warehousing industry (limited to warehousing to store crops or to store gas or liquid in a storage tank);</w:t>
      </w:r>
    </w:p>
    <w:p w:rsidR="00F20DD2" w:rsidRDefault="00152132">
      <w:pPr>
        <w:pStyle w:val="enf6"/>
      </w:pPr>
      <w:r>
        <w:t>(x) petroleum w</w:t>
      </w:r>
      <w:r>
        <w:t>holesale business;</w:t>
      </w:r>
    </w:p>
    <w:p w:rsidR="00F20DD2" w:rsidRDefault="00152132">
      <w:pPr>
        <w:pStyle w:val="enf6"/>
      </w:pPr>
      <w:r>
        <w:t xml:space="preserve">(xi) iron scrap wholesale business (limited to the wholesale business of collecting substances contained in air conditioners for automobiles or </w:t>
      </w:r>
      <w:r>
        <w:lastRenderedPageBreak/>
        <w:t>removing air conditioners for automobiles installed in automobile bodies);</w:t>
      </w:r>
    </w:p>
    <w:p w:rsidR="00F20DD2" w:rsidRDefault="00152132">
      <w:pPr>
        <w:pStyle w:val="enf6"/>
      </w:pPr>
      <w:r>
        <w:t>(xii) automobile w</w:t>
      </w:r>
      <w:r>
        <w:t>holesale business (limited to the wholesale business of collecting substances contained in air conditioners for automobiles)</w:t>
      </w:r>
    </w:p>
    <w:p w:rsidR="00F20DD2" w:rsidRDefault="00152132">
      <w:pPr>
        <w:pStyle w:val="enf6"/>
      </w:pPr>
      <w:r>
        <w:t>(xiii) fuel retail business;</w:t>
      </w:r>
    </w:p>
    <w:p w:rsidR="00F20DD2" w:rsidRDefault="00152132">
      <w:pPr>
        <w:pStyle w:val="enf6"/>
      </w:pPr>
      <w:r>
        <w:t>(xiv) laundry industry;</w:t>
      </w:r>
    </w:p>
    <w:p w:rsidR="00F20DD2" w:rsidRDefault="00152132">
      <w:pPr>
        <w:pStyle w:val="enf6"/>
      </w:pPr>
      <w:r>
        <w:t>(xv) photograph business;</w:t>
      </w:r>
    </w:p>
    <w:p w:rsidR="00F20DD2" w:rsidRDefault="00152132">
      <w:pPr>
        <w:pStyle w:val="enf6"/>
      </w:pPr>
      <w:r>
        <w:t>(xvi) automobile repair industry;</w:t>
      </w:r>
    </w:p>
    <w:p w:rsidR="00F20DD2" w:rsidRDefault="00152132">
      <w:pPr>
        <w:pStyle w:val="enf6"/>
      </w:pPr>
      <w:r>
        <w:t xml:space="preserve">(xvii) </w:t>
      </w:r>
      <w:r>
        <w:t>machine repair industry;</w:t>
      </w:r>
    </w:p>
    <w:p w:rsidR="00F20DD2" w:rsidRDefault="00152132">
      <w:pPr>
        <w:pStyle w:val="enf6"/>
      </w:pPr>
      <w:r>
        <w:t>(xviii) product inspection industry;</w:t>
      </w:r>
    </w:p>
    <w:p w:rsidR="00F20DD2" w:rsidRDefault="00152132">
      <w:pPr>
        <w:pStyle w:val="enf6"/>
      </w:pPr>
      <w:r>
        <w:t>(xix) measurement certification industry (excluding general measurement certification industry);</w:t>
      </w:r>
    </w:p>
    <w:p w:rsidR="00F20DD2" w:rsidRDefault="00152132">
      <w:pPr>
        <w:pStyle w:val="enf6"/>
      </w:pPr>
      <w:r>
        <w:t>(xx) domestic waste industry (limited to garbage disposal business)</w:t>
      </w:r>
    </w:p>
    <w:p w:rsidR="00F20DD2" w:rsidRDefault="00152132">
      <w:pPr>
        <w:pStyle w:val="enf6"/>
      </w:pPr>
      <w:r>
        <w:t>(xxi) industrial waste manage</w:t>
      </w:r>
      <w:r>
        <w:t>ment industry (including specially controlled industrial waste management industry)</w:t>
      </w:r>
    </w:p>
    <w:p w:rsidR="00F20DD2" w:rsidRDefault="00152132">
      <w:pPr>
        <w:pStyle w:val="enf6"/>
      </w:pPr>
      <w:r>
        <w:t>(xxii) medical and other health services;</w:t>
      </w:r>
    </w:p>
    <w:p w:rsidR="00F20DD2" w:rsidRDefault="00152132">
      <w:pPr>
        <w:pStyle w:val="enf6"/>
      </w:pPr>
      <w:r>
        <w:t>(xxiii) higher education institutions (including adjunct facilities and excluding those pertaining only to humanities); and</w:t>
      </w:r>
    </w:p>
    <w:p w:rsidR="00F20DD2" w:rsidRDefault="00152132">
      <w:pPr>
        <w:pStyle w:val="enf6"/>
      </w:pPr>
      <w:r>
        <w:t>(xxiv)</w:t>
      </w:r>
      <w:r>
        <w:t xml:space="preserve"> natural science research institutes.</w:t>
      </w:r>
    </w:p>
    <w:p w:rsidR="00F20DD2" w:rsidRDefault="00F20DD2"/>
    <w:p w:rsidR="00F20DD2" w:rsidRDefault="00152132">
      <w:pPr>
        <w:pStyle w:val="ena"/>
      </w:pPr>
      <w:r>
        <w:t>(Requirements for Business Operators Handling Class I Designated Chemical Substances)</w:t>
      </w:r>
    </w:p>
    <w:p w:rsidR="00F20DD2" w:rsidRDefault="00152132">
      <w:pPr>
        <w:pStyle w:val="enf3"/>
      </w:pPr>
      <w:r>
        <w:t xml:space="preserve">Article 4  The requirements specified by Cabinet Order other than those listed in the items of Article 2, paragraph (5) of the Act </w:t>
      </w:r>
      <w:r>
        <w:t>are as follows.</w:t>
      </w:r>
    </w:p>
    <w:p w:rsidR="00F20DD2" w:rsidRDefault="00152132">
      <w:pPr>
        <w:pStyle w:val="enf6"/>
      </w:pPr>
      <w:r>
        <w:t>(i) that the business operator falls under any of the following sub-items:</w:t>
      </w:r>
    </w:p>
    <w:p w:rsidR="00F20DD2" w:rsidRDefault="00152132">
      <w:pPr>
        <w:pStyle w:val="enf9"/>
      </w:pPr>
      <w:r>
        <w:t>(a) a business operator that has a place of business at which the operator uses, in the course of business activities during the fiscal year, 1 ton or more of any of</w:t>
      </w:r>
      <w:r>
        <w:t xml:space="preserve"> the class I designated chemical substances (including those contained in products (meaning products as prescribed in Article 2, paragraph (5), item (i) of the Act; the same applies in (b)) that the operator handles in the course of business activities dur</w:t>
      </w:r>
      <w:r>
        <w:t>ing the fiscal year) other than specific class I designated chemical substances (meaning class I designated chemical substances listed in the Appended Table 1, (xxxiii), (lvi), (lxxv), (lxxxviii), (xciv), (ccxliii), (cccv), (cccix), (cccxxxii), (cccli), (c</w:t>
      </w:r>
      <w:r>
        <w:t>cclxxxv), (cccxciv), (cccxcvii), (cd), and (cdxi); the same applies in (b)) (when a class I designated chemical substance is any of the following 1 to 16, the term "1 ton or more" refers to the mass of the relevant substance specified in 1 to 16 respective</w:t>
      </w:r>
      <w:r>
        <w:t>ly; the mass is referred to as the "mass of class I designated chemical substance" in the following Article):</w:t>
      </w:r>
    </w:p>
    <w:p w:rsidR="00F20DD2" w:rsidRDefault="00152132">
      <w:pPr>
        <w:pStyle w:val="enfc"/>
      </w:pPr>
      <w:r>
        <w:t>1. Class I designated chemical substance listed in the Appended Table 1, (i): zinc;</w:t>
      </w:r>
    </w:p>
    <w:p w:rsidR="00F20DD2" w:rsidRDefault="00152132">
      <w:pPr>
        <w:pStyle w:val="enfc"/>
      </w:pPr>
      <w:r>
        <w:t>2. Class I designated chemical substance listed in the Appende</w:t>
      </w:r>
      <w:r>
        <w:t xml:space="preserve">d Table 1, </w:t>
      </w:r>
      <w:r>
        <w:lastRenderedPageBreak/>
        <w:t>(xxxi): antimony;</w:t>
      </w:r>
    </w:p>
    <w:p w:rsidR="00F20DD2" w:rsidRDefault="00152132">
      <w:pPr>
        <w:pStyle w:val="enfc"/>
      </w:pPr>
      <w:r>
        <w:t>3. Class I designated chemical substance listed in the Appended Table 1, (xliv): indium;</w:t>
      </w:r>
    </w:p>
    <w:p w:rsidR="00F20DD2" w:rsidRDefault="00152132">
      <w:pPr>
        <w:pStyle w:val="enfc"/>
      </w:pPr>
      <w:r>
        <w:t>4. Class I designated chemical substance listed in the Appended Table 1, (lxxxii): silver;</w:t>
      </w:r>
    </w:p>
    <w:p w:rsidR="00F20DD2" w:rsidRDefault="00152132">
      <w:pPr>
        <w:pStyle w:val="enfc"/>
      </w:pPr>
      <w:r>
        <w:t>5. Class I designated chemical substance listed</w:t>
      </w:r>
      <w:r>
        <w:t xml:space="preserve"> in the Appended Table 1, (lxxxvii): chromium;</w:t>
      </w:r>
    </w:p>
    <w:p w:rsidR="00F20DD2" w:rsidRDefault="00152132">
      <w:pPr>
        <w:pStyle w:val="enfc"/>
      </w:pPr>
      <w:r>
        <w:t>6. Class I designated chemical substance listed in the Appended Table 1, (cxxxii): cobalt;</w:t>
      </w:r>
    </w:p>
    <w:p w:rsidR="00F20DD2" w:rsidRDefault="00152132">
      <w:pPr>
        <w:pStyle w:val="enfc"/>
      </w:pPr>
      <w:r>
        <w:t>7. Class I designated chemical substance listed in the Appended Table 1, (cxliv): cyanogen;</w:t>
      </w:r>
    </w:p>
    <w:p w:rsidR="00F20DD2" w:rsidRDefault="00152132">
      <w:pPr>
        <w:pStyle w:val="enfc"/>
      </w:pPr>
      <w:r>
        <w:t>8. Class I designated chem</w:t>
      </w:r>
      <w:r>
        <w:t>ical substance listed in the Appended Table 1, (ccxxxvii): mercury;</w:t>
      </w:r>
    </w:p>
    <w:p w:rsidR="00F20DD2" w:rsidRDefault="00152132">
      <w:pPr>
        <w:pStyle w:val="enfc"/>
      </w:pPr>
      <w:r>
        <w:t>9. Class I designated chemical substance listed in the Appended Table 1, (ccxxxix): tin;</w:t>
      </w:r>
    </w:p>
    <w:p w:rsidR="00F20DD2" w:rsidRDefault="00152132">
      <w:pPr>
        <w:pStyle w:val="enfc"/>
      </w:pPr>
      <w:r>
        <w:t>10. Class I designated chemical substance listed in the Appended Table 1, (ccxlii): selenium;</w:t>
      </w:r>
    </w:p>
    <w:p w:rsidR="00F20DD2" w:rsidRDefault="00152132">
      <w:pPr>
        <w:pStyle w:val="enfc"/>
      </w:pPr>
      <w:r>
        <w:t>11. C</w:t>
      </w:r>
      <w:r>
        <w:t>lass I designated chemical substance listed in the Appended Table 1, (cclxxii): copper;</w:t>
      </w:r>
    </w:p>
    <w:p w:rsidR="00F20DD2" w:rsidRDefault="00152132">
      <w:pPr>
        <w:pStyle w:val="enfc"/>
      </w:pPr>
      <w:r>
        <w:t>12. Class I designated chemical substance listed in the Appended Table 1, (cccxxi): vanadium;</w:t>
      </w:r>
    </w:p>
    <w:p w:rsidR="00F20DD2" w:rsidRDefault="00152132">
      <w:pPr>
        <w:pStyle w:val="enfc"/>
      </w:pPr>
      <w:r>
        <w:t xml:space="preserve">13. Class I designated chemical substance listed in the Appended Table 1, </w:t>
      </w:r>
      <w:r>
        <w:t>(ccclxxiv): fluorine;</w:t>
      </w:r>
    </w:p>
    <w:p w:rsidR="00F20DD2" w:rsidRDefault="00152132">
      <w:pPr>
        <w:pStyle w:val="enfc"/>
      </w:pPr>
      <w:r>
        <w:t>14. Class I designated chemical substance listed in the Appended Table 1, (cdv): boron</w:t>
      </w:r>
    </w:p>
    <w:p w:rsidR="00F20DD2" w:rsidRDefault="00152132">
      <w:pPr>
        <w:pStyle w:val="enfc"/>
      </w:pPr>
      <w:r>
        <w:t>15. Class I designated chemical substance listed in the Appended Table 1, (cdxii): manganese;</w:t>
      </w:r>
    </w:p>
    <w:p w:rsidR="00F20DD2" w:rsidRDefault="00152132">
      <w:pPr>
        <w:pStyle w:val="enfc"/>
      </w:pPr>
      <w:r>
        <w:t xml:space="preserve">16. Class I designated chemical substance </w:t>
      </w:r>
      <w:r>
        <w:t>listed in the Appended Table 1, (cdliii): molybdenum</w:t>
      </w:r>
    </w:p>
    <w:p w:rsidR="00F20DD2" w:rsidRDefault="00152132">
      <w:pPr>
        <w:pStyle w:val="enf9"/>
      </w:pPr>
      <w:r>
        <w:t>(b) a business operator that has a place of business at which the operator uses, in the course of business activities during the fiscal year, 0.5 tons or more of any of the specific class I designated ch</w:t>
      </w:r>
      <w:r>
        <w:t>emical substances (including those contained in products that the operator handles in the course of business activities during the fiscal year) (when a specific class I designated chemical substance is any of the following 1 to 6, the term "0.5 tons or mor</w:t>
      </w:r>
      <w:r>
        <w:t>e" refers to the mass of the relevant substance specified respectively in 1 to 6 that the specific class I designated chemical substance contains; the mass is referred to as the "mass of specific class I designated chemical substance" in the following Arti</w:t>
      </w:r>
      <w:r>
        <w:t>cle):</w:t>
      </w:r>
    </w:p>
    <w:p w:rsidR="00F20DD2" w:rsidRDefault="00152132">
      <w:pPr>
        <w:pStyle w:val="enfc"/>
      </w:pPr>
      <w:r>
        <w:t>1. Class I designated chemical substance listed in the Appended Table 1, (lxxv): cadmium;</w:t>
      </w:r>
    </w:p>
    <w:p w:rsidR="00F20DD2" w:rsidRDefault="00152132">
      <w:pPr>
        <w:pStyle w:val="enfc"/>
      </w:pPr>
      <w:r>
        <w:t>2. Class I designated chemical substance listed in the Appended Table 1, (lxxxviii): chromium;</w:t>
      </w:r>
    </w:p>
    <w:p w:rsidR="00F20DD2" w:rsidRDefault="00152132">
      <w:pPr>
        <w:pStyle w:val="enfc"/>
      </w:pPr>
      <w:r>
        <w:t>3. Class I designated chemical substance listed in the Appended T</w:t>
      </w:r>
      <w:r>
        <w:t>able 1, (cccv): lead;</w:t>
      </w:r>
    </w:p>
    <w:p w:rsidR="00F20DD2" w:rsidRDefault="00152132">
      <w:pPr>
        <w:pStyle w:val="enfc"/>
      </w:pPr>
      <w:r>
        <w:t>4. Class I designated chemical substance listed in the Appended Table 1, (cccix): nickel;</w:t>
      </w:r>
    </w:p>
    <w:p w:rsidR="00F20DD2" w:rsidRDefault="00152132">
      <w:pPr>
        <w:pStyle w:val="enfc"/>
      </w:pPr>
      <w:r>
        <w:t>5. Class I designated chemical substance listed in the Appended Table 1, (cccxxxii): arsenic; and</w:t>
      </w:r>
    </w:p>
    <w:p w:rsidR="00F20DD2" w:rsidRDefault="00152132">
      <w:pPr>
        <w:pStyle w:val="enfc"/>
      </w:pPr>
      <w:r>
        <w:t>6. Class I designated chemical substance liste</w:t>
      </w:r>
      <w:r>
        <w:t>d in the Appended Table 1, (cccxciv): beryllium;</w:t>
      </w:r>
    </w:p>
    <w:p w:rsidR="00F20DD2" w:rsidRDefault="00152132">
      <w:pPr>
        <w:pStyle w:val="enf9"/>
      </w:pPr>
      <w:r>
        <w:t>(c) regarding a business operator who engages in a business type set forth in item (i) or item (ii) of the preceding Article, the operator that has established a facility specified by Order of the Ministry o</w:t>
      </w:r>
      <w:r>
        <w:t>f Economy, Trade and Industry set forth in Article 13, paragraph (1) of the Mine Safety Act (Act No. 70 of 1949);</w:t>
      </w:r>
    </w:p>
    <w:p w:rsidR="00F20DD2" w:rsidRDefault="00152132">
      <w:pPr>
        <w:pStyle w:val="enf9"/>
      </w:pPr>
      <w:r>
        <w:t>(d) regarding a business operator who engages in a business type set forth in item (vii) of the preceding Article, the operator that has estab</w:t>
      </w:r>
      <w:r>
        <w:t>lished a final sewage treatment facility;</w:t>
      </w:r>
    </w:p>
    <w:p w:rsidR="00F20DD2" w:rsidRDefault="00152132">
      <w:pPr>
        <w:pStyle w:val="enf9"/>
      </w:pPr>
      <w:r>
        <w:t>(e) regarding a business operator who engages in a business type set forth in item (xx) or item (xxi) of the preceding Article, the operator that has established a domestic waste disposal facility prescribed in Art</w:t>
      </w:r>
      <w:r>
        <w:t>icle 8, paragraph (1) of the Waste Disposal and Cleaning Act (Act No. 137 of 1970) or an industrial waste management facility prescribed in Article 15, paragraph (1) of that Act;</w:t>
      </w:r>
    </w:p>
    <w:p w:rsidR="00F20DD2" w:rsidRDefault="00152132">
      <w:pPr>
        <w:pStyle w:val="enf9"/>
      </w:pPr>
      <w:r>
        <w:t>(f) the business operator that has established a specified facility prescribe</w:t>
      </w:r>
      <w:r>
        <w:t>d in Article 2, paragraph (2) of the Act on Special Measures against Dioxins (Act No. 105 of 1999); and</w:t>
      </w:r>
    </w:p>
    <w:p w:rsidR="00F20DD2" w:rsidRDefault="00152132">
      <w:pPr>
        <w:pStyle w:val="enf6"/>
      </w:pPr>
      <w:r>
        <w:t>(ii) the business operator has 21 or more regularly hired employees.</w:t>
      </w:r>
    </w:p>
    <w:p w:rsidR="00F20DD2" w:rsidRDefault="00F20DD2"/>
    <w:p w:rsidR="00F20DD2" w:rsidRDefault="00152132">
      <w:pPr>
        <w:pStyle w:val="ena"/>
      </w:pPr>
      <w:r>
        <w:t>(Requirements Specified by Cabinet Order Set Forth in Article 2, Paragraph (5), It</w:t>
      </w:r>
      <w:r>
        <w:t>em (i) of the Act)</w:t>
      </w:r>
    </w:p>
    <w:p w:rsidR="00F20DD2" w:rsidRDefault="00152132">
      <w:pPr>
        <w:pStyle w:val="enf3"/>
      </w:pPr>
      <w:r>
        <w:t>Article 5  The requirements specified by Cabinet Order as set forth in Article 2, paragraph (5), item (i) of the Act are that any of the class I designated chemical substances accounts for 1 percent or more of the total mass of the produ</w:t>
      </w:r>
      <w:r>
        <w:t>ct or that any of the specific class I designated chemical substances accounts for 0.1 percent or more of the total mass of the product, and that the product does not fall under any of the following items:</w:t>
      </w:r>
    </w:p>
    <w:p w:rsidR="00F20DD2" w:rsidRDefault="00152132">
      <w:pPr>
        <w:pStyle w:val="enf6"/>
      </w:pPr>
      <w:r>
        <w:t>(i) a product that remains only in the form of a s</w:t>
      </w:r>
      <w:r>
        <w:t>olid in the process of being handled by a business operator and does not become powdered or granulated;</w:t>
      </w:r>
    </w:p>
    <w:p w:rsidR="00F20DD2" w:rsidRDefault="00152132">
      <w:pPr>
        <w:pStyle w:val="enf6"/>
      </w:pPr>
      <w:r>
        <w:t>(ii) a product in which class I designated chemical substance is handled in a hermetically sealed condition;</w:t>
      </w:r>
    </w:p>
    <w:p w:rsidR="00F20DD2" w:rsidRDefault="00152132">
      <w:pPr>
        <w:pStyle w:val="enf6"/>
      </w:pPr>
      <w:r>
        <w:t>(iii) a product mainly for general consumer</w:t>
      </w:r>
      <w:r>
        <w:t>s' daily use; or</w:t>
      </w:r>
    </w:p>
    <w:p w:rsidR="00F20DD2" w:rsidRDefault="00152132">
      <w:pPr>
        <w:pStyle w:val="enf6"/>
      </w:pPr>
      <w:r>
        <w:t>(iv) recyclable resources (meaning recyclable resources prescribed in Article 2, paragraph (4) of the Act on the Promotion of Effective Utilization of Resources (Act No. 48 of 1991); the same applies in item (iv) of the following Article).</w:t>
      </w:r>
    </w:p>
    <w:p w:rsidR="00F20DD2" w:rsidRDefault="00F20DD2"/>
    <w:p w:rsidR="00F20DD2" w:rsidRDefault="00152132">
      <w:pPr>
        <w:pStyle w:val="ena"/>
      </w:pPr>
      <w:r>
        <w:t>(Requirements Specified by Cabinet Order Set Forth in Article 2, Paragraph (6) of the Act)</w:t>
      </w:r>
    </w:p>
    <w:p w:rsidR="00F20DD2" w:rsidRDefault="00152132">
      <w:pPr>
        <w:pStyle w:val="enf3"/>
      </w:pPr>
      <w:r>
        <w:t>Article 6  The requirements specified by Cabinet Order as set forth in Article 2, paragraph (6) of the Act are that any of the class II designated chemical substan</w:t>
      </w:r>
      <w:r>
        <w:t>ces accounts for 1 percent or more of the total mass of the product and that the product does not fall under any of the following items:</w:t>
      </w:r>
    </w:p>
    <w:p w:rsidR="00F20DD2" w:rsidRDefault="00152132">
      <w:pPr>
        <w:pStyle w:val="enf6"/>
      </w:pPr>
      <w:r>
        <w:t xml:space="preserve">(i) a product that remains only in the form of a solid in the process of being handled by a business operator and does </w:t>
      </w:r>
      <w:r>
        <w:t>not become powdered or granulated;</w:t>
      </w:r>
    </w:p>
    <w:p w:rsidR="00F20DD2" w:rsidRDefault="00152132">
      <w:pPr>
        <w:pStyle w:val="enf6"/>
      </w:pPr>
      <w:r>
        <w:t>(ii) a product in which class II designated chemical substance is handled in a hermetically sealed condition;</w:t>
      </w:r>
    </w:p>
    <w:p w:rsidR="00F20DD2" w:rsidRDefault="00152132">
      <w:pPr>
        <w:pStyle w:val="enf6"/>
      </w:pPr>
      <w:r>
        <w:t>(iii) a product mainly for general consumers' daily use; or</w:t>
      </w:r>
    </w:p>
    <w:p w:rsidR="00F20DD2" w:rsidRDefault="00152132">
      <w:pPr>
        <w:pStyle w:val="enf6"/>
      </w:pPr>
      <w:r>
        <w:t>(iv) recyclable resources</w:t>
      </w:r>
    </w:p>
    <w:p w:rsidR="00F20DD2" w:rsidRDefault="00F20DD2"/>
    <w:p w:rsidR="00F20DD2" w:rsidRDefault="00152132">
      <w:pPr>
        <w:pStyle w:val="ena"/>
      </w:pPr>
      <w:r>
        <w:t xml:space="preserve">(Councils </w:t>
      </w:r>
      <w:r>
        <w:t>Specified by Cabinet Order)</w:t>
      </w:r>
    </w:p>
    <w:p w:rsidR="00F20DD2" w:rsidRDefault="00152132">
      <w:pPr>
        <w:pStyle w:val="enf3"/>
      </w:pPr>
      <w:r>
        <w:t xml:space="preserve">Article 7  Councils, etc. set forth in Article 18 of the Act that are specified by Cabinet Order are to be as listed in the right-hand column of the following Table for the respective ministers listed in the left-hand column of </w:t>
      </w:r>
      <w:r>
        <w:t>the Table.</w:t>
      </w:r>
    </w:p>
    <w:p w:rsidR="00F20DD2" w:rsidRDefault="00F20D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F20DD2">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0DD2" w:rsidRDefault="00152132">
            <w:pPr>
              <w:pStyle w:val="jaen"/>
            </w:pPr>
            <w:r>
              <w:t>Minister of Health, Labour and Welfare</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0DD2" w:rsidRDefault="00152132">
            <w:pPr>
              <w:pStyle w:val="jaen"/>
            </w:pPr>
            <w:r>
              <w:t>Pharmaceutical Affairs and Food Sanitation Council</w:t>
            </w:r>
          </w:p>
        </w:tc>
      </w:tr>
      <w:tr w:rsidR="00F20DD2">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0DD2" w:rsidRDefault="00152132">
            <w:pPr>
              <w:pStyle w:val="jaen"/>
            </w:pPr>
            <w:r>
              <w:t>Minister of Economy, Trade and Industry</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0DD2" w:rsidRDefault="00152132">
            <w:pPr>
              <w:pStyle w:val="jaen"/>
            </w:pPr>
            <w:r>
              <w:t>Chemical Substances Council</w:t>
            </w:r>
          </w:p>
        </w:tc>
      </w:tr>
      <w:tr w:rsidR="00F20DD2">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0DD2" w:rsidRDefault="00152132">
            <w:pPr>
              <w:pStyle w:val="jaen"/>
            </w:pPr>
            <w:r>
              <w:t>Minister of the Environment</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0DD2" w:rsidRDefault="00152132">
            <w:pPr>
              <w:pStyle w:val="jaen"/>
            </w:pPr>
            <w:r>
              <w:t>Central Environment Council</w:t>
            </w:r>
          </w:p>
        </w:tc>
      </w:tr>
    </w:tbl>
    <w:p w:rsidR="00F20DD2" w:rsidRDefault="00F20DD2"/>
    <w:p w:rsidR="00F20DD2" w:rsidRDefault="00152132">
      <w:pPr>
        <w:pStyle w:val="ena"/>
      </w:pPr>
      <w:r>
        <w:t>(Amount of Fees)</w:t>
      </w:r>
    </w:p>
    <w:p w:rsidR="00F20DD2" w:rsidRDefault="00152132">
      <w:pPr>
        <w:pStyle w:val="enf3"/>
      </w:pPr>
      <w:r>
        <w:t>Article 8</w:t>
      </w:r>
      <w:r>
        <w:t xml:space="preserve">  (1) The amount of fees set forth in Article 19 of the Act (hereinafter simply referred to as "fees" in this Article) is to be the amount specified in the following items respectively, in accordance with the method of disclosure set forth in the relevant </w:t>
      </w:r>
      <w:r>
        <w:t>items:</w:t>
      </w:r>
    </w:p>
    <w:p w:rsidR="00F20DD2" w:rsidRDefault="00152132">
      <w:pPr>
        <w:pStyle w:val="enf6"/>
      </w:pPr>
      <w:r>
        <w:t>(i) delivery in paper form: 20 yen per sheet;</w:t>
      </w:r>
    </w:p>
    <w:p w:rsidR="00F20DD2" w:rsidRDefault="00152132">
      <w:pPr>
        <w:pStyle w:val="enf6"/>
      </w:pPr>
      <w:r>
        <w:t>(ii) delivery by way of copying information onto a floppy disk (limited to a floppy disk with a width of 90 millimeters, conforming to JIS X6223; the same applies in the following Article): 80 yen per di</w:t>
      </w:r>
      <w:r>
        <w:t>sk plus 260 yen each for every 0.5 MB;</w:t>
      </w:r>
    </w:p>
    <w:p w:rsidR="00F20DD2" w:rsidRDefault="00152132">
      <w:pPr>
        <w:pStyle w:val="enf6"/>
      </w:pPr>
      <w:r>
        <w:t>(iii) delivery by way of copying information onto an optical disk (limited to an optical disk with a width of 120 millimeters, conforming to JIS X0606 or X6281, which can be read by an optical disk drive; the same app</w:t>
      </w:r>
      <w:r>
        <w:t>lies in the following Article): 200 yen per disk plus 260 yen each for every 0.5 MB (in the case of delivery by way of copying all information recorded in the file for the fiscal year for which a request for disclosure has been made as prescribed in Articl</w:t>
      </w:r>
      <w:r>
        <w:t>e 10, paragraph (2) of the Act (hereinafter referred to as a "request for disclosure"), 200 yen per disk plus 900 yen each for every 200 MB); and</w:t>
      </w:r>
    </w:p>
    <w:p w:rsidR="00F20DD2" w:rsidRDefault="00152132">
      <w:pPr>
        <w:pStyle w:val="enf6"/>
      </w:pPr>
      <w:r>
        <w:t>(iv) way of having a person who receives the disclosure to copy information to a file stored on a computer (in</w:t>
      </w:r>
      <w:r>
        <w:t>cluding input-output devices; hereinafter the same applies in this item) used by the person through use of an electronic data processing system (meaning an electronic data processing system connecting a computer used by the competent minister and a compute</w:t>
      </w:r>
      <w:r>
        <w:t>r used by the person who receives the disclosure through an electric telecommunication line) (limited to cases where a request for disclosure has been made via an electronic data processing system prescribed in Article 3, paragraph (1) of the Act on the Us</w:t>
      </w:r>
      <w:r>
        <w:t>e of Information and Communications Technologies for Administrative Procedures (Act No. 151 of 2002) as prescribed in that paragraph): 100 yen per case plus 240 yen each for every 0.5 MB (in the case of having the person to copy all information recorded in</w:t>
      </w:r>
      <w:r>
        <w:t xml:space="preserve"> the file for the fiscal year for which a request for disclosure has been made, 100 yen per case plus 880 yen each for every 200 MB)</w:t>
      </w:r>
    </w:p>
    <w:p w:rsidR="00F20DD2" w:rsidRDefault="00152132">
      <w:pPr>
        <w:pStyle w:val="enf4"/>
      </w:pPr>
      <w:r>
        <w:t xml:space="preserve">(2) The fees must be paid by affixing a revenue stamp to the document on which the matters set forth in the items of </w:t>
      </w:r>
      <w:r>
        <w:t>Article 10, paragraph (2) of the Act are stated; provided, however, that the fees may be paid in cash when specified by order of the competent ministry.</w:t>
      </w:r>
    </w:p>
    <w:p w:rsidR="00F20DD2" w:rsidRDefault="00152132">
      <w:pPr>
        <w:pStyle w:val="enf4"/>
      </w:pPr>
      <w:r>
        <w:t>(3) a person who receives the disclosure of information recorded in the file may request the sending of</w:t>
      </w:r>
      <w:r>
        <w:t xml:space="preserve"> a copy thereof by paying the sending expenses required in addition to the fees. In this case, the expense must be paid by postage stamp or by similar voucher specified by the competent minister.</w:t>
      </w:r>
    </w:p>
    <w:p w:rsidR="00F20DD2" w:rsidRDefault="00F20DD2"/>
    <w:p w:rsidR="00F20DD2" w:rsidRDefault="00152132">
      <w:pPr>
        <w:pStyle w:val="ena"/>
      </w:pPr>
      <w:r>
        <w:t>(Method of Notification or Request by a Magnetic Disk)</w:t>
      </w:r>
    </w:p>
    <w:p w:rsidR="00F20DD2" w:rsidRDefault="00152132">
      <w:pPr>
        <w:pStyle w:val="enf3"/>
      </w:pPr>
      <w:r>
        <w:t>Arti</w:t>
      </w:r>
      <w:r>
        <w:t>cle 9  A person who seeks to provide notification under Article 5, paragraph (2) of the Act or make a request under Article 6, paragraph (1) or paragraph (8) of the Act (hereinafter referred to as a "notification, etc." in this Article) via a magnetic disk</w:t>
      </w:r>
      <w:r>
        <w:t xml:space="preserve"> (meaning a floppy disk or an optical disk; the same applies hereinafter) must submit the magnetic disk that has the information pertaining to the notification, etc. recorded to the prefectural governor in the case of providing notification under Article 5</w:t>
      </w:r>
      <w:r>
        <w:t>, paragraph (2) of the Act, and to the competent minister in the case of making a request under Article 6, paragraph (1) or paragraph (8) of the Act, as specified by order of the competent ministry.</w:t>
      </w:r>
    </w:p>
    <w:p w:rsidR="00F20DD2" w:rsidRDefault="00F20DD2"/>
    <w:p w:rsidR="00F20DD2" w:rsidRDefault="00152132">
      <w:pPr>
        <w:pStyle w:val="ena"/>
      </w:pPr>
      <w:r>
        <w:t>(Method of Disclosure via Magnetic Disk)</w:t>
      </w:r>
    </w:p>
    <w:p w:rsidR="00F20DD2" w:rsidRDefault="00152132">
      <w:pPr>
        <w:pStyle w:val="enf3"/>
      </w:pPr>
      <w:r>
        <w:t>Article 10  Whe</w:t>
      </w:r>
      <w:r>
        <w:t>n the competent minister makes the disclosure under Article 11 of the Act via a magnetic disk, the minister must deliver a magnetic disk that has copied only the information pertaining to the request for disclosure out of the information recorded in the fi</w:t>
      </w:r>
      <w:r>
        <w:t>le to the person who has made the request for disclosure.</w:t>
      </w:r>
    </w:p>
    <w:p w:rsidR="00F20DD2" w:rsidRDefault="00F20DD2"/>
    <w:p w:rsidR="00F20DD2" w:rsidRDefault="00152132">
      <w:pPr>
        <w:pStyle w:val="en2"/>
      </w:pPr>
      <w:r>
        <w:t>Supplementary Provisions  [Extract]</w:t>
      </w:r>
    </w:p>
    <w:p w:rsidR="00F20DD2" w:rsidRDefault="00F20DD2"/>
    <w:p w:rsidR="00F20DD2" w:rsidRDefault="00152132">
      <w:pPr>
        <w:pStyle w:val="ena"/>
      </w:pPr>
      <w:r>
        <w:t>(Effective Date)</w:t>
      </w:r>
    </w:p>
    <w:p w:rsidR="00F20DD2" w:rsidRDefault="00152132">
      <w:pPr>
        <w:pStyle w:val="enf3"/>
      </w:pPr>
      <w:r>
        <w:t>Article 1  This Cabinet Order comes into effect as of the date of on which the Act comes into effect (March 30, 2000).</w:t>
      </w:r>
    </w:p>
    <w:p w:rsidR="00F20DD2" w:rsidRDefault="00F20DD2"/>
    <w:p w:rsidR="00F20DD2" w:rsidRDefault="00152132">
      <w:pPr>
        <w:pStyle w:val="ena"/>
      </w:pPr>
      <w:r>
        <w:t xml:space="preserve">(Transitional </w:t>
      </w:r>
      <w:r>
        <w:t>Measures)</w:t>
      </w:r>
    </w:p>
    <w:p w:rsidR="00F20DD2" w:rsidRDefault="00152132">
      <w:pPr>
        <w:pStyle w:val="enf3"/>
      </w:pPr>
      <w:r>
        <w:t>Article 2  During the period until the day on which two years have passed from the date the provisions set forth in Article 1, item (iii) of the Supplementary Provisions of the Act comes into effect, the term "1 ton" in Article 4, item (i), (a) i</w:t>
      </w:r>
      <w:r>
        <w:t>s deemed to be replaced with "5 tons."</w:t>
      </w:r>
    </w:p>
    <w:p w:rsidR="00F20DD2" w:rsidRDefault="00F20DD2"/>
    <w:p w:rsidR="00F20DD2" w:rsidRDefault="00152132">
      <w:pPr>
        <w:pStyle w:val="en2"/>
      </w:pPr>
      <w:r>
        <w:t>Supplementary Provisions  [Cabinet Order No. 313 of June 7, 2000]  [Extract]</w:t>
      </w:r>
    </w:p>
    <w:p w:rsidR="00F20DD2" w:rsidRDefault="00F20DD2"/>
    <w:p w:rsidR="00F20DD2" w:rsidRDefault="00152132">
      <w:pPr>
        <w:pStyle w:val="ena"/>
      </w:pPr>
      <w:r>
        <w:t>(Effective Date)</w:t>
      </w:r>
    </w:p>
    <w:p w:rsidR="00F20DD2" w:rsidRDefault="00152132">
      <w:pPr>
        <w:pStyle w:val="enf3"/>
      </w:pPr>
      <w:r>
        <w:t>Article 1  This Cabinet Order comes into effect as of the date on which the Act for Partial Revision of the Cabinet Act (</w:t>
      </w:r>
      <w:r>
        <w:t>Act No. 88 of 1999) comes into effect (January 6, 2001).</w:t>
      </w:r>
    </w:p>
    <w:p w:rsidR="00F20DD2" w:rsidRDefault="00F20DD2"/>
    <w:p w:rsidR="00F20DD2" w:rsidRDefault="00152132">
      <w:pPr>
        <w:pStyle w:val="en2"/>
      </w:pPr>
      <w:r>
        <w:t>Supplementary Provisions  [Cabinet Order No. 56 of March 22, 2001]  [Extract]</w:t>
      </w:r>
    </w:p>
    <w:p w:rsidR="00F20DD2" w:rsidRDefault="00F20DD2"/>
    <w:p w:rsidR="00F20DD2" w:rsidRDefault="00152132">
      <w:pPr>
        <w:pStyle w:val="ena"/>
      </w:pPr>
      <w:r>
        <w:t>(Effective Date)</w:t>
      </w:r>
    </w:p>
    <w:p w:rsidR="00F20DD2" w:rsidRDefault="00152132">
      <w:pPr>
        <w:pStyle w:val="enf3"/>
      </w:pPr>
      <w:r>
        <w:t>Article 1  This Cabinet Order comes into effect as of April 1, 2001.</w:t>
      </w:r>
    </w:p>
    <w:p w:rsidR="00F20DD2" w:rsidRDefault="00F20DD2"/>
    <w:p w:rsidR="00F20DD2" w:rsidRDefault="00152132">
      <w:pPr>
        <w:pStyle w:val="en2"/>
      </w:pPr>
      <w:r>
        <w:t>Supplementary Provisions  [Cabin</w:t>
      </w:r>
      <w:r>
        <w:t>et Order No. 441 of December 28, 2001]</w:t>
      </w:r>
    </w:p>
    <w:p w:rsidR="00F20DD2" w:rsidRDefault="00F20DD2"/>
    <w:p w:rsidR="00F20DD2" w:rsidRDefault="00152132">
      <w:pPr>
        <w:pStyle w:val="enf5"/>
      </w:pPr>
      <w:r>
        <w:t xml:space="preserve">This Cabinet Order comes into effect as of the date on which the provisions set forth in Article 1, item (iii) of the Supplementary Provisions of the Act (excluding the provisions of Article 5, paragraph (1)) </w:t>
      </w:r>
      <w:r>
        <w:t>comes into effect (January 12, 2002).</w:t>
      </w:r>
    </w:p>
    <w:p w:rsidR="00F20DD2" w:rsidRDefault="00F20DD2"/>
    <w:p w:rsidR="00F20DD2" w:rsidRDefault="00152132">
      <w:pPr>
        <w:pStyle w:val="en2"/>
      </w:pPr>
      <w:r>
        <w:t>Supplementary Provisions  [Cabinet Order No. 386 of December 18, 2002]  [Extract]</w:t>
      </w:r>
    </w:p>
    <w:p w:rsidR="00F20DD2" w:rsidRDefault="00F20DD2"/>
    <w:p w:rsidR="00F20DD2" w:rsidRDefault="00152132">
      <w:pPr>
        <w:pStyle w:val="ena"/>
      </w:pPr>
      <w:r>
        <w:t>(Effective Date)</w:t>
      </w:r>
    </w:p>
    <w:p w:rsidR="00F20DD2" w:rsidRDefault="00152132">
      <w:pPr>
        <w:pStyle w:val="enf3"/>
      </w:pPr>
      <w:r>
        <w:t>Article 1  This Cabinet Order comes into effect as of April 1, 2003.</w:t>
      </w:r>
    </w:p>
    <w:p w:rsidR="00F20DD2" w:rsidRDefault="00F20DD2"/>
    <w:p w:rsidR="00F20DD2" w:rsidRDefault="00152132">
      <w:pPr>
        <w:pStyle w:val="en2"/>
      </w:pPr>
      <w:r>
        <w:t>Supplementary Provisions  [Cabinet Order No. 28</w:t>
      </w:r>
      <w:r>
        <w:t xml:space="preserve"> of January 31, 2003]  [Extract]</w:t>
      </w:r>
    </w:p>
    <w:p w:rsidR="00F20DD2" w:rsidRDefault="00F20DD2"/>
    <w:p w:rsidR="00F20DD2" w:rsidRDefault="00152132">
      <w:pPr>
        <w:pStyle w:val="ena"/>
      </w:pPr>
      <w:r>
        <w:t>(Effective Date)</w:t>
      </w:r>
    </w:p>
    <w:p w:rsidR="00F20DD2" w:rsidRDefault="00152132">
      <w:pPr>
        <w:pStyle w:val="enf3"/>
      </w:pPr>
      <w:r>
        <w:t>Article 1  This Cabinet Order comes into effect as of the date on which the Act on the Use of Information and Communications Technologies for Administrative Procedures comes into effect (February 3, 2003).</w:t>
      </w:r>
    </w:p>
    <w:p w:rsidR="00F20DD2" w:rsidRDefault="00F20DD2"/>
    <w:p w:rsidR="00F20DD2" w:rsidRDefault="00152132">
      <w:pPr>
        <w:pStyle w:val="en2"/>
      </w:pPr>
      <w:r>
        <w:t>Supplementary Provisions  [Cabinet Order No. 47 of March 19, 2004]</w:t>
      </w:r>
    </w:p>
    <w:p w:rsidR="00F20DD2" w:rsidRDefault="00F20DD2"/>
    <w:p w:rsidR="00F20DD2" w:rsidRDefault="00152132">
      <w:pPr>
        <w:pStyle w:val="enf5"/>
      </w:pPr>
      <w:r>
        <w:t>This Cabinet Order comes into effect as of March 29, 2004.</w:t>
      </w:r>
    </w:p>
    <w:p w:rsidR="00F20DD2" w:rsidRDefault="00F20DD2"/>
    <w:p w:rsidR="00F20DD2" w:rsidRDefault="00152132">
      <w:pPr>
        <w:pStyle w:val="en2"/>
      </w:pPr>
      <w:r>
        <w:t>Supplementary Provisions  [Cabinet Order No. 328 of October 27, 2004]</w:t>
      </w:r>
    </w:p>
    <w:p w:rsidR="00F20DD2" w:rsidRDefault="00F20DD2"/>
    <w:p w:rsidR="00F20DD2" w:rsidRDefault="00152132">
      <w:pPr>
        <w:pStyle w:val="ena"/>
      </w:pPr>
      <w:r>
        <w:t>(Effective Date)</w:t>
      </w:r>
    </w:p>
    <w:p w:rsidR="00F20DD2" w:rsidRDefault="00152132">
      <w:pPr>
        <w:pStyle w:val="enf3"/>
      </w:pPr>
      <w:r>
        <w:t>Article 1  This Cabinet Order comes in</w:t>
      </w:r>
      <w:r>
        <w:t>to effect as of April 1, 2005.</w:t>
      </w:r>
    </w:p>
    <w:p w:rsidR="00F20DD2" w:rsidRDefault="00F20DD2"/>
    <w:p w:rsidR="00F20DD2" w:rsidRDefault="00152132">
      <w:pPr>
        <w:pStyle w:val="ena"/>
      </w:pPr>
      <w:r>
        <w:t>(Transitional Measures)</w:t>
      </w:r>
    </w:p>
    <w:p w:rsidR="00F20DD2" w:rsidRDefault="00152132">
      <w:pPr>
        <w:pStyle w:val="enf3"/>
      </w:pPr>
      <w:r>
        <w:t>Article 2  Permission, approval and any other disposition made by the Director of the Regional Bureau of Economy, Trade and Industry pursuant to the provisions of the respective Cabinet Orders prior t</w:t>
      </w:r>
      <w:r>
        <w:t>o their amendment before the implementation of this Cabinet Order (limited to permission, approval and any other disposition related to the affairs listed in Article 4, paragraph (1), item (lix) of the Act for Establishment of the Ministry of Economy, Trad</w:t>
      </w:r>
      <w:r>
        <w:t>e and Industry prior to its amendment by Article 2 of the Act for Partial Revision of the Mine Safety Act and the Act for Establishment of the Ministry of Economy, Trade and Industry (Act No. 99 of 1999; hereinafter referred to as the "former Act for Estab</w:t>
      </w:r>
      <w:r>
        <w:t xml:space="preserve">lishment of the Ministry of Economy, Trade and Industry") out of the affairs placed under the jurisdiction of the Ministry of Economy, Trade and Industry pursuant to Article 12, paragraph (2) of the former Act for Establishment of the Ministry of Economy, </w:t>
      </w:r>
      <w:r>
        <w:t>Trade and Industry; hereinafter the permission, approval and any other disposition are referred to as "disposition, etc.") are deemed to be disposition, etc. that has been made by the Director General of the Industrial Safety and Inspection Department havi</w:t>
      </w:r>
      <w:r>
        <w:t>ng jurisdiction over the jurisdictional district of the respective Directors of the Regional Bureau of Economy, Trade and Industry. An application, notification or any other act that has been filed, provided to or in any way undertaken with regard to the D</w:t>
      </w:r>
      <w:r>
        <w:t>irector of the Regional Bureau of Economy, Trade and Industry pursuant to the provisions of the respective Cabinet Orders prior to their amendment before the implementation of this Cabinet Order (limited to an application, notification or any other act rel</w:t>
      </w:r>
      <w:r>
        <w:t>ated to the affairs listed in Article 4, paragraph (1), item (lix) of the former Act for Establishment of the Ministry of Economy, Trade and Industry out of the affairs placed under the jurisdiction of the Ministry of Economy, Trade and Industry pursuant t</w:t>
      </w:r>
      <w:r>
        <w:t>o Article 12, paragraph (2) of the former Act for Establishment of the Ministry of Economy, Trade and Industry; hereinafter the application, notification or any other act is referred to as "application, etc.") is deemed to be application, etc. that has bee</w:t>
      </w:r>
      <w:r>
        <w:t>n filed with the Director General of the Industrial Safety and Inspection Department having jurisdiction over the jurisdictional district of the respective Directors of the Regional Bureau of Economy, Trade and Industry.</w:t>
      </w:r>
    </w:p>
    <w:p w:rsidR="00F20DD2" w:rsidRDefault="00F20DD2"/>
    <w:p w:rsidR="00F20DD2" w:rsidRDefault="00152132">
      <w:pPr>
        <w:pStyle w:val="en2"/>
      </w:pPr>
      <w:r>
        <w:t>Supplementary Provisions  [Cabinet</w:t>
      </w:r>
      <w:r>
        <w:t xml:space="preserve"> Order No. 356 of November 21, 2008]</w:t>
      </w:r>
    </w:p>
    <w:p w:rsidR="00F20DD2" w:rsidRDefault="00F20DD2"/>
    <w:p w:rsidR="00F20DD2" w:rsidRDefault="00152132">
      <w:pPr>
        <w:pStyle w:val="ena"/>
      </w:pPr>
      <w:r>
        <w:t>(Effective Date)</w:t>
      </w:r>
    </w:p>
    <w:p w:rsidR="00F20DD2" w:rsidRDefault="00152132">
      <w:pPr>
        <w:pStyle w:val="enf4"/>
      </w:pPr>
      <w:r>
        <w:t>(1) This Cabinet Order comes into effect as of October 1, 2008.</w:t>
      </w:r>
    </w:p>
    <w:p w:rsidR="00F20DD2" w:rsidRDefault="00F20DD2"/>
    <w:p w:rsidR="00F20DD2" w:rsidRDefault="00152132">
      <w:pPr>
        <w:pStyle w:val="ena"/>
      </w:pPr>
      <w:r>
        <w:t>(Transitional Measures)</w:t>
      </w:r>
    </w:p>
    <w:p w:rsidR="00F20DD2" w:rsidRDefault="00152132">
      <w:pPr>
        <w:pStyle w:val="enf4"/>
      </w:pPr>
      <w:r>
        <w:t xml:space="preserve">(2) The provisions of the Enforcement Order of the Act on the Assessment of Releases of Specified </w:t>
      </w:r>
      <w:r>
        <w:t xml:space="preserve">Chemical Substances in the Environment and the Promotion of Management Improvement after the amendment by this Cabinet Order apply to the release amount and the transferred amount of class I designated chemical substance prescribed in Article 5, paragraph </w:t>
      </w:r>
      <w:r>
        <w:t>(1) of the Act on the Assessment of Releases of Specified Chemical Substances in the Environment and the Promotion of Management Improvement (hereinafter referred to as the "release amount, etc.") to be assessed in or after fiscal year 2010, and the releas</w:t>
      </w:r>
      <w:r>
        <w:t>e amount, etc. to be notified in or after fiscal year 2011; and with regard to the release amount, etc. to be assessed in fiscal year 2009 and the release amount, etc. to be notified in fiscal year 2010, the provisions then in force remain applicable.</w:t>
      </w:r>
    </w:p>
    <w:p w:rsidR="00F20DD2" w:rsidRDefault="00F20DD2"/>
    <w:p w:rsidR="00F20DD2" w:rsidRDefault="00152132">
      <w:pPr>
        <w:pStyle w:val="en8"/>
        <w:ind w:left="227" w:hanging="227"/>
      </w:pPr>
      <w:r>
        <w:t>App</w:t>
      </w:r>
      <w:r>
        <w:t>ended Table 1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(i) water-soluble compounds of zinc</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(ii) acrylamide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(iii) ethyl 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(iv) acrylic acid and its water-soluble salts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(v) 2-(dimethylamino)ethyl 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(vi) 2-hydroxyethyl 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(vii) n-butyl 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(viii) methy</w:t>
            </w:r>
            <w:r>
              <w:t>l 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(ix) acrylonitrile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 acrolein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(xi) sodium azide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(xii) acetaldehyde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(xiii) acetonitrile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(xiv) acetone cyanohydrin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(xv) acenaphthene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(xvi) 2,2'-azobisisobutyronitrile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(xvii) o-anisidine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(xviii) 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(xix) </w:t>
            </w:r>
            <w:r>
              <w:t>1-amino-9,10-anthraquinone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 2-aminoethanol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(xxi) 5-amino-4-chloro-2-phenylpyridazin-3(2H)-one; chloridazon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(xxii) </w:t>
            </w:r>
            <w:r>
              <w:t>5-amino-1-[2,6-dichloro-4-(trifluoromethyl)phenyl]-3-cyano-4[(trifluoromethyl)sulfinyl]pyrazole; fipronil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(xxiii) p-aminophenol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(xxiv) m-aminophenol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(xxv) 4-amino-6-tert-butyl-3-methylthio-1,2,4-triazin-5(4H)-one; metribuzin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(xxvi) 3-amino-1-propene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w:t>
            </w:r>
            <w:r>
              <w:t>xxvii) 4-amino-3-methyl-6-phenyl-1,2,4-triazin-5(4H)-one; metamitron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(xxviii) allyl alcohol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(xxix) 1-allyloxy-2,3-epoxypropane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 n-alkylbenzenesulfonic acid and its salts (limited to alkyl C=10-14)</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(xxxi) antimony and its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(xxxii) anthrac</w:t>
            </w:r>
            <w:r>
              <w:t>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(xxxiii) asbestos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(xxxiv) 3-isocyanatomethyl-3,5,5-trimethylcyclohexyl isocyanate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(xxxv) isobutyraldehyde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(xxxvi) isoprene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(xxxvii) 4,4'-isopropylidenediphenol; bisphenol A</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(xxxviii) </w:t>
            </w:r>
            <w:r>
              <w:t>2,2'-{isopropylidenebis[(2,6-dibromo-4,1-phenylene)oxy]}diethanol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(xxxix) O-ethyl-O-(3-methyl-4-methylthiophenyl) N-isopropylaminophosphonate; fenamiphos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 isopropyl 2-(4-methoxybiphenyl-3-yl)hydrazinoformate; bifenazate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 3'-isopropoxy-2-trifluo</w:t>
            </w:r>
            <w:r>
              <w:t>romethylbenzanilide; flutolanil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(xlii) 2-imidazolidinethione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(xliii) 1,1'-[iminodi(octamethylene)]diguanidine; iminoctadine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(xliv) indium and its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(xlv) ethanethiol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(xlvi) ethyl </w:t>
            </w:r>
            <w:r>
              <w:t>2-[4-(6-chloro-2-quinoxalinyloxy)phenoxy]propionate; quizalofop-ethyl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(xlvii) O-ethyl O-(6-nitro-m-tolyl)sec-butylphosphoramidothioate; butamifos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(xlviii) O-ethyl O-4-nitrophenyl phenylphosphonothioate; EPN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(xlix) N-(1-ethylpropyl)-2,6-dinitro-3,4-xylid</w:t>
            </w:r>
            <w:r>
              <w:t>ine; pendimethalin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 S-ethyl hexahydro-1H-azepine-1-carbothioate; molinate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(li) 2-ethylhexanoic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(lii) ethyl (Z)-3-[N-benzyl-N-[[methyl(1-methylthioethylideneaminooxycarbonyl)amino]thio]amino] propionate; alanycarb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(liii) ethylbenzene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(liv) O-et</w:t>
            </w:r>
            <w:r>
              <w:t>hyl S-1-methylpropyl (2-oxo-3-thiazolidinyl)phosphonothioate; fosthiazate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(lv) ethyleneimine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(lvi) ethylene oxide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(lvii) ethylene glycol monoethyl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(lviii) ethylene glycol monomethyl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(lix) ethylenediamine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(lx) </w:t>
            </w:r>
            <w:r>
              <w:t>ethylenediaminetetraacetic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(lxi) manganese N,N'-ethylenebis(dithiocarbamate); maneb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(lxii) complex compounds of manganese N,N'-ethylenebis(dithiocarbamate)and zinc N,N'-ethylenebis (dithiocarbamate); mancozeb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(lxiii) 1,1'-ethylene-2,2'-bipyridinium</w:t>
            </w:r>
            <w:r>
              <w:t xml:space="preserve"> dibromide; diquat dibromide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(lxiv) 2-(4-ethoxyphenyl)-2-methylpropyl 3-phenoxybenzyl ether; etofenprox</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(lxv) epichlorohydrin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(lxvi) 1,2-epoxybutane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(lxvii) 2,3-epoxy-1-propanol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(lxviii) 1,2-epoxypropane; propylene oxide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(lxix) 2,3-epoxypropyl phenyl</w:t>
            </w:r>
            <w:r>
              <w:t xml:space="preserve">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 emamectin benzoate; mixture of emamectinB1a benzoate and emamectinB1b benzoate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 ferric 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(lxxii) chlorinated paraffin (limited to C=10-13 and their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(lxxiii) 1-octanol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(lxxiv) p-octylphenol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(lxxv) cadmium and </w:t>
            </w:r>
            <w:r>
              <w:t>its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(lxxvi) ε-caprolactam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(lxxvii) calcium cyanamide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(lxxviii) 2,4-xylenol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(lxxix) 2,6-xylenol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 xylene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 quinoline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(lxxxii) silver and its water-soluble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(lxxxiii) cumene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(lxxxiv) glyoxal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(lxxxv) </w:t>
            </w:r>
            <w:r>
              <w:t>glutaraldehyde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(lxxxvi) cresol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(lxxxvii) chromium and chromium(III)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(lxxxviii) chromium(VI)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(lxxxix) chloroaniline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 2-chloro-4-ethylamino-6-isopropylamino-1,3,5-triazine; atrazine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(xci) 2-(4-chloro-6-ethylamino-1,3,5-triazin-2</w:t>
            </w:r>
            <w:r>
              <w:t>-yl)amino-2-methylpropiononitrile; cyanazine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(xcii) 4-chloro-3-ethyl-1-methyl-N-[4-(p-tolyloxy)benzyl]pyrazole-5-carboxamide; tolfenpyrad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(xciii) 2-chloro-2'-ethyl-N-(2-methoxy-1-methylethyl)-6'-methylacetanilide; metolachlor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(xciv) </w:t>
            </w:r>
            <w:r>
              <w:t>chloroethylene; vinyl 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(xcv) 3-chloro-N-(3-chloro-5-trifluoromethyl-2-pyridyl)-α,α,α-trifluoro-2,6-dinitro-p-toluidine; fluazinam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(xcvi) 1-({2-[2-chloro-4-(4-chlorophenoxy)phenyl]-4-methyl-1,3-dioxolan-2-yl}methyl)-1H-1,2,4-triazole; difenoconazo</w:t>
            </w:r>
            <w:r>
              <w:t>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(xcvii) 1-chloro-2-(chloromethyl)benzene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(xcviii) chloroacetic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(xcix) ethyl chloroacetate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 2-chloro-2',6'-diethyl-N-(2-propoxyethyl)acetanilide; pretilachlor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(ci) 2-chloro-2',6'-diethy-N-(methoxymethyl)acetanilide; alachlor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(cii) 1-chloro-</w:t>
            </w:r>
            <w:r>
              <w:t>2,4-dinitrobenzene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(ciii) 1-chloro-1,1-difluoroethane; HCFC-142b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(civ) chlorodifluoromethane; HCFC-22</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(cv) 2-chloro-1,1,1,2-tetrafluoroethane; HCFC-124</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(cvi) chlorotrifluoroethane; HCFC-133</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(cvii) chlorotrifluoromethane; CFC-13</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(cviii) </w:t>
            </w:r>
            <w:r>
              <w:t>(RS)-2-(4-chloro-o-tolyloxy)propionic acid; mecoprop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(cix) o-chlorotoluene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 p-chlorotoluene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(cxi) 2-chloro-4-nitroaniline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(cxii) 2-chloronitrobenzene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(cxiii) 2-chloro-4,6-bis(ethylamino)-1,3,5-triazine; shimazine; CAT</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(cxiv) (RS)-2-[2-(3-chloroph</w:t>
            </w:r>
            <w:r>
              <w:t>enyl)-2,3-epoxypropyl]-2-ethylindane-1,3-dione; indanofan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(cxv) 4-(2-chlorophenyl)-N-cyclohexyl-N-ethyl-4,5-dihydro-5-oxo-1H-tetrazole-1-carboxamide; fentrazamide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(cxvi) (4RS,5RS)-5-(4-chlorophenyl)-N-cyclohexyl-4-methyl-2-oxo-1,3-thiazolidine-3-carboxam</w:t>
            </w:r>
            <w:r>
              <w:t>ide; hexythiazox</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(cxvii) (RS)-1-p-chlorophenyl-4,4-dimethyl-3-(1H-1,2,4-triazol-1-ylmethyl)pentan-3-ol; tebuconazole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(cxviii) 2-(4-chlorophenyl)-2-(1H-1,2,4-triazol-1-ylmethyl)hexanenitrile; myclobutanil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(cxix) </w:t>
            </w:r>
            <w:r>
              <w:t>(RS)-4-(4-chlorophenyl)-2-phenyl-2-(1H-1,2,4-triazol-1-ylmethyl)butyronitrile; fenbuconazole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 o-chlorophenol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(cxxi) p-chlorophenol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(cxxii) 2-chloropropionic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(cxxiii) 3-chloropropene; allyl 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(cxxiv) </w:t>
            </w:r>
            <w:r>
              <w:t>1-(2-chlorobenzyl)-3-(1-methyl-1-phenylethyl)urea; cumyluron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(cxxv) chlorobenzene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(cxxvi) chloropentafluoroethane; CFC-115</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(cxxvii) chloroform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(cxxviii) chloromethane; methyl 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(cxxix) 4-chloro-3-methylphenol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(cxxx) </w:t>
            </w:r>
            <w:r>
              <w:t>(4-chloro-2-methylphenoxy)acetic acid; MCP; MCPA</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(cxxxi) 3-chloro-2-methyl-1-propene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(cxxxii) cobalt and its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(cxxxiii) 2-ethoxyethyl acetate; ethylene glycol monoethyl ether acetate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(cxxxiv) vinyl acetate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(cxxxv) 2-methoxyethyl acetate; ethy</w:t>
            </w:r>
            <w:r>
              <w:t>lene glycol monomethyl ether acetate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(cxxxvi) salicylaldehyde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(cxxxvii) cyanamide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(cxxxviii) (RS)-2-cyano-N-[(R)-1-(2,4-dichlorophenyl)ethyl]-3,3-dimethylbutyramide; diclocymet</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(cxxxix) (S)-alpha-cyano-3-phenoxybenzyl (1R,3S)-2,2-dimethyl-3-(1,2,2,2-te</w:t>
            </w:r>
            <w:r>
              <w:t>trabromoethyl)cyclopropanecarboxylate; tralomethrin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(cxl) (RS)-alpha-cyano-3-phenoxybenzyl 2,2,3,3-tetramethylcyclopropanecarboxylate; fenpropathrin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(cxli) trans-1-(2-cyano-2-methoxyiminoacetyl)-3-ethylurea; cymoxanil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(cxlii) </w:t>
            </w:r>
            <w:r>
              <w:t>2,4-diaminoanisole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(cxliii) 4,4'-diaminodiphenyl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(cxliv) inorganic cyanide compounds (except complex salts and cyanates)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(cxlv) 2-(diethylamino)ethanol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(cxlvi) O-2-diethylamino-6-methylpyrimidin-4-yl O,O-dimethyl phosphorothioate; pirimiphos-meth</w:t>
            </w:r>
            <w:r>
              <w:t>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(cxlvii) S-4-chlorobenzyl N,N-diethylthiocarbamate; thiobencarb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(cxlviii) N,N-diethyl-3-(2,4,6-trimethylphenylsulfonyl)-1H-1,2,4-triazole-1-carboxamide; cafenstrole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(cxlix) tetrachloromethane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 1,4-dioxane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(cli) 1,3-dioxolane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(clii) 1,3-dicarba</w:t>
            </w:r>
            <w:r>
              <w:t>moylthio-2-(N,N-dimethylamino)-propane; cartap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(cliii) cyclohex-1-ene-1,2-dicarboximidomethyl (1RS)-cis-trans-2,2-dimethyl-3-(2-methylprop-1-enyl) cyclopropanecarboxylate; tetramethrin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(cliv) cyclohexylamine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(clv) </w:t>
            </w:r>
            <w:r>
              <w:t>N-(cyclohexylthio)phthalimide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(clvi) dichloroaniline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(clvii) 1,2-dichloroethane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(clviii) 1,1-dichloroethylene; vinylydene dichloride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(clix) cis-1,2-dichloroethylene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 3,3'-dichloro-4,4'-diaminodiphenylmethane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(clxi) dichlorodifluoromethane; CFC-1</w:t>
            </w:r>
            <w:r>
              <w:t>2</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(clxii) 3,5-dichloro-N-(1,1-dimethyl-2-propynyl)benzamide; propyzamide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(clxiii) dichlorotetrafluoroethane; CFC-114</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(clxiv) 2,2-dichloro-1,1,1-trifluoroethane; HCFC-123</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(clxv) 2,4-dichlorotoluene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(clxvi) </w:t>
            </w:r>
            <w:r>
              <w:t>1,2-dichloro-4-nitrobenzene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(clxvii) 1,4-dichloro-2-nitrobenzene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(clxviii) 3-(3,5-dichlorophenyl)-N-isopropyl-2,4-dioxoimidazolidine-1-carboxamide; iprodione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(clxix) 3-(3,4-dichlorophenyl)-1,1-dimethylurea; diuron; DCMU</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 (RS)-2-(2,4-dichloropheny</w:t>
            </w:r>
            <w:r>
              <w:t>l)-3-(1H-1,2,4-triazol-1-yl)propyl 1,1,2,2-tetrafluoroethyl ether; tetraconazole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(clxxi) mixture of (2RS,4RS)-1-[2-(2,4-dichlorophenyl)-4-propyl-1,3-dioxolan-2-ylmethyl]-1H-1,2,4-triazole and (2RS,4SR)-1-[2-(2,4-dichlorophenyl)-4-propyl-1,3-dioxolan-2-ylm</w:t>
            </w:r>
            <w:r>
              <w:t>ethyl]-1H-1,2,4-triazole; propiconazole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(clxxii) 3-[1-(3,5-dichlorophenyl)-1-methylethyl]-3,4-dihydro-6-methyl-5-phenyl-2H-1,3-oxazin-4-one; oxaziclomefone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(clxxiii) </w:t>
            </w:r>
            <w:r>
              <w:t>(RS)-3-(3,5-dichlorophenyl)-5-methyl-5-vinyl-1,3-oxazolidine-2,4-dione; vinclozolin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(clxxiv) 3-(3,4-dichlorophenyl)-1-methoxy-1-methylurea; linuron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(clxxv) 2,4-dichlorophenoxyacetic acid; 2,4-D; 2,4-PA</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(clxxvi) 1,1-dichloro-1-fluoroethane; HCFC-141b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w:t>
            </w:r>
            <w:r>
              <w:t>lxxvii) dichlorofluoromethane; HCFC-21</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(clxxviii) 1,2-dichloropropane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(clxxix) 1,3-dichloropropene; D-D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(clxxx) 3,3'-dichlorobenzidine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(clxxxi) dichlorobenzene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(clxxxii) </w:t>
            </w:r>
            <w:r>
              <w:t>2-[4-(2,4-dichlorobenzoyl)-1,3-dimethyl-5-pyrazolyloxy]acetophenone; pyrazoxyfen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(clxxxiii) 4-(2,4-dichlorobenzoyl)-1,3-dimethyl-5-pyrazolyl 4-toluenesulfonate; pyrazolynate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(clxxxiv) 2,6-dichlorobenzonitrile; dichlobenil; DBN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(clxxxv) dichloropentafluo</w:t>
            </w:r>
            <w:r>
              <w:t>ropropane; HCFC-225</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(clxxxvi) dichloromethane; methylene dichloride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(clxxxvii) 2,3-dicyano-1,4-dithiaanthraquinone; dithianon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(clxxxviii) N,N-dicyclohexylamine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(clxxxix) N,N-dicyclohexyl-2-benzothiazolesulfenamide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(cxc) </w:t>
            </w:r>
            <w:r>
              <w:t>dicyclopentadiene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(cxci) diisopropyl 1,3-dithiolan-2-ylidenemalonate; isoprothiolane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(cxcii) O-ethyl S,S-diphenyl phosphorodithioate; edifenphos; EDDP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(cxciii) O,O-diethyl S-2-(ethylthio)ethyl phosphorodithioate; ethylthiometon; disulfoton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(cxciv) O,O-</w:t>
            </w:r>
            <w:r>
              <w:t>diethyl S-(6-chloro-2,3-dihydro-2-oxobenzoxazolinyl)methyl phosphorodithioate; phosalone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(cxcv) O-2,4-dichlorophenyl O-ethyl S-propyl phosphorodithioate; prothiofos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(cxcvi) S-(2,3-dihydro-5-methoxy-2-oxo-1,3,4-thiadiazol-3-yl)methyl O,O-dimethylphosphoro</w:t>
            </w:r>
            <w:r>
              <w:t>dithioate; methidathion; DMTP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(cxcvii) O,O-dimethyl S-1,2-bis(ethoxycarbonyl)ethyl phosphorodithioate; malathon;malathion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(cxcviii) O,O-dimethyl S-(N-methylcarbamoyl)methyl phosphorodithioate; dimethoate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(cxcix) disodium 2,2'-vinylenebis[5-(4-morpholino</w:t>
            </w:r>
            <w:r>
              <w:t>-6-anilino-1,3,5-triazin-2-ylamino)benzenesulfonate]; C.I. Fluorescent 260</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 dinitrotoluene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(cci) 2,4-dinitrophenol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(ccii) divinylbenzene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(cciii) diphenylamine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(cciv) diphenyl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(ccv) 1,3-diphenylguanidine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(ccvi) </w:t>
            </w:r>
            <w:r>
              <w:t>2,3-dihydro-2,2-dimethyl-7-benzo[b]furyl N-(dibutylamino)thio-N-methylcarbamate; carbosulfan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(ccvii) 2,6-di-tert-butyl-4-cresol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(ccviii) 2,4-di-tert-butylphenol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(ccix) dibromochloromethane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 2,2-dibromo-2-cyanoacetamide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(ccxi) dibromotetrafluoroet</w:t>
            </w:r>
            <w:r>
              <w:t>hane; halone-2402</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(ccxii) (RS)-O,S-dimethyl acetylphosphoramidothioate; acephate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(ccxiii) N,N-dimethylacetamide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(ccxiv) 2,4-dimethylaniline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(ccxv) 2,6-dimethylaniline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(ccxvi) N,N-dimethylaniline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(ccxvii) </w:t>
            </w:r>
            <w:r>
              <w:t>5-dimethylamino-1,2,3-trithiane; thiocyclam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(ccxviii) dimethylamine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(ccxix) dimethyl disulfide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 water-soluble salts of dimethyldithiocarbamic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(ccxxi) 2,2-dimethyl-2,3-dihydro-1-benzofuran-7-yl N-[N-(2-ethoxycarbonylethyl)-N-isopropylsulfenam</w:t>
            </w:r>
            <w:r>
              <w:t>oyl]-N-methylcarbamate; benfuracarb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(ccxxii) S-4-phenoxybutyl N,N-dimethylthiocarbamate; phenothiocarb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(ccxxiii) N,N-dimethyldodecylamine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(ccxxiv) N,N-dimethyldodecylamine N-oxide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(ccxxv) dimethyl </w:t>
            </w:r>
            <w:r>
              <w:t>2,2,2-trichloro-1-hydroxyethylphosphonate; trichlorfon; DEP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(ccxxvi) 1,1-dimethylhydrazine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(ccxxvii) 1,1'-dimethyl-4,4'-bipyridinium dichloride; paraquat; paraquat dichloride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(ccxxviii) 3,3'-dimethylbiphenyl-4,4'-diyl diisocyanate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(ccxxix) </w:t>
            </w:r>
            <w:r>
              <w:t>dimethyl 4,4'-(o-phenylene)bis(3-thioallophanate); thiophanate-methyl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 N-(1,3-dimethylbutyl)-N'-phenyl-p-phenylenediamine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(ccxxxi) 3,3'-dimethylbenzidine; o-tolidine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(ccxxxii) N,N-dimethylformamide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(ccxxxiii) ethyl 2-[(dimethoxyphosphinothioyl)t</w:t>
            </w:r>
            <w:r>
              <w:t>hio]-2-phenylacetate; phenthoate; PAP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(ccxxxiv) bromine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(ccxxxv) water-soluble salts of bromic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(ccxxxvi) 3,5-diiodo-4-octanoyloxybenzonitrile; ioxynil octanoate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(ccxxxvii) mercury and its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(ccxxxviii) hydrogenated terphenyl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(ccxxxix) organic tin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 styrene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(ccxli) sodium salt of 2-sulfohexadecanoic acid 1-methyl ester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(ccxlii) selenium and its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(ccxliii) dioxins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(ccxliv) 2-thioxo-3,5-dimethyltetrahydro-2H-1,3,5-thiadiazine; dazomet</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(ccxlv) thioure</w:t>
            </w:r>
            <w:r>
              <w:t>a</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(ccxlvi) thiophenol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(ccxlvii) O-1-(4-chlorophenyl)-4-pyrazolyl O-ethyl S-propyl phosphorothioate; pyraclofos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(ccxlviii) O,O-diethyl O-2-isopropyl-6-methyl-4-pyrimidinyl phosphorothioate; diazinon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(ccxlix) O,O-diethyl O-3,5,6-trichloro-2-pyridyl phosp</w:t>
            </w:r>
            <w:r>
              <w:t>horothioate; chlorpyrifos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 O,O-diethyl O-5-phenyl-3-isoxazolyl phosphorothioate; isoxathion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(ccli) O,O-dimethyl O-3-methyl-4-nitrophenyl phosphorothioate; fenitrothion; MEP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(cclii) O,O-dimethyl </w:t>
            </w:r>
            <w:r>
              <w:t>O-3-methyl-4-(methylthio)phenyl phosphorothioate; fenthion; MPP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(ccliii) O-4-bromo-2-chlorophenyl O-ethyl S-propyl phosphorothioate; profenofos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(ccliv) S-benzyl O,O-diisopropyl phosphorothioate; iprobenfos; IBP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(cclv) decabromodiphenyl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(cclvi) de</w:t>
            </w:r>
            <w:r>
              <w:t>canoic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(cclvii) decyl alcohol; decanol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(cclviii) 1,3,5,7-tetraazatricyclo[3.3.1.1(3.7)]decane; hexamethylenetetramine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(cclix) tetraethylthiuram disulfide; disulfiram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 tetrachloroisophthalonitrile; chlorothalonil; TPN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(cclxi) 4,5,6,7-tetrach</w:t>
            </w:r>
            <w:r>
              <w:t>loroisobenzofuran-1(3H)-one; phthalide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(cclxii) tetrachloroethylene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(cclxiii) tetrachlorodifluoroethane; CFC-112</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(cclxiv) 2,3,5,6-tetrachloro-p-benzoquinone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(cclxv) tetrahydromethylphthalic anhydride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(cclxvi) </w:t>
            </w:r>
            <w:r>
              <w:t>2,3,5,6-tetrafluoro-4-methylbenzyl (Z)-3-(2-chloro-3,3,3-trifluoro-1-propenyl)-2,2-dimethylcyclopropanecarboxylate; tefluthrin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(cclxvii) 3,7,9,13-tetramethyl-5,11-dioxa-2,8,14-trithia-4,7,9,12-tetraazapentadeca-3,12-diene-6,10-dione; thiodicarb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(cclxviii</w:t>
            </w:r>
            <w:r>
              <w:t>) tetramethylthiuram disulfide; thiram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(cclxix) 3,7,11,15-tetramethylhexadec-1-en-3-ol; isophytol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 terephthalic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(cclxxi) dimethyl terephthalate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(cclxxii) water-soluble copper salts (except complex salts)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(cclxxiii) 1-dodecanol; </w:t>
            </w:r>
            <w:r>
              <w:t>n-dodecyl alcohol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(cclxxiv) tert-dodecanethiol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(cclxxv) sodium dodecyl sulfate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(cclxxvi) 3,6,9-triazaundecane-1,11-diamine; tetraethylenepentamine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(cclxxvii) triethylamine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(cclxxviii) triethylenetetramine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(cclxxix) </w:t>
            </w:r>
            <w:r>
              <w:t>1,1,1-trichloroethane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 1,1,2-trichloroethane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(cclxxxi) trichloroethylene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(cclxxxii) trichloroacetic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(cclxxxiii) 2,4,6-trichloro-1,3,5-triazine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(cclxxxiv) trichlorotrifluoroethane; CFC-113</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(cclxxxv) trichloronitromethane; chloropicrin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(cclxxxvi) (3,5,6-trichloro-2-pyridyl)oxyacetic acid; triclopyr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(cclxxxvii) 2,4,6-trichlorophenol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(cclxxxviii) trichlorofluoromethane; CFC-11</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(cclxxxix) 1,2,3-trichloropropane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 trichlorobenzene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(ccxci) 1,3,5-tris(2,3-epoxypropyl)-1,3,5-triazine-</w:t>
            </w:r>
            <w:r>
              <w:t>2,4,6(1H,3H,5H)-trione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(ccxcii) tributylamine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(ccxciii) α,α,α-trifluoro-2,6-dinitro-N,N-dipropyl-p-toluidine; trifluralin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(ccxciv) 2,4,6-tribromophenol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(ccxcv) 3,5,5-trimethyl-1-hexanol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(ccxcvi) 1,2,4-trimethylbenzene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(ccxcvii) 1,3,5-trimethylbenzene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(ccxcviii) tolylene diisocyanate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(ccxcix) toluidine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 toluene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(ccci) toluenediamine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(cccii) naphthalene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(ccciii) 1,5-naphthalenediyl diisocyanate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(ccciv) lead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(cccv) lead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(cccvi) hexamethylene diacrylate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(cccvii) zirconium </w:t>
            </w:r>
            <w:r>
              <w:t>dichloride oxide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(cccviii) nickel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(cccix) nickel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 nitrilotriacetic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(cccxi) o-nitroanisole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(cccxii) o-nitroaniline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(cccxiii) nitroglycerin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(cccxiv) p-nitrochlorobenzene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(cccxv) o-nitrotoluene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(cccxvi) nitrobenzene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(cccxvii) nitromethane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(cccxviii) carbon disulfide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(cccxix) 1-nonanol; n-nonyl alcohol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 nonylphenol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(cccxxi) vanadium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(cccxxii) </w:t>
            </w:r>
            <w:r>
              <w:t>5'-[N,N-bis(2-acetyloxyethyl)amino]-2'-(2-bromo-4,6-dinitrophenylazo)-4'-methoxyacetanilide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(cccxxiii) 2,4-bis(ethylamino)-6-methylthio-1,3,5-triazine; simetryn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(cccxxiv) 1,3-bis[(2,3-epoxypropyl)oxy]benzene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(cccxxv) bis(8-quinolinolato)copper; oxine-co</w:t>
            </w:r>
            <w:r>
              <w:t>pper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(cccxxvi) 3,6-bis(2-chlorophenyl)-1,2,4,5-tetrazine; clofentezine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(cccxxvii) 1,2-bis(2-chlorophenyl)hydrazine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(cccxxviii) zinc bis(N,N'-dimethyldithiocarbamate); ziram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(cccxxix) N,N'-ethylenebis(thiocarbamoylthiozinc)bis(N,N-dimethyldithiocarbamat</w:t>
            </w:r>
            <w:r>
              <w:t>e); polycarbamate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(cccxxx) bis(1-methyl-1-phenylethyl) peroxide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(cccxxxi) S,S-bis(1-methylpropyl) O-ethyl phosphorodithioate; cadusafos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(cccxxxii) arsenic and its inorganic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(cccxxxiii) hydrazine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(cccxxxiv) methyl </w:t>
            </w:r>
            <w:r>
              <w:t>4-hydroxybenzoate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(cccxxxv) N-(4-hydroxyphenyl)acetamide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(cccxxxvi) hydroquinone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(cccxxxvii) 4-vinyl-1-cyclohexene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(cccxxxviii) 2-vinylpyridine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(cccxxxix) N-vinyl-2-pyrrolidone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 biphenyl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(cccxli) piperazine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(cccxlii) pyridine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(cccxliii) pyr</w:t>
            </w:r>
            <w:r>
              <w:t>ocatechol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(cccxliv) phenyloxirane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(cccxlv) phenylhydrazine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(cccxlvi) 2-phenylphenol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(cccxlvii) N-phenylmaleimide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(cccxlviii) phenylenediamine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(cccxlix) 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(cccl) 3-phenoxybenzyl </w:t>
            </w:r>
            <w:r>
              <w:t>3-(2,2-dichlorovinyl)-2,2-dimethylcyclopropanecarboxylate; permethrin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(cccli) 1,3-butadiene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(ccclii) diallyl phthalate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(cccliii) diethyl phthalate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(cccliv) di-n-butyl phthalate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(ccclv) bis(2-ethylhexyl)phthalate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(ccclvi) n-butyl benzyl phthalate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w:t>
            </w:r>
            <w:r>
              <w:t>clvii) 2-tert-butylimino-3-isopropyl-5-phenyltetrahydro-4H-1,3,5-thiadiazin-4-one; buprofezin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(ccclviii) N-tert-butyl-N'-(4-ethylbenzoyl)-3,5-dimethylbenzohydrazide; tebufenozide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(ccclix) n-butyl-2,3-epoxypropyl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(ccclx) methyl </w:t>
            </w:r>
            <w:r>
              <w:t>N-[1-(N-n-butylcarbamoyl)-1H-2-benzimidazolyl]carbamate; benomyl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(ccclxi) butyl(R)-2-[4-(4-cyano-2-fluorophenoxy)phenoxy]propionate; cyhalofop-butyl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(ccclxii) 1-tert-butyl-3-(2,6-diisopropyl-4-phenoxyphenyl)thiourea; diafenthiuron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(ccclxiii) 5-tert-buty</w:t>
            </w:r>
            <w:r>
              <w:t>l-3-(2,4-dichloro-5-isopropoxyphenyl)-1,3,4-oxadiazol-2(3H)-one; oxadiazon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(ccclxiv) tert-butyl 4-({[(1,3-dimethyl-5-phenoxy-4-pyrazolyl)methylidene]aminooxy}methyl)benzoate; fenpyroximate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(ccclxv) butylhydroxyanisole; BHA</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(ccclxvi) tert-butyl hydropero</w:t>
            </w:r>
            <w:r>
              <w:t>xide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(ccclxvii) o-sec-butylphenol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(ccclxviii) 4-tert-butylphenol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(ccclxix) 2-(4-tert-butylphenoxy)cyclohexyl 2-propynyl sulfite; propargite; BPPS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(ccclxx) </w:t>
            </w:r>
            <w:r>
              <w:t>2-tert-butyl-5-(4-tert-butylbenzylthio)-4-chloro-3(2H)-pyridazinone; pyridaben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(ccclxxi) N-(4-tert-butylbenzyl)-4-chloro-3-ethyl-1-methylpyrazole-5-carboxamide; tebufenpyrad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(ccclxxii) </w:t>
            </w:r>
            <w:r>
              <w:t>N-(tert-butyl)-2-benzothiazolesulfenamide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(ccclxxiii) 2-tert-butyl-5-methylphenol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(ccclxxiv) hydrogen fluoride and its water-soluble salts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(ccclxxv) 2-butenal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(ccclxxvi) N-butoxymethyl-2-chloro-2',6'-diethylacetanilide; butachlor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(ccclxxvii) furan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w:t>
            </w:r>
            <w:r>
              <w:t>cclxxviii) polymer of N,N'-propylenebis(dithiocarbamic acid)and zinc; propineb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(ccclxxix) 2-propyn-1-ol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 bromochlorodifluoromethane; halone-1211</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(ccclxxxi) bromodichloromethane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(ccclxxxii) bromotrifluoromethane; halone-1301</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(ccclxxxiii) 5-bromo-3-sec-butyl-6-methyl-1,2,3,4-tetrahydropyrimidine-2,4-dione; bromacil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(ccclxxxiv) 1-bromopropane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(ccclxxxv) 2-bromopropane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(ccclxxxvi) bromomethane; methyl bromide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(ccclxxxvii) hexakis(2-methyl-2-phenylpropyl)distannoxane; fenbutat</w:t>
            </w:r>
            <w:r>
              <w:t>in oxide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(ccclxxxviii) 6,7,8,9,10,10-hexachloro-1,5,5a,6,9,9a-hexahydro-6,9-methano-2,4,3-benzodioxathiepine 3-oxide; endosulfan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(ccclxxxix) hexadecyltrimethylammonium 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 hexamethylenediamine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(cccxci) hexamethylene diisocyanate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(cccxcii)</w:t>
            </w:r>
            <w:r>
              <w:t xml:space="preserve"> n-hexane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(cccxciii) betanaphthol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(cccxciv) beryllium and its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(cccxcv) water-soluble salts of peroxodisulfuric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(cccxcvi) perfluoro(octane-1-sulfonic acid); PFOS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(cccxcvii) benzylidyne trichloride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(cccxcviii) benzyl 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(cccxcix) benzaldehyde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 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(cdi) 1,2,4-benzenetricarboxylic 1,2-anhydride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(cdii) 2-(2-benzothiazolyloxy)-N-methylacetanilide; mefenacet</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(cdiii) benzophenone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(cdiv) pentachlorophenol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(cdv) boron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(cdvi) </w:t>
            </w:r>
            <w:r>
              <w:t>polychlorinated biphenyls; PCBs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(cdvii) poly(oxyethylene)alkyl ether (alkyl C=12-15)</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(cdviii) poly(oxyethylene)octylphenyl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(cdix) sodium poly(oxyethylene) dodecyl ether sulfate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 poly(oxyethylene)nonylphenyl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(cdxi) formaldehyde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(cdxii</w:t>
            </w:r>
            <w:r>
              <w:t>) manganese and its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(cdxiii) phthalic anhydride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(cdxiv) maleic anhydride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(cdxv) methacrylic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(cdxvi) 2-ethylhexyl methacrylate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(cdxvii) 2,3-epoxypropyl methacrylate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(cdxviii) 2-(dimethylamino)ethyl methacrylate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(cdxix) n-butyl </w:t>
            </w:r>
            <w:r>
              <w:t>methacrylate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 methyl methacrylate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(cdxxi) 4-methylideneoxetan-2-one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(cdxxii) (Z)-2'-methylacetophenone 4,6-dimethyl-2-pyrimidinylhydrazone; ferimzone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(cdxxiii) methylamine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(cdxxiv) methyl isothiocyanate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(cdxxv) </w:t>
            </w:r>
            <w:r>
              <w:t>2-isopropylphenyl N-methylcarbamate; isoprocarb; MIPC</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(cdxxvi) 2,3-dihydro-2,2-dimethyl-7-benzo[b]furanyl N-methylcarbamate; carbofuran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(cdxxvii) 1-naphthyl N-methylcarbamate; carbaryl; NAC</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(cdxxviii) 2-sec-butylphenyl N-methylcarbamate; fenobucarb; BPM</w:t>
            </w:r>
            <w:r>
              <w:t>C</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(cdxxix) methyl 3-chloro-5-(4,6-dimethoxy-2-pyrimidinylcarbamoylsulfamoyl)-1-methylpyrazole-4-carboxylate; halosulfuron-methyl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(cdxxx) methyl </w:t>
            </w:r>
            <w:r>
              <w:t>(S)-7-chloro-2,3,4a,5-tetrahydro-2-[methoxycarbonyl(4-trifluoromethoxyphenyl) carbamoyl]indeno[1,2-e][1,3,4]oxadiazine-4a-carboxylate; indoxacarb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(cdxxxi) methyl (E)-2-[2-[6-(2-cyanophenoxy)pyrimidin-4-yloxy]phenyl]-3-methoxyacrylate; azoxystrobin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(cdxxx</w:t>
            </w:r>
            <w:r>
              <w:t>ii) 3-methyl-1,5-di(2,4-xylyl)-1,3,5-triazapenta-1,4-diene; amitraz</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(cdxxxiii) N-methyldithiocarbamic acid; carbam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(cdxxxiv) methyl-N',N'-dimethyl-N-[(methylcarbamoyl)oxy]-1-thiooxamimidate; oxamyl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(cdxxxv) 36methyl 2-(4,6-dimethoxy-2-pyrimizinyloxy)-6-</w:t>
            </w:r>
            <w:r>
              <w:t>[1-(methoxyimino)ethyl]benzoate; pyriminobac-methyl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(cdxxxvi) α-methylstyrene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(cdxxxvii) 3-methylthiopropanal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(cdxxxviii) methylnaphthalene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(cdxxxix) 3-methylpyridine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(cdxl) 1-methyl-1-phenylethyl hydroperoxide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(cdxli) 2-(1-methylpropyl)-4,6-dinitrop</w:t>
            </w:r>
            <w:r>
              <w:t>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(cdxlii) 2-methyl-N-[3-(1-methylethoxy)phenyl]benzamide; mepronil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(cdxliii) S-methyl-N-(methylcarbamoyloxy)thioacetimidate; methomyl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(cdxliv) methyl </w:t>
            </w:r>
            <w:r>
              <w:t>(E)-methoxyimino-[2-[[[[(E)-1-[3-(trifluoromethyl)phenyl]ethylidene]amino]oxy]methyl] phenyl]acetate; trifloxystrobin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(cdxlv) methyl (E)-methoxyimino[2-(o-tolyloxymethyl)phenyl]acetate; kresoxim-methyl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(cdxlvi) 4,4'-methylenedianiline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(cdxlvii) methylen</w:t>
            </w:r>
            <w:r>
              <w:t>ebis(4,1-cyclohexylene)diisocyanate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(cdxlviii) methylenebis(4,1-phenylene) diisocyanate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(cdxlix) 3-methoxycarbonylaminophenyl 3'-methylcarbanilate; phenmedipham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 O-3-tert-butylphenyl N-(6-methoxy-2-pyridyl)-N-methylthiocarbamate; pyributicarb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w:t>
            </w:r>
            <w:r>
              <w:t>i) 2-methoxy-5-methylaniline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(cdlii) 2-mercaptobenzothiazole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(cdliii) molybdenum and its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(cdliv) 2-(morpholinodithio) benzothiazole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(cdlv) morpholine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(cdlvi) aluminium phosphide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(cdlvii) dimethyl 2,2-dichlorovinyl phosphate; </w:t>
            </w:r>
            <w:r>
              <w:t>dichlorvos; DDVP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(cdlviii) tris(2-ethylhexyl) phosphate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(cdlix) tris(2-chloroethyl)phosphate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(cdlx) tritolyl phosphate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(cdlxi) triphenyl phosphate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(cdlxii) tri-n-butyl phosphate</w:t>
            </w:r>
          </w:p>
        </w:tc>
      </w:tr>
    </w:tbl>
    <w:p w:rsidR="00F20DD2" w:rsidRDefault="00F20DD2"/>
    <w:p w:rsidR="00F20DD2" w:rsidRDefault="00152132">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(i) acetamide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(ii) </w:t>
            </w:r>
            <w:r>
              <w:t>p-anisidine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(iii) 5-amino-1-(2,6-dichloro-4-trifluoromethylphenyl)-4-ethylsulfinyl-1H-pyrazole-3-carbonitrile; ethiprole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(iv) 3-amino-1H-1,2,4-triazole; amitrole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(v) 3'-amino-4'-methoxyacetanilide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(vi) 4-allyl-1,2-dimethoxybenzene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(vii) sodium alkyl s</w:t>
            </w:r>
            <w:r>
              <w:t>ulfate (limited to alkyl C=16-18)</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(viii) urethane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(ix) N-ethylaniline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 2-ethylamino-4-isopropylamino-6-methylthio-1,3,5-triazine; ametryn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(xi) ethyl 3-phenylcarbamoyloxycarbanilate; desmedipham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(xii) </w:t>
            </w:r>
            <w:r>
              <w:t>N-[3-(1-ethyl-1-methylpropyl)-1,2-oxazol-5-yl]-2,6-dimethoxybenzamide; isoxaben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(xiii) 5-ethoxy-3-trichloromethyl-1,2,4-thiadiazole; echlomezol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(xiv) 1,2-epoxy-3-(tolyloxy)propane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(xv) </w:t>
            </w:r>
            <w:r>
              <w:t>4,4'-oxybisbenzenesulfonylhydrazide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(xvi) chloroacetaldehyde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(xvii) (RS)-1-[3-chloro-4-(1,1,2-trifluoro-2-trifluoromethoxyethoxy)phenyl]-3-(2,6-difluorobenzoyl)urea; novaluron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(xviii) (1'S-trans)-7-chloro-2',4,6-trimethoxy-6'-methylspiro[benzofuran-2(3H</w:t>
            </w:r>
            <w:r>
              <w:t>),1'-cyclohex-2'-ene]-3,4'-dione; griseofulvin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(xix) 1-chloronaphthalene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 benzyl acetate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(xxi) safrole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(xxii) (S)-alpha-cyano-3-phenoxybenzyl (S)-2-(4-chlorophenyl)-3-methylbutyrate; esfenvalerate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(xxiii) alpha-cyano-4-fluoro-3-phenoxybenzyl 3-(2,</w:t>
            </w:r>
            <w:r>
              <w:t>2-dichlorovinyl)-2,2-dimethylcyclopropanecarboxylate; cyfluthrin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(xxiv) trans-1,2-dichloroethylene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(xxv) dichloroacetic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(xxvi) </w:t>
            </w:r>
            <w:r>
              <w:t>1-(3,5-dichloro-2,4-difluorophenyl)-3-(2,6-difluorobenzoyl)urea; teflubenzuron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(xxvii) 1,3-dichloro-5,5-dimethylimidazolidine-2,4-dione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(xxviii) 2-[4-(2,4-dichloro-m-toluoyl)-1,3-dimethyl-5-pyrazolyloxy]-4-methylacetophenone; benzofenap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(xxix) 2,4-dichl</w:t>
            </w:r>
            <w:r>
              <w:t>oro-1-nitrobenzene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 2,2-dichloro-N-[2-hydroxy-1-(hydroxymethyl)-2-(4-nitrophenyl)ethyl]acetamide; chloramphenicol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(xxxi) N-(2,3-dichloro-4-hydroxyphenyl)-1-methylcyclohexanecarboxamide; fenhexamid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(xxxii) 2,4'-dichloro-α-(5-pyrimidinyl)benzhydryl a</w:t>
            </w:r>
            <w:r>
              <w:t>lcohol; fenarimol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(xxxiii) 2-(2,4-dichlorophenyl)-1-(1H-1,2,4-triazol-1-yl)-2-hexanol; hexaconazole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(xxxiv) 2,4-dichlorophenol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(xxxv) (RS)-2-(2,4-dichlorophenoxy)propionic acid; dichlorprop</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(xxxvi) 1,3-dichloro-2-propanol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(xxxvii) (RS)-1-[2,5-dichloro</w:t>
            </w:r>
            <w:r>
              <w:t>-4-(1,1,2,3,3,3-hexafluoropropoxy)phenyl]-3-(2,6-difluorobenzoyl)urea; lufenuron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(xxxviii) 3,3'-dichlorobenzidine dihydrochloride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(xxxix) disodium </w:t>
            </w:r>
            <w:r>
              <w:t>4-amino-3-[4'-(2,4-diaminophenylazo)-1,1'-biphenyl-4-ylazo]-5-hydroxy-6-phenylazo-2,7-naphthalenedisulfonate; C.I. Direct Black 38</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 disodium 8-(3,3'-dimethyl-4'-{4-[(p-tolyl)sulfonyloxy]phenylazo}-1,1'-biphenyl-4-ylazo)-7-hydroxy-1,3-naphthalenedisulf</w:t>
            </w:r>
            <w:r>
              <w:t>o; C.I. Acid Red 114</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 2,4-dinitroaniline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(xlii) dinitronaphthalene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(xliii) m-dinitrobenzene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(xliv) 2,3-dihydro-6-propyl-2-thioxo-4(1H)-pyrimidinone; propylthiouracil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(xlv) 1,2-dibromoethane; EDB; ethylene dibromide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(xlvi) 1,4-dibromobutane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(xlv</w:t>
            </w:r>
            <w:r>
              <w:t>ii) 2,3-dibromo-1-propanol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(xlviii) 1,3-dibromopropane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(xlix) dibenzyl ether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 2,3-dimethylaniline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(li) </w:t>
            </w:r>
            <w:r>
              <w:t>[4-[[4-(dimethylamino)phenyl](phenyl)methylidene]cyclohexa-2,5-dien-1-ylidene](dimethyl)ammonium chloride; malachite green hydrochloride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(lii) dimethylcarbamoyl chloride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(liii) O,O-dimethyl-O-(3-methyl-4-methylsulfinylphenyl)-thiophosphate; mesulfenfos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(liv) brominated biphenyl (limited to Br=2-5 and their compounds)</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(lv) 2-(1,3-thiazol-4-yl)-1H-benzoimidazole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(lvi) thioacetamide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(lvii) 2-(thiocyanatomethylthio)-1,3-benzothiazole; TCMTB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(lviii) O,O-diethyl O-6-oxo-1-phenyl-1,6-dihydro-3-pyridazinyl p</w:t>
            </w:r>
            <w:r>
              <w:t>hosphorothioate; pyridaphenthion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(lix) O-3,5,6-trichloro-2-pyridyl O,O-dimethyl phosphorothioate; chlorpyrifos-methyl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 1,1,2,2-tetrachloroethane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(lxi) tetrasodium </w:t>
            </w:r>
            <w:r>
              <w:t>3,3'-[(3,3'-dimethoxy-1,1'-biphenyl-4,4'-diyl)bis(azo)]bis[5-amino-4-hydroxy-2,7-naphthalenedisulfonate]; C.I. Direct Blue 15</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(lxii) tetrabromomethane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(lxiii) o-terphenyl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(lxiv) </w:t>
            </w:r>
            <w:r>
              <w:t>1,1,1-trichloro-2,2-bis(4-methoxyphenyl)ethane; methoxychlor</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(lxv) iron tris(N,N-dimethyldithiocarbamate); ferbam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(lxvi) tribromomethane; bromoform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(lxvii) sodium 3-(N-{4-[(4-{dimethylamino}phenyl)(4-{N-ethyl[(3-sulfonatophenyl)methyl]amino}phenyl)methy</w:t>
            </w:r>
            <w:r>
              <w:t>lene]-2,5-cyclohexadien-1-ylidene}-N-ethylammonio)benzenesulfonate; C.I. Acid Violet 49</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(lxviii) sodium 1,1'-biphenyl-2-olate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(lxix) m-nitroaniline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 N-nitrosodiphenylamine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 m-nitrotoluene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(lxxii) p-nitrophenol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(lxxiii) palygorskite; attapu</w:t>
            </w:r>
            <w:r>
              <w:t>lgite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(lxxiv) 3,3-bis(4-hydroxyphenyl)-1,3-dihydroisobenzofuran-1-one; phenolphthalein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(lxxv) 4,4'-bipyridyl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(lxxvi) </w:t>
            </w:r>
            <w:r>
              <w:t>1-(4-biphenylyloxy)-3,3-dimethyl-1-(1H-1,2,4-triazol-1-yl)-2-butanol; bitertanol</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(lxxvii) p-phenetidine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(lxxviii) dicyclohexyl phthalate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(lxxix) 1,3-propanesultone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 N-propyl-N-[2-(2,4,6-trichlorophenoxy)ethyl]imidazole-1-carboxamide; prochloraz</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 3-bromo-1-propene; allyl bromide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(lxxxii) hexachloroethane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(lxxxiii) hexachlorocyclopentadiene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(lxxxiv) 1,4,5,6,7,7-hexachlorobicyclo[2.2.1]-5-heptene-2,3-dicarboxylic acid; chlorendic acid</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(lxxxv) hexadecyltrimethylammonium bromide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(lxxxvi) 5-benzyl-3-furylmethyl (1RS)-cis-trans-2,2-dimethyl-3-(2-methylprop-1-enyl)cyclopropanecarboxylate; resmethrin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(lxxxvii) p-benzoquinone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(lxxxviii) pentachloronitrobenzene; quintozene; PCNB</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(lxxxix) ammonium pentadecafluorooctanoate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 N-meth</w:t>
            </w:r>
            <w:r>
              <w:t>ylaniline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(xci) 6-methyl-1,3-dithiolo[4,5-b]quinoxalin-2-one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(xcii) 2-methyl-5-nitroaniline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(xciii) methylhydrazine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(xciv) 2-methyl-1,1'-biphenyl-3-ylmethyl (Z)-3-(2-chloro-3,3,3-trifluoro-1-propenyl)-2,2-dimethylcyclopropanecarboxylate; bifenthrin</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w:t>
            </w:r>
            <w:r>
              <w:t>cv) methyl benzoimidazol-2-ylcarbamate; carbendazim</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(xcvi) 4,4'-methylenebis(N,N-dimethylaniline)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(xcvii) 4,4'-methylenebis(2-methylcyclohexaneamine)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(xcviii) hydrazine sulfate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(xcix) 2-ethylhexyl diphenyl phosphate</w:t>
            </w:r>
          </w:p>
        </w:tc>
      </w:tr>
      <w:tr w:rsidR="00F20DD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20DD2" w:rsidRDefault="00152132">
            <w:pPr>
              <w:pStyle w:val="jaen"/>
            </w:pPr>
            <w:r>
              <w:t xml:space="preserve">(c) di-n-butyl phenyl </w:t>
            </w:r>
            <w:r>
              <w:t>phosphate</w:t>
            </w:r>
          </w:p>
        </w:tc>
      </w:tr>
    </w:tbl>
    <w:p w:rsidR="00000000" w:rsidRDefault="00152132"/>
    <w:sectPr w:rsidR="00000000" w:rsidSect="00F20D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DD2" w:rsidRDefault="00F20DD2" w:rsidP="00F20DD2">
      <w:r>
        <w:separator/>
      </w:r>
    </w:p>
  </w:endnote>
  <w:endnote w:type="continuationSeparator" w:id="0">
    <w:p w:rsidR="00F20DD2" w:rsidRDefault="00F20DD2" w:rsidP="00F2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DD2" w:rsidRDefault="00F20DD2">
    <w:pPr>
      <w:pStyle w:val="a3"/>
    </w:pPr>
    <w:r>
      <w:fldChar w:fldCharType="begin"/>
    </w:r>
    <w:r>
      <w:instrText xml:space="preserve"> PAGE  \* MERGEFORMAT </w:instrText>
    </w:r>
    <w:r>
      <w:fldChar w:fldCharType="separate"/>
    </w:r>
    <w:r w:rsidR="001521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DD2" w:rsidRDefault="00F20DD2" w:rsidP="00F20DD2">
      <w:r>
        <w:separator/>
      </w:r>
    </w:p>
  </w:footnote>
  <w:footnote w:type="continuationSeparator" w:id="0">
    <w:p w:rsidR="00F20DD2" w:rsidRDefault="00F20DD2" w:rsidP="00F20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9E6"/>
    <w:multiLevelType w:val="multilevel"/>
    <w:tmpl w:val="1D4EBB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D2986"/>
    <w:multiLevelType w:val="multilevel"/>
    <w:tmpl w:val="68668D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462E0"/>
    <w:multiLevelType w:val="multilevel"/>
    <w:tmpl w:val="D5EC3F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AA7ADB"/>
    <w:multiLevelType w:val="multilevel"/>
    <w:tmpl w:val="0930F1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5645D0"/>
    <w:multiLevelType w:val="multilevel"/>
    <w:tmpl w:val="16341C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576949"/>
    <w:multiLevelType w:val="multilevel"/>
    <w:tmpl w:val="B6545F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9248C3"/>
    <w:multiLevelType w:val="multilevel"/>
    <w:tmpl w:val="54B03E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260DDA"/>
    <w:multiLevelType w:val="multilevel"/>
    <w:tmpl w:val="1FF663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08389D"/>
    <w:multiLevelType w:val="multilevel"/>
    <w:tmpl w:val="5F5E04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713466"/>
    <w:multiLevelType w:val="multilevel"/>
    <w:tmpl w:val="CF324A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EC42B7"/>
    <w:multiLevelType w:val="multilevel"/>
    <w:tmpl w:val="36DAD0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132E0"/>
    <w:multiLevelType w:val="multilevel"/>
    <w:tmpl w:val="F95E11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AA76BE"/>
    <w:multiLevelType w:val="multilevel"/>
    <w:tmpl w:val="4AA617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6"/>
  </w:num>
  <w:num w:numId="3">
    <w:abstractNumId w:val="10"/>
  </w:num>
  <w:num w:numId="4">
    <w:abstractNumId w:val="5"/>
  </w:num>
  <w:num w:numId="5">
    <w:abstractNumId w:val="4"/>
  </w:num>
  <w:num w:numId="6">
    <w:abstractNumId w:val="8"/>
  </w:num>
  <w:num w:numId="7">
    <w:abstractNumId w:val="3"/>
  </w:num>
  <w:num w:numId="8">
    <w:abstractNumId w:val="9"/>
  </w:num>
  <w:num w:numId="9">
    <w:abstractNumId w:val="2"/>
  </w:num>
  <w:num w:numId="10">
    <w:abstractNumId w:val="1"/>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0DD2"/>
    <w:rsid w:val="00152132"/>
    <w:rsid w:val="00F20D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D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0D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0DD2"/>
    <w:rPr>
      <w:rFonts w:ascii="Century" w:eastAsia="Century" w:hAnsi="Century"/>
    </w:rPr>
  </w:style>
  <w:style w:type="paragraph" w:customStyle="1" w:styleId="ja0">
    <w:name w:val="款（ja）"/>
    <w:basedOn w:val="a"/>
    <w:rsid w:val="00F20DD2"/>
    <w:pPr>
      <w:widowControl w:val="0"/>
      <w:ind w:left="1321" w:hanging="221"/>
    </w:pPr>
    <w:rPr>
      <w:rFonts w:ascii="ＭＳ 明朝" w:eastAsia="ＭＳ 明朝" w:hAnsi="ＭＳ 明朝" w:cs="ＭＳ 明朝"/>
      <w:b/>
    </w:rPr>
  </w:style>
  <w:style w:type="paragraph" w:customStyle="1" w:styleId="en0">
    <w:name w:val="款（en）"/>
    <w:basedOn w:val="ja0"/>
    <w:rsid w:val="00F20DD2"/>
    <w:rPr>
      <w:rFonts w:ascii="Century" w:eastAsia="Century" w:hAnsi="Century" w:cs="Century"/>
    </w:rPr>
  </w:style>
  <w:style w:type="paragraph" w:customStyle="1" w:styleId="ja1">
    <w:name w:val="前文（ja）"/>
    <w:basedOn w:val="a"/>
    <w:rsid w:val="00F20DD2"/>
    <w:pPr>
      <w:widowControl w:val="0"/>
      <w:ind w:firstLine="219"/>
    </w:pPr>
    <w:rPr>
      <w:rFonts w:ascii="ＭＳ 明朝" w:eastAsia="ＭＳ 明朝" w:hAnsi="ＭＳ 明朝" w:cs="ＭＳ 明朝"/>
    </w:rPr>
  </w:style>
  <w:style w:type="paragraph" w:customStyle="1" w:styleId="en1">
    <w:name w:val="前文（en）"/>
    <w:basedOn w:val="ja1"/>
    <w:rsid w:val="00F20DD2"/>
    <w:rPr>
      <w:rFonts w:ascii="Century" w:eastAsia="Century" w:hAnsi="Century" w:cs="Century"/>
    </w:rPr>
  </w:style>
  <w:style w:type="paragraph" w:customStyle="1" w:styleId="ja2">
    <w:name w:val="附則（ja）"/>
    <w:basedOn w:val="a"/>
    <w:rsid w:val="00F20DD2"/>
    <w:pPr>
      <w:widowControl w:val="0"/>
      <w:ind w:left="881" w:hanging="221"/>
    </w:pPr>
    <w:rPr>
      <w:rFonts w:ascii="ＭＳ 明朝" w:eastAsia="ＭＳ 明朝" w:hAnsi="ＭＳ 明朝" w:cs="ＭＳ 明朝"/>
      <w:b/>
    </w:rPr>
  </w:style>
  <w:style w:type="paragraph" w:customStyle="1" w:styleId="en2">
    <w:name w:val="附則（en）"/>
    <w:basedOn w:val="ja2"/>
    <w:rsid w:val="00F20DD2"/>
    <w:rPr>
      <w:rFonts w:ascii="Century" w:hAnsi="Century" w:cs="Century"/>
    </w:rPr>
  </w:style>
  <w:style w:type="paragraph" w:customStyle="1" w:styleId="ja3">
    <w:name w:val="章（ja）"/>
    <w:basedOn w:val="a"/>
    <w:rsid w:val="00F20DD2"/>
    <w:pPr>
      <w:widowControl w:val="0"/>
      <w:ind w:left="881" w:hanging="221"/>
    </w:pPr>
    <w:rPr>
      <w:rFonts w:ascii="ＭＳ 明朝" w:eastAsia="ＭＳ 明朝" w:hAnsi="ＭＳ 明朝" w:cs="ＭＳ 明朝"/>
      <w:b/>
    </w:rPr>
  </w:style>
  <w:style w:type="paragraph" w:customStyle="1" w:styleId="en3">
    <w:name w:val="章（en）"/>
    <w:basedOn w:val="ja3"/>
    <w:rsid w:val="00F20DD2"/>
    <w:rPr>
      <w:rFonts w:ascii="Century" w:eastAsia="Century" w:hAnsi="Century" w:cs="Century"/>
    </w:rPr>
  </w:style>
  <w:style w:type="paragraph" w:customStyle="1" w:styleId="ja4">
    <w:name w:val="目次編（ja）"/>
    <w:basedOn w:val="a"/>
    <w:rsid w:val="00F20DD2"/>
    <w:pPr>
      <w:widowControl w:val="0"/>
      <w:ind w:left="219" w:hanging="219"/>
    </w:pPr>
    <w:rPr>
      <w:rFonts w:ascii="ＭＳ 明朝" w:eastAsia="ＭＳ 明朝" w:hAnsi="ＭＳ 明朝"/>
    </w:rPr>
  </w:style>
  <w:style w:type="paragraph" w:customStyle="1" w:styleId="en4">
    <w:name w:val="目次編（en）"/>
    <w:basedOn w:val="ja4"/>
    <w:rsid w:val="00F20DD2"/>
    <w:rPr>
      <w:rFonts w:ascii="Century" w:eastAsia="Century" w:hAnsi="Century"/>
    </w:rPr>
  </w:style>
  <w:style w:type="paragraph" w:customStyle="1" w:styleId="ja5">
    <w:name w:val="目次章（ja）"/>
    <w:basedOn w:val="a"/>
    <w:rsid w:val="00F20DD2"/>
    <w:pPr>
      <w:widowControl w:val="0"/>
      <w:ind w:left="439" w:hanging="219"/>
    </w:pPr>
    <w:rPr>
      <w:rFonts w:ascii="ＭＳ 明朝" w:eastAsia="ＭＳ 明朝" w:hAnsi="ＭＳ 明朝"/>
    </w:rPr>
  </w:style>
  <w:style w:type="paragraph" w:customStyle="1" w:styleId="en5">
    <w:name w:val="目次章（en）"/>
    <w:basedOn w:val="ja5"/>
    <w:rsid w:val="00F20DD2"/>
    <w:rPr>
      <w:rFonts w:ascii="Century" w:eastAsia="Century" w:hAnsi="Century"/>
    </w:rPr>
  </w:style>
  <w:style w:type="paragraph" w:customStyle="1" w:styleId="ja6">
    <w:name w:val="目次節（ja）"/>
    <w:basedOn w:val="a"/>
    <w:rsid w:val="00F20DD2"/>
    <w:pPr>
      <w:widowControl w:val="0"/>
      <w:ind w:left="659" w:hanging="219"/>
    </w:pPr>
    <w:rPr>
      <w:rFonts w:ascii="ＭＳ 明朝" w:eastAsia="ＭＳ 明朝" w:hAnsi="ＭＳ 明朝"/>
    </w:rPr>
  </w:style>
  <w:style w:type="paragraph" w:customStyle="1" w:styleId="en6">
    <w:name w:val="目次節（en）"/>
    <w:basedOn w:val="ja6"/>
    <w:rsid w:val="00F20DD2"/>
    <w:rPr>
      <w:rFonts w:ascii="Century" w:eastAsia="Century" w:hAnsi="Century"/>
    </w:rPr>
  </w:style>
  <w:style w:type="paragraph" w:customStyle="1" w:styleId="ja7">
    <w:name w:val="目次款（ja）"/>
    <w:basedOn w:val="a"/>
    <w:rsid w:val="00F20DD2"/>
    <w:pPr>
      <w:widowControl w:val="0"/>
      <w:ind w:left="879" w:hanging="219"/>
    </w:pPr>
    <w:rPr>
      <w:rFonts w:ascii="ＭＳ 明朝" w:eastAsia="ＭＳ 明朝" w:hAnsi="ＭＳ 明朝" w:cs="Kochi Mincho"/>
    </w:rPr>
  </w:style>
  <w:style w:type="paragraph" w:customStyle="1" w:styleId="en7">
    <w:name w:val="目次款（en）"/>
    <w:basedOn w:val="ja7"/>
    <w:rsid w:val="00F20DD2"/>
    <w:rPr>
      <w:rFonts w:ascii="Century" w:eastAsia="Century" w:hAnsi="Century"/>
    </w:rPr>
  </w:style>
  <w:style w:type="paragraph" w:customStyle="1" w:styleId="ja8">
    <w:name w:val="別表名（ja）"/>
    <w:basedOn w:val="a"/>
    <w:rsid w:val="00F20D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0DD2"/>
    <w:rPr>
      <w:rFonts w:ascii="Century" w:eastAsia="Century" w:hAnsi="Century" w:cs="Century"/>
    </w:rPr>
  </w:style>
  <w:style w:type="paragraph" w:customStyle="1" w:styleId="ja9">
    <w:name w:val="目（ja）"/>
    <w:basedOn w:val="a"/>
    <w:rsid w:val="00F20DD2"/>
    <w:pPr>
      <w:widowControl w:val="0"/>
      <w:ind w:left="1541" w:hanging="221"/>
    </w:pPr>
    <w:rPr>
      <w:rFonts w:ascii="ＭＳ 明朝" w:eastAsia="ＭＳ 明朝" w:hAnsi="ＭＳ 明朝" w:cs="ＭＳ 明朝"/>
      <w:b/>
    </w:rPr>
  </w:style>
  <w:style w:type="paragraph" w:customStyle="1" w:styleId="en9">
    <w:name w:val="目（en）"/>
    <w:basedOn w:val="ja9"/>
    <w:rsid w:val="00F20DD2"/>
    <w:rPr>
      <w:rFonts w:ascii="Century" w:eastAsia="Century" w:hAnsi="Century" w:cs="Century"/>
    </w:rPr>
  </w:style>
  <w:style w:type="paragraph" w:customStyle="1" w:styleId="jaa">
    <w:name w:val="見出し（ja）"/>
    <w:basedOn w:val="a"/>
    <w:rsid w:val="00F20DD2"/>
    <w:pPr>
      <w:widowControl w:val="0"/>
      <w:ind w:left="439" w:hanging="219"/>
    </w:pPr>
    <w:rPr>
      <w:rFonts w:ascii="ＭＳ 明朝" w:eastAsia="ＭＳ 明朝" w:hAnsi="ＭＳ 明朝" w:cs="ＭＳ 明朝"/>
    </w:rPr>
  </w:style>
  <w:style w:type="paragraph" w:customStyle="1" w:styleId="ena">
    <w:name w:val="見出し（en）"/>
    <w:basedOn w:val="jaa"/>
    <w:rsid w:val="00F20DD2"/>
    <w:rPr>
      <w:rFonts w:ascii="Century" w:eastAsia="Century" w:hAnsi="Century" w:cs="Century"/>
    </w:rPr>
  </w:style>
  <w:style w:type="paragraph" w:styleId="a3">
    <w:name w:val="footer"/>
    <w:basedOn w:val="a"/>
    <w:rsid w:val="00F20D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0DD2"/>
    <w:pPr>
      <w:widowControl w:val="0"/>
      <w:ind w:left="1099" w:hanging="219"/>
    </w:pPr>
    <w:rPr>
      <w:rFonts w:ascii="ＭＳ 明朝" w:eastAsia="ＭＳ 明朝" w:hAnsi="ＭＳ 明朝" w:cs="Kochi Mincho"/>
    </w:rPr>
  </w:style>
  <w:style w:type="paragraph" w:customStyle="1" w:styleId="enb">
    <w:name w:val="目次目（en）"/>
    <w:basedOn w:val="jab"/>
    <w:rsid w:val="00F20DD2"/>
    <w:rPr>
      <w:rFonts w:ascii="Century" w:eastAsia="Century" w:hAnsi="Century"/>
    </w:rPr>
  </w:style>
  <w:style w:type="paragraph" w:customStyle="1" w:styleId="jac">
    <w:name w:val="目次附則（ja）"/>
    <w:basedOn w:val="a"/>
    <w:rsid w:val="00F20DD2"/>
    <w:pPr>
      <w:widowControl w:val="0"/>
      <w:ind w:left="439" w:hanging="219"/>
    </w:pPr>
    <w:rPr>
      <w:rFonts w:ascii="ＭＳ 明朝" w:eastAsia="ＭＳ 明朝" w:hAnsi="ＭＳ 明朝" w:cs="Kochi Mincho"/>
    </w:rPr>
  </w:style>
  <w:style w:type="paragraph" w:customStyle="1" w:styleId="enc">
    <w:name w:val="目次附則（en）"/>
    <w:basedOn w:val="jac"/>
    <w:rsid w:val="00F20DD2"/>
    <w:rPr>
      <w:rFonts w:ascii="Century" w:eastAsia="Century" w:hAnsi="Century" w:cs="Century"/>
    </w:rPr>
  </w:style>
  <w:style w:type="paragraph" w:customStyle="1" w:styleId="jad">
    <w:name w:val="目次前文（ja）"/>
    <w:basedOn w:val="jac"/>
    <w:rsid w:val="00F20DD2"/>
  </w:style>
  <w:style w:type="paragraph" w:customStyle="1" w:styleId="end">
    <w:name w:val="目次前文（en）"/>
    <w:basedOn w:val="enc"/>
    <w:rsid w:val="00F20DD2"/>
  </w:style>
  <w:style w:type="paragraph" w:customStyle="1" w:styleId="jae">
    <w:name w:val="制定文（ja）"/>
    <w:basedOn w:val="a"/>
    <w:rsid w:val="00F20DD2"/>
    <w:pPr>
      <w:widowControl w:val="0"/>
      <w:ind w:firstLine="219"/>
    </w:pPr>
    <w:rPr>
      <w:rFonts w:ascii="ＭＳ 明朝" w:eastAsia="ＭＳ 明朝" w:hAnsi="ＭＳ 明朝" w:cs="ＭＳ 明朝"/>
    </w:rPr>
  </w:style>
  <w:style w:type="paragraph" w:customStyle="1" w:styleId="ene">
    <w:name w:val="制定文（en）"/>
    <w:basedOn w:val="jae"/>
    <w:rsid w:val="00F20DD2"/>
    <w:rPr>
      <w:rFonts w:ascii="Century" w:eastAsia="Century" w:hAnsi="Century" w:cs="Century"/>
    </w:rPr>
  </w:style>
  <w:style w:type="paragraph" w:customStyle="1" w:styleId="jaf">
    <w:name w:val="法令番号（ja）"/>
    <w:basedOn w:val="a"/>
    <w:rsid w:val="00F20DD2"/>
    <w:pPr>
      <w:widowControl w:val="0"/>
      <w:jc w:val="right"/>
    </w:pPr>
    <w:rPr>
      <w:rFonts w:ascii="ＭＳ 明朝" w:eastAsia="ＭＳ 明朝" w:hAnsi="ＭＳ 明朝" w:cs="Kochi Mincho"/>
    </w:rPr>
  </w:style>
  <w:style w:type="paragraph" w:customStyle="1" w:styleId="enf">
    <w:name w:val="法令番号（en）"/>
    <w:basedOn w:val="jaf"/>
    <w:rsid w:val="00F20DD2"/>
    <w:rPr>
      <w:rFonts w:ascii="Century" w:eastAsia="Century" w:hAnsi="Century" w:cs="Century"/>
    </w:rPr>
  </w:style>
  <w:style w:type="paragraph" w:customStyle="1" w:styleId="jaf0">
    <w:name w:val="目次（ja）"/>
    <w:basedOn w:val="a"/>
    <w:rsid w:val="00F20DD2"/>
    <w:rPr>
      <w:rFonts w:ascii="ＭＳ 明朝" w:eastAsia="ＭＳ 明朝" w:hAnsi="ＭＳ 明朝"/>
    </w:rPr>
  </w:style>
  <w:style w:type="paragraph" w:customStyle="1" w:styleId="enf0">
    <w:name w:val="目次（en）"/>
    <w:basedOn w:val="jaf0"/>
    <w:rsid w:val="00F20DD2"/>
    <w:rPr>
      <w:rFonts w:ascii="Century" w:eastAsia="Century" w:hAnsi="Century"/>
    </w:rPr>
  </w:style>
  <w:style w:type="paragraph" w:customStyle="1" w:styleId="jaf1">
    <w:name w:val="編（ja）"/>
    <w:basedOn w:val="a"/>
    <w:rsid w:val="00F20DD2"/>
    <w:pPr>
      <w:widowControl w:val="0"/>
      <w:ind w:left="661" w:hanging="221"/>
    </w:pPr>
    <w:rPr>
      <w:rFonts w:ascii="ＭＳ 明朝" w:eastAsia="ＭＳ 明朝" w:hAnsi="ＭＳ 明朝" w:cs="ＭＳ 明朝"/>
      <w:b/>
    </w:rPr>
  </w:style>
  <w:style w:type="paragraph" w:customStyle="1" w:styleId="enf1">
    <w:name w:val="編（en）"/>
    <w:basedOn w:val="jaf1"/>
    <w:rsid w:val="00F20DD2"/>
    <w:rPr>
      <w:rFonts w:ascii="Century" w:eastAsia="Century" w:hAnsi="Century" w:cs="Century"/>
    </w:rPr>
  </w:style>
  <w:style w:type="paragraph" w:customStyle="1" w:styleId="jaf2">
    <w:name w:val="節（ja）"/>
    <w:basedOn w:val="a"/>
    <w:rsid w:val="00F20DD2"/>
    <w:pPr>
      <w:widowControl w:val="0"/>
      <w:ind w:left="1101" w:hanging="221"/>
    </w:pPr>
    <w:rPr>
      <w:rFonts w:ascii="ＭＳ 明朝" w:eastAsia="ＭＳ 明朝" w:hAnsi="ＭＳ 明朝" w:cs="ＭＳ 明朝"/>
      <w:b/>
    </w:rPr>
  </w:style>
  <w:style w:type="paragraph" w:customStyle="1" w:styleId="enf2">
    <w:name w:val="節（en）"/>
    <w:basedOn w:val="jaf2"/>
    <w:rsid w:val="00F20DD2"/>
    <w:rPr>
      <w:rFonts w:ascii="Century" w:eastAsia="Century" w:hAnsi="Century" w:cs="Century"/>
    </w:rPr>
  </w:style>
  <w:style w:type="paragraph" w:customStyle="1" w:styleId="jaf3">
    <w:name w:val="条（ja）"/>
    <w:basedOn w:val="a"/>
    <w:rsid w:val="00F20DD2"/>
    <w:pPr>
      <w:widowControl w:val="0"/>
      <w:ind w:left="219" w:hanging="219"/>
    </w:pPr>
    <w:rPr>
      <w:rFonts w:ascii="ＭＳ 明朝" w:eastAsia="ＭＳ 明朝" w:hAnsi="ＭＳ 明朝" w:cs="ＭＳ 明朝"/>
    </w:rPr>
  </w:style>
  <w:style w:type="paragraph" w:customStyle="1" w:styleId="enf3">
    <w:name w:val="条（en）"/>
    <w:basedOn w:val="jaf3"/>
    <w:rsid w:val="00F20DD2"/>
    <w:rPr>
      <w:rFonts w:ascii="Century" w:eastAsia="Century" w:hAnsi="Century" w:cs="Century"/>
    </w:rPr>
  </w:style>
  <w:style w:type="paragraph" w:customStyle="1" w:styleId="jaf4">
    <w:name w:val="項（ja）"/>
    <w:basedOn w:val="a"/>
    <w:rsid w:val="00F20DD2"/>
    <w:pPr>
      <w:widowControl w:val="0"/>
      <w:ind w:left="219" w:hanging="219"/>
    </w:pPr>
    <w:rPr>
      <w:rFonts w:ascii="ＭＳ 明朝" w:eastAsia="ＭＳ 明朝" w:hAnsi="ＭＳ 明朝" w:cs="ＭＳ 明朝"/>
    </w:rPr>
  </w:style>
  <w:style w:type="paragraph" w:customStyle="1" w:styleId="enf4">
    <w:name w:val="項（en）"/>
    <w:basedOn w:val="jaf4"/>
    <w:rsid w:val="00F20DD2"/>
    <w:rPr>
      <w:rFonts w:ascii="Century" w:eastAsia="Century" w:hAnsi="Century" w:cs="Century"/>
    </w:rPr>
  </w:style>
  <w:style w:type="paragraph" w:customStyle="1" w:styleId="jaf5">
    <w:name w:val="項　番号なし（ja）"/>
    <w:basedOn w:val="a"/>
    <w:rsid w:val="00F20DD2"/>
    <w:pPr>
      <w:widowControl w:val="0"/>
      <w:ind w:firstLine="221"/>
    </w:pPr>
    <w:rPr>
      <w:rFonts w:ascii="ＭＳ 明朝" w:eastAsia="ＭＳ 明朝" w:hAnsi="ＭＳ 明朝" w:cs="ＭＳ 明朝"/>
    </w:rPr>
  </w:style>
  <w:style w:type="paragraph" w:customStyle="1" w:styleId="enf5">
    <w:name w:val="項　番号なし（en）"/>
    <w:basedOn w:val="jaf5"/>
    <w:rsid w:val="00F20DD2"/>
    <w:rPr>
      <w:rFonts w:ascii="Century" w:eastAsia="Century" w:hAnsi="Century" w:cs="Century"/>
    </w:rPr>
  </w:style>
  <w:style w:type="paragraph" w:customStyle="1" w:styleId="jaf6">
    <w:name w:val="号（ja）"/>
    <w:basedOn w:val="a"/>
    <w:rsid w:val="00F20DD2"/>
    <w:pPr>
      <w:widowControl w:val="0"/>
      <w:ind w:left="439" w:hanging="219"/>
    </w:pPr>
    <w:rPr>
      <w:rFonts w:ascii="ＭＳ 明朝" w:eastAsia="ＭＳ 明朝" w:hAnsi="ＭＳ 明朝" w:cs="ＭＳ 明朝"/>
    </w:rPr>
  </w:style>
  <w:style w:type="paragraph" w:customStyle="1" w:styleId="enf6">
    <w:name w:val="号（en）"/>
    <w:basedOn w:val="jaf6"/>
    <w:rsid w:val="00F20DD2"/>
    <w:rPr>
      <w:rFonts w:ascii="Century" w:eastAsia="Century" w:hAnsi="Century" w:cs="Century"/>
    </w:rPr>
  </w:style>
  <w:style w:type="paragraph" w:customStyle="1" w:styleId="jaf7">
    <w:name w:val="号　番号なし（ja）"/>
    <w:basedOn w:val="a"/>
    <w:rsid w:val="00F20DD2"/>
    <w:pPr>
      <w:widowControl w:val="0"/>
      <w:ind w:left="221" w:firstLine="221"/>
    </w:pPr>
    <w:rPr>
      <w:rFonts w:ascii="ＭＳ 明朝" w:eastAsia="ＭＳ 明朝" w:hAnsi="ＭＳ 明朝" w:cs="ＭＳ 明朝"/>
    </w:rPr>
  </w:style>
  <w:style w:type="paragraph" w:customStyle="1" w:styleId="enf7">
    <w:name w:val="号　番号なし（en）"/>
    <w:basedOn w:val="jaf7"/>
    <w:rsid w:val="00F20DD2"/>
    <w:rPr>
      <w:rFonts w:ascii="Century" w:eastAsia="Century" w:hAnsi="Century" w:cs="Century"/>
    </w:rPr>
  </w:style>
  <w:style w:type="paragraph" w:customStyle="1" w:styleId="jaf8">
    <w:name w:val="備考号（ja）"/>
    <w:basedOn w:val="a"/>
    <w:rsid w:val="00F20DD2"/>
    <w:pPr>
      <w:widowControl w:val="0"/>
      <w:ind w:left="659" w:hanging="219"/>
    </w:pPr>
    <w:rPr>
      <w:rFonts w:ascii="ＭＳ 明朝" w:eastAsia="ＭＳ 明朝" w:hAnsi="ＭＳ 明朝" w:cs="ＭＳ 明朝"/>
    </w:rPr>
  </w:style>
  <w:style w:type="paragraph" w:customStyle="1" w:styleId="enf8">
    <w:name w:val="備考号（en）"/>
    <w:basedOn w:val="jaf8"/>
    <w:rsid w:val="00F20DD2"/>
    <w:rPr>
      <w:rFonts w:ascii="Century" w:eastAsia="Century" w:hAnsi="Century" w:cs="Century"/>
    </w:rPr>
  </w:style>
  <w:style w:type="paragraph" w:customStyle="1" w:styleId="jaf9">
    <w:name w:val="号細分（ja）"/>
    <w:basedOn w:val="a"/>
    <w:rsid w:val="00F20DD2"/>
    <w:pPr>
      <w:widowControl w:val="0"/>
      <w:ind w:left="659" w:hanging="219"/>
    </w:pPr>
    <w:rPr>
      <w:rFonts w:ascii="ＭＳ 明朝" w:eastAsia="ＭＳ 明朝" w:hAnsi="ＭＳ 明朝" w:cs="ＭＳ 明朝"/>
    </w:rPr>
  </w:style>
  <w:style w:type="paragraph" w:customStyle="1" w:styleId="enf9">
    <w:name w:val="号細分（en）"/>
    <w:basedOn w:val="jaf9"/>
    <w:rsid w:val="00F20DD2"/>
    <w:rPr>
      <w:rFonts w:ascii="Century" w:eastAsia="Century" w:hAnsi="Century" w:cs="Century"/>
    </w:rPr>
  </w:style>
  <w:style w:type="paragraph" w:customStyle="1" w:styleId="jafa">
    <w:name w:val="号細分　番号なし（ja）"/>
    <w:basedOn w:val="a"/>
    <w:rsid w:val="00F20DD2"/>
    <w:pPr>
      <w:widowControl w:val="0"/>
      <w:ind w:left="439"/>
    </w:pPr>
    <w:rPr>
      <w:rFonts w:ascii="ＭＳ 明朝" w:eastAsia="ＭＳ 明朝" w:hAnsi="ＭＳ 明朝" w:cs="ＭＳ 明朝"/>
    </w:rPr>
  </w:style>
  <w:style w:type="paragraph" w:customStyle="1" w:styleId="enfa">
    <w:name w:val="号細分　番号なし（en）"/>
    <w:basedOn w:val="jafa"/>
    <w:rsid w:val="00F20DD2"/>
    <w:rPr>
      <w:rFonts w:ascii="Century" w:eastAsia="Century" w:hAnsi="Century" w:cs="Century"/>
    </w:rPr>
  </w:style>
  <w:style w:type="paragraph" w:customStyle="1" w:styleId="jafb">
    <w:name w:val="備考号細分（ja）"/>
    <w:basedOn w:val="a"/>
    <w:rsid w:val="00F20DD2"/>
    <w:pPr>
      <w:widowControl w:val="0"/>
      <w:ind w:left="1099" w:hanging="439"/>
    </w:pPr>
    <w:rPr>
      <w:rFonts w:ascii="ＭＳ 明朝" w:eastAsia="ＭＳ 明朝" w:hAnsi="ＭＳ 明朝" w:cs="ＭＳ 明朝"/>
    </w:rPr>
  </w:style>
  <w:style w:type="paragraph" w:customStyle="1" w:styleId="enfb">
    <w:name w:val="備考号細分（en）"/>
    <w:basedOn w:val="jafb"/>
    <w:rsid w:val="00F20DD2"/>
    <w:rPr>
      <w:rFonts w:ascii="Century" w:eastAsia="Century" w:hAnsi="Century" w:cs="Century"/>
    </w:rPr>
  </w:style>
  <w:style w:type="paragraph" w:customStyle="1" w:styleId="jafc">
    <w:name w:val="号細細分（ja）"/>
    <w:basedOn w:val="a"/>
    <w:rsid w:val="00F20DD2"/>
    <w:pPr>
      <w:widowControl w:val="0"/>
      <w:ind w:left="1099" w:hanging="439"/>
    </w:pPr>
    <w:rPr>
      <w:rFonts w:ascii="ＭＳ 明朝" w:eastAsia="ＭＳ 明朝" w:hAnsi="ＭＳ 明朝" w:cs="ＭＳ 明朝"/>
    </w:rPr>
  </w:style>
  <w:style w:type="paragraph" w:customStyle="1" w:styleId="enfc">
    <w:name w:val="号細細分（en）"/>
    <w:basedOn w:val="jafc"/>
    <w:rsid w:val="00F20DD2"/>
    <w:rPr>
      <w:rFonts w:ascii="Century" w:eastAsia="Century" w:hAnsi="Century" w:cs="Century"/>
    </w:rPr>
  </w:style>
  <w:style w:type="paragraph" w:customStyle="1" w:styleId="jafd">
    <w:name w:val="号細細分　番号なし（ja）"/>
    <w:basedOn w:val="a"/>
    <w:rsid w:val="00F20DD2"/>
    <w:pPr>
      <w:widowControl w:val="0"/>
      <w:ind w:left="659"/>
    </w:pPr>
    <w:rPr>
      <w:rFonts w:ascii="ＭＳ 明朝" w:eastAsia="ＭＳ 明朝" w:hAnsi="ＭＳ 明朝" w:cs="ＭＳ 明朝"/>
    </w:rPr>
  </w:style>
  <w:style w:type="paragraph" w:customStyle="1" w:styleId="enfd">
    <w:name w:val="号細細分　番号なし（en）"/>
    <w:basedOn w:val="jafd"/>
    <w:rsid w:val="00F20DD2"/>
    <w:rPr>
      <w:rFonts w:ascii="Century" w:eastAsia="Century" w:hAnsi="Century" w:cs="Century"/>
    </w:rPr>
  </w:style>
  <w:style w:type="paragraph" w:customStyle="1" w:styleId="jafe">
    <w:name w:val="備考号細細分（ja）"/>
    <w:basedOn w:val="a"/>
    <w:rsid w:val="00F20DD2"/>
    <w:pPr>
      <w:widowControl w:val="0"/>
      <w:ind w:left="1319" w:hanging="439"/>
    </w:pPr>
    <w:rPr>
      <w:rFonts w:ascii="ＭＳ 明朝" w:eastAsia="ＭＳ 明朝" w:hAnsi="ＭＳ 明朝" w:cs="ＭＳ 明朝"/>
    </w:rPr>
  </w:style>
  <w:style w:type="paragraph" w:customStyle="1" w:styleId="enfe">
    <w:name w:val="備考号細細分（en）"/>
    <w:basedOn w:val="jafe"/>
    <w:rsid w:val="00F20DD2"/>
    <w:rPr>
      <w:rFonts w:ascii="Century" w:eastAsia="Century" w:hAnsi="Century" w:cs="Century"/>
    </w:rPr>
  </w:style>
  <w:style w:type="paragraph" w:customStyle="1" w:styleId="jaff">
    <w:name w:val="号細細細分（ja）"/>
    <w:basedOn w:val="a"/>
    <w:rsid w:val="00F20DD2"/>
    <w:pPr>
      <w:widowControl w:val="0"/>
      <w:ind w:left="1319" w:hanging="439"/>
    </w:pPr>
    <w:rPr>
      <w:rFonts w:ascii="ＭＳ 明朝" w:eastAsia="ＭＳ 明朝" w:hAnsi="ＭＳ 明朝" w:cs="ＭＳ 明朝"/>
    </w:rPr>
  </w:style>
  <w:style w:type="paragraph" w:customStyle="1" w:styleId="enff">
    <w:name w:val="号細細細分（en）"/>
    <w:basedOn w:val="jaff"/>
    <w:rsid w:val="00F20DD2"/>
    <w:rPr>
      <w:rFonts w:ascii="Century" w:eastAsia="Century" w:hAnsi="Century" w:cs="Century"/>
    </w:rPr>
  </w:style>
  <w:style w:type="paragraph" w:customStyle="1" w:styleId="jaff0">
    <w:name w:val="号細細細分　番号なし（ja）"/>
    <w:basedOn w:val="a"/>
    <w:rsid w:val="00F20DD2"/>
    <w:pPr>
      <w:widowControl w:val="0"/>
      <w:ind w:left="879"/>
    </w:pPr>
    <w:rPr>
      <w:rFonts w:ascii="ＭＳ 明朝" w:eastAsia="ＭＳ 明朝" w:hAnsi="ＭＳ 明朝" w:cs="ＭＳ 明朝"/>
    </w:rPr>
  </w:style>
  <w:style w:type="paragraph" w:customStyle="1" w:styleId="enff0">
    <w:name w:val="号細細細分　番号なし（en）"/>
    <w:basedOn w:val="jaff0"/>
    <w:rsid w:val="00F20DD2"/>
    <w:rPr>
      <w:rFonts w:ascii="Century" w:eastAsia="Century" w:hAnsi="Century" w:cs="Century"/>
    </w:rPr>
  </w:style>
  <w:style w:type="paragraph" w:customStyle="1" w:styleId="jaff1">
    <w:name w:val="備考号細細細分（ja）"/>
    <w:basedOn w:val="a"/>
    <w:rsid w:val="00F20D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0DD2"/>
    <w:rPr>
      <w:rFonts w:ascii="Century" w:eastAsia="Century" w:hAnsi="Century" w:cs="Century"/>
    </w:rPr>
  </w:style>
  <w:style w:type="paragraph" w:customStyle="1" w:styleId="jaff2">
    <w:name w:val="類（ja）"/>
    <w:basedOn w:val="a"/>
    <w:rsid w:val="00F20DD2"/>
    <w:pPr>
      <w:widowControl w:val="0"/>
      <w:ind w:left="439" w:hanging="219"/>
    </w:pPr>
    <w:rPr>
      <w:rFonts w:ascii="ＭＳ 明朝" w:eastAsia="ＭＳ 明朝" w:hAnsi="ＭＳ 明朝" w:cs="ＭＳ 明朝"/>
    </w:rPr>
  </w:style>
  <w:style w:type="paragraph" w:customStyle="1" w:styleId="enff2">
    <w:name w:val="類（en）"/>
    <w:basedOn w:val="jaff2"/>
    <w:rsid w:val="00F20DD2"/>
    <w:rPr>
      <w:rFonts w:ascii="Century" w:eastAsia="Century" w:hAnsi="Century" w:cs="Century"/>
    </w:rPr>
  </w:style>
  <w:style w:type="paragraph" w:customStyle="1" w:styleId="jaff3">
    <w:name w:val="公布文（ja）"/>
    <w:basedOn w:val="a"/>
    <w:rsid w:val="00F20DD2"/>
    <w:pPr>
      <w:widowControl w:val="0"/>
      <w:ind w:firstLine="219"/>
    </w:pPr>
    <w:rPr>
      <w:rFonts w:ascii="ＭＳ 明朝" w:eastAsia="ＭＳ 明朝" w:hAnsi="ＭＳ 明朝" w:cs="ＭＳ 明朝"/>
    </w:rPr>
  </w:style>
  <w:style w:type="paragraph" w:customStyle="1" w:styleId="enff3">
    <w:name w:val="公布文（en）"/>
    <w:basedOn w:val="jaff3"/>
    <w:rsid w:val="00F20DD2"/>
    <w:rPr>
      <w:rFonts w:ascii="Century" w:eastAsia="Century" w:hAnsi="Century" w:cs="Century"/>
    </w:rPr>
  </w:style>
  <w:style w:type="paragraph" w:customStyle="1" w:styleId="jaen">
    <w:name w:val="表（ja：en）"/>
    <w:basedOn w:val="a"/>
    <w:rsid w:val="00F20DD2"/>
    <w:pPr>
      <w:widowControl w:val="0"/>
      <w:snapToGrid w:val="0"/>
    </w:pPr>
    <w:rPr>
      <w:rFonts w:ascii="Century" w:eastAsia="ＭＳ 明朝" w:hAnsi="Century"/>
    </w:rPr>
  </w:style>
  <w:style w:type="paragraph" w:customStyle="1" w:styleId="jaff4">
    <w:name w:val="備考（ja）"/>
    <w:basedOn w:val="a"/>
    <w:rsid w:val="00F20DD2"/>
    <w:pPr>
      <w:widowControl w:val="0"/>
      <w:ind w:left="439" w:hanging="219"/>
    </w:pPr>
    <w:rPr>
      <w:rFonts w:ascii="ＭＳ 明朝" w:eastAsia="ＭＳ 明朝" w:hAnsi="ＭＳ 明朝" w:cs="ＭＳ 明朝"/>
    </w:rPr>
  </w:style>
  <w:style w:type="paragraph" w:customStyle="1" w:styleId="enff4">
    <w:name w:val="備考（en）"/>
    <w:basedOn w:val="jaff4"/>
    <w:rsid w:val="00F20DD2"/>
    <w:rPr>
      <w:rFonts w:ascii="Century" w:eastAsia="Century" w:hAnsi="Century" w:cs="Century"/>
    </w:rPr>
  </w:style>
  <w:style w:type="paragraph" w:customStyle="1" w:styleId="jaff5">
    <w:name w:val="表タイトル（ja）"/>
    <w:basedOn w:val="a"/>
    <w:rsid w:val="00F20DD2"/>
    <w:pPr>
      <w:widowControl w:val="0"/>
      <w:ind w:left="219"/>
    </w:pPr>
    <w:rPr>
      <w:rFonts w:ascii="ＭＳ 明朝" w:eastAsia="ＭＳ 明朝" w:hAnsi="ＭＳ 明朝" w:cs="ＭＳ 明朝"/>
    </w:rPr>
  </w:style>
  <w:style w:type="paragraph" w:customStyle="1" w:styleId="enff5">
    <w:name w:val="表タイトル（en）"/>
    <w:basedOn w:val="jaff5"/>
    <w:rsid w:val="00F20DD2"/>
    <w:rPr>
      <w:rFonts w:ascii="Century" w:eastAsia="Century" w:hAnsi="Century" w:cs="Century"/>
    </w:rPr>
  </w:style>
  <w:style w:type="paragraph" w:customStyle="1" w:styleId="jaff6">
    <w:name w:val="改正規定文（ja）"/>
    <w:basedOn w:val="a"/>
    <w:rsid w:val="00F20DD2"/>
    <w:pPr>
      <w:widowControl w:val="0"/>
      <w:ind w:left="219" w:firstLine="219"/>
    </w:pPr>
    <w:rPr>
      <w:rFonts w:ascii="ＭＳ 明朝" w:eastAsia="ＭＳ 明朝" w:hAnsi="ＭＳ 明朝" w:cs="ＭＳ 明朝"/>
    </w:rPr>
  </w:style>
  <w:style w:type="paragraph" w:customStyle="1" w:styleId="enff6">
    <w:name w:val="改正規定文（en）"/>
    <w:basedOn w:val="jaff6"/>
    <w:rsid w:val="00F20DD2"/>
    <w:rPr>
      <w:rFonts w:ascii="Century" w:eastAsia="Century" w:hAnsi="Century" w:cs="Century"/>
    </w:rPr>
  </w:style>
  <w:style w:type="paragraph" w:customStyle="1" w:styleId="jaff7">
    <w:name w:val="付記（ja）"/>
    <w:basedOn w:val="a"/>
    <w:rsid w:val="00F20DD2"/>
    <w:pPr>
      <w:widowControl w:val="0"/>
      <w:ind w:left="219" w:firstLine="219"/>
    </w:pPr>
    <w:rPr>
      <w:rFonts w:ascii="ＭＳ 明朝" w:eastAsia="ＭＳ 明朝" w:hAnsi="ＭＳ 明朝" w:cs="ＭＳ 明朝"/>
    </w:rPr>
  </w:style>
  <w:style w:type="paragraph" w:customStyle="1" w:styleId="enff7">
    <w:name w:val="付記（en）"/>
    <w:basedOn w:val="jaff7"/>
    <w:rsid w:val="00F20DD2"/>
    <w:rPr>
      <w:rFonts w:ascii="Century" w:eastAsia="Century" w:hAnsi="Century" w:cs="Century"/>
    </w:rPr>
  </w:style>
  <w:style w:type="paragraph" w:customStyle="1" w:styleId="jaff8">
    <w:name w:val="様式名（ja）"/>
    <w:basedOn w:val="a"/>
    <w:rsid w:val="00F20DD2"/>
    <w:pPr>
      <w:widowControl w:val="0"/>
      <w:ind w:left="439" w:hanging="219"/>
    </w:pPr>
    <w:rPr>
      <w:rFonts w:ascii="ＭＳ 明朝" w:eastAsia="ＭＳ 明朝" w:hAnsi="ＭＳ 明朝" w:cs="ＭＳ 明朝"/>
    </w:rPr>
  </w:style>
  <w:style w:type="paragraph" w:customStyle="1" w:styleId="enff8">
    <w:name w:val="様式名（en）"/>
    <w:basedOn w:val="jaff8"/>
    <w:rsid w:val="00F20DD2"/>
    <w:rPr>
      <w:rFonts w:ascii="Century" w:eastAsia="Century" w:hAnsi="Century" w:cs="Century"/>
    </w:rPr>
  </w:style>
  <w:style w:type="paragraph" w:customStyle="1" w:styleId="jaff9">
    <w:name w:val="様式項目（ja）"/>
    <w:basedOn w:val="a"/>
    <w:rsid w:val="00F20DD2"/>
    <w:pPr>
      <w:widowControl w:val="0"/>
      <w:ind w:left="221" w:firstLine="221"/>
    </w:pPr>
    <w:rPr>
      <w:rFonts w:ascii="ＭＳ 明朝" w:eastAsia="ＭＳ 明朝" w:hAnsi="ＭＳ 明朝" w:cs="ＭＳ 明朝"/>
    </w:rPr>
  </w:style>
  <w:style w:type="paragraph" w:customStyle="1" w:styleId="enff9">
    <w:name w:val="様式項目（en）"/>
    <w:basedOn w:val="jaff9"/>
    <w:rsid w:val="00F20DD2"/>
    <w:rPr>
      <w:rFonts w:ascii="Century" w:eastAsia="Century" w:hAnsi="Century" w:cs="Century"/>
    </w:rPr>
  </w:style>
  <w:style w:type="table" w:customStyle="1" w:styleId="1">
    <w:name w:val="表1"/>
    <w:rsid w:val="00F20DD2"/>
    <w:tblPr>
      <w:tblInd w:w="340" w:type="dxa"/>
      <w:tblCellMar>
        <w:top w:w="0" w:type="dxa"/>
        <w:left w:w="0" w:type="dxa"/>
        <w:bottom w:w="0" w:type="dxa"/>
        <w:right w:w="0" w:type="dxa"/>
      </w:tblCellMar>
    </w:tblPr>
  </w:style>
  <w:style w:type="numbering" w:customStyle="1" w:styleId="WW8Num1">
    <w:name w:val="WW8Num1"/>
    <w:rsid w:val="00F20DD2"/>
    <w:pPr>
      <w:numPr>
        <w:numId w:val="2"/>
      </w:numPr>
    </w:pPr>
  </w:style>
  <w:style w:type="numbering" w:customStyle="1" w:styleId="WW8Num2">
    <w:name w:val="WW8Num2"/>
    <w:rsid w:val="00F20DD2"/>
    <w:pPr>
      <w:numPr>
        <w:numId w:val="3"/>
      </w:numPr>
    </w:pPr>
  </w:style>
  <w:style w:type="numbering" w:customStyle="1" w:styleId="WW8Num3">
    <w:name w:val="WW8Num3"/>
    <w:rsid w:val="00F20DD2"/>
    <w:pPr>
      <w:numPr>
        <w:numId w:val="4"/>
      </w:numPr>
    </w:pPr>
  </w:style>
  <w:style w:type="numbering" w:customStyle="1" w:styleId="WW8Num4">
    <w:name w:val="WW8Num4"/>
    <w:rsid w:val="00F20DD2"/>
    <w:pPr>
      <w:numPr>
        <w:numId w:val="5"/>
      </w:numPr>
    </w:pPr>
  </w:style>
  <w:style w:type="numbering" w:customStyle="1" w:styleId="WW8Num5">
    <w:name w:val="WW8Num5"/>
    <w:rsid w:val="00F20DD2"/>
    <w:pPr>
      <w:numPr>
        <w:numId w:val="6"/>
      </w:numPr>
    </w:pPr>
  </w:style>
  <w:style w:type="numbering" w:customStyle="1" w:styleId="WW8Num6">
    <w:name w:val="WW8Num6"/>
    <w:rsid w:val="00F20DD2"/>
    <w:pPr>
      <w:numPr>
        <w:numId w:val="7"/>
      </w:numPr>
    </w:pPr>
  </w:style>
  <w:style w:type="numbering" w:customStyle="1" w:styleId="WW8Num7">
    <w:name w:val="WW8Num7"/>
    <w:rsid w:val="00F20DD2"/>
    <w:pPr>
      <w:numPr>
        <w:numId w:val="8"/>
      </w:numPr>
    </w:pPr>
  </w:style>
  <w:style w:type="numbering" w:customStyle="1" w:styleId="WW8Num8">
    <w:name w:val="WW8Num8"/>
    <w:rsid w:val="00F20DD2"/>
    <w:pPr>
      <w:numPr>
        <w:numId w:val="9"/>
      </w:numPr>
    </w:pPr>
  </w:style>
  <w:style w:type="numbering" w:customStyle="1" w:styleId="WW8Num9">
    <w:name w:val="WW8Num9"/>
    <w:rsid w:val="00F20DD2"/>
    <w:pPr>
      <w:numPr>
        <w:numId w:val="10"/>
      </w:numPr>
    </w:pPr>
  </w:style>
  <w:style w:type="numbering" w:customStyle="1" w:styleId="WW8Num10">
    <w:name w:val="WW8Num10"/>
    <w:rsid w:val="00F20DD2"/>
    <w:pPr>
      <w:numPr>
        <w:numId w:val="11"/>
      </w:numPr>
    </w:pPr>
  </w:style>
  <w:style w:type="numbering" w:customStyle="1" w:styleId="WW8Num11">
    <w:name w:val="WW8Num11"/>
    <w:rsid w:val="00F20DD2"/>
    <w:pPr>
      <w:numPr>
        <w:numId w:val="12"/>
      </w:numPr>
    </w:pPr>
  </w:style>
  <w:style w:type="numbering" w:customStyle="1" w:styleId="WW8Num12">
    <w:name w:val="WW8Num12"/>
    <w:rsid w:val="00F20DD2"/>
    <w:pPr>
      <w:numPr>
        <w:numId w:val="13"/>
      </w:numPr>
    </w:pPr>
  </w:style>
  <w:style w:type="paragraph" w:styleId="a4">
    <w:name w:val="header"/>
    <w:basedOn w:val="a"/>
    <w:link w:val="a5"/>
    <w:uiPriority w:val="99"/>
    <w:unhideWhenUsed/>
    <w:rsid w:val="00152132"/>
    <w:pPr>
      <w:tabs>
        <w:tab w:val="center" w:pos="4252"/>
        <w:tab w:val="right" w:pos="8504"/>
      </w:tabs>
      <w:snapToGrid w:val="0"/>
    </w:pPr>
  </w:style>
  <w:style w:type="character" w:customStyle="1" w:styleId="a5">
    <w:name w:val="ヘッダー (文字)"/>
    <w:basedOn w:val="a0"/>
    <w:link w:val="a4"/>
    <w:uiPriority w:val="99"/>
    <w:rsid w:val="001521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7161</Words>
  <Characters>40819</Characters>
  <Application>Microsoft Office Word</Application>
  <DocSecurity>0</DocSecurity>
  <Lines>340</Lines>
  <Paragraphs>95</Paragraphs>
  <ScaleCrop>false</ScaleCrop>
  <Company/>
  <LinksUpToDate>false</LinksUpToDate>
  <CharactersWithSpaces>47885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2022-03-29T22:49:00Z</dcterms:created>
  <dcterms:modified xsi:type="dcterms:W3CDTF">2022-03-29T22:49:00Z</dcterms:modified>
</cp:coreProperties>
</file>