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50D" w:rsidRDefault="00864D94">
      <w:pPr>
        <w:pStyle w:val="ja"/>
      </w:pPr>
      <w:r>
        <w:t>水銀による環境の汚染の防止に関する法律施行令</w:t>
      </w:r>
    </w:p>
    <w:p w:rsidR="00E0650D" w:rsidRDefault="00864D94">
      <w:pPr>
        <w:pStyle w:val="en"/>
      </w:pPr>
      <w:r>
        <w:t>Enforcement Order of the Act on Preventing Mercury Pollution of the Environment</w:t>
      </w:r>
    </w:p>
    <w:p w:rsidR="00E0650D" w:rsidRDefault="00E0650D"/>
    <w:p w:rsidR="00E0650D" w:rsidRDefault="00864D94">
      <w:pPr>
        <w:pStyle w:val="jaf"/>
      </w:pPr>
      <w:r>
        <w:t>（平成二十七年十一月十一日政令第三百七十八号）</w:t>
      </w:r>
    </w:p>
    <w:p w:rsidR="00E0650D" w:rsidRDefault="00864D94">
      <w:pPr>
        <w:pStyle w:val="enf"/>
      </w:pPr>
      <w:r>
        <w:t>(Cabinet Order No. 378 of November 11, 2015)</w:t>
      </w:r>
    </w:p>
    <w:p w:rsidR="00E0650D" w:rsidRDefault="00E0650D"/>
    <w:p w:rsidR="00E0650D" w:rsidRDefault="00864D94">
      <w:pPr>
        <w:pStyle w:val="jae"/>
      </w:pPr>
      <w:r>
        <w:t>内閣は、水銀による環境の汚染の防止に関する法律（平成二十七年法律第四十二号）第二条第一項、第十九条、第二十一条第一項及び第三十条の規定に基づき、この政令を制定する。</w:t>
      </w:r>
    </w:p>
    <w:p w:rsidR="00E0650D" w:rsidRDefault="00864D94">
      <w:pPr>
        <w:pStyle w:val="ene"/>
      </w:pPr>
      <w:r>
        <w:t>The Cabinet hereby enacts this Cabinet Order under the provisions of Article 2, paragraph (1), Article 19, Article 21, paragraph (1), and Article 30 of the Act on Preventing</w:t>
      </w:r>
      <w:r>
        <w:t xml:space="preserve"> Mercury Pollution of the Environment (Act No.42 of 2015).</w:t>
      </w:r>
    </w:p>
    <w:p w:rsidR="00E0650D" w:rsidRDefault="00E0650D"/>
    <w:p w:rsidR="00E0650D" w:rsidRDefault="00864D94">
      <w:pPr>
        <w:pStyle w:val="jaa"/>
      </w:pPr>
      <w:r>
        <w:t>（特定水銀使用製品）</w:t>
      </w:r>
    </w:p>
    <w:p w:rsidR="00E0650D" w:rsidRDefault="00864D94">
      <w:pPr>
        <w:pStyle w:val="ena"/>
      </w:pPr>
      <w:r>
        <w:t>(Specified Mercury-using Products)</w:t>
      </w:r>
    </w:p>
    <w:p w:rsidR="00E0650D" w:rsidRDefault="00864D94">
      <w:pPr>
        <w:pStyle w:val="jaf3"/>
      </w:pPr>
      <w:r>
        <w:t>第一条　水銀による環境の汚染の防止に関する法律（以下「法」という。）第二条第一項に規定する特定水銀使用製品（以下単に「特定水銀使用製品」という。）として政令で定めるものは、次に掲げるものとする。</w:t>
      </w:r>
    </w:p>
    <w:p w:rsidR="00E0650D" w:rsidRDefault="00864D94">
      <w:pPr>
        <w:pStyle w:val="enf3"/>
      </w:pPr>
      <w:r>
        <w:t>Article 1  Products provided by Cabinet Order referr</w:t>
      </w:r>
      <w:r>
        <w:t>ed to in Article 2, paragraph (1) of the Act on Preventing Mercury Pollution of the Environment (hereinafter referred to as "the Act") as specified mercury-using products (hereinafter simply referred to as "specified mercury-using products") are the follow</w:t>
      </w:r>
      <w:r>
        <w:t>ing:</w:t>
      </w:r>
    </w:p>
    <w:p w:rsidR="00E0650D" w:rsidRDefault="00864D94">
      <w:pPr>
        <w:pStyle w:val="jaf6"/>
      </w:pPr>
      <w:r>
        <w:t>一　電池（次に掲げるものを除く。）</w:t>
      </w:r>
    </w:p>
    <w:p w:rsidR="00E0650D" w:rsidRDefault="00864D94">
      <w:pPr>
        <w:pStyle w:val="enf6"/>
      </w:pPr>
      <w:r>
        <w:t>(i) batteries (excluding the following):</w:t>
      </w:r>
    </w:p>
    <w:p w:rsidR="00E0650D" w:rsidRDefault="00864D94">
      <w:pPr>
        <w:pStyle w:val="jaf9"/>
      </w:pPr>
      <w:r>
        <w:t>イ　酸化銀電池（水銀の含有量が全重量の一パーセント未満であって、ボタン電池であるものに限る。）</w:t>
      </w:r>
    </w:p>
    <w:p w:rsidR="00E0650D" w:rsidRDefault="00864D94">
      <w:pPr>
        <w:pStyle w:val="enf9"/>
      </w:pPr>
      <w:r>
        <w:t>(a) silver oxide batteries (limited to those with a mercury content of less than one percent by weight that are button batteries);</w:t>
      </w:r>
    </w:p>
    <w:p w:rsidR="00E0650D" w:rsidRDefault="00864D94">
      <w:pPr>
        <w:pStyle w:val="jaf9"/>
      </w:pPr>
      <w:r>
        <w:t>ロ　空気亜鉛電池（水銀の含</w:t>
      </w:r>
      <w:r>
        <w:t>有量が全重量の二パーセント未満であって、ボタン電池であるものに限る。）</w:t>
      </w:r>
    </w:p>
    <w:p w:rsidR="00E0650D" w:rsidRDefault="00864D94">
      <w:pPr>
        <w:pStyle w:val="enf9"/>
      </w:pPr>
      <w:r>
        <w:t>(b) zinc air batteries (limited to those with a mercury content of less than two percent by weight that are button batteries);</w:t>
      </w:r>
    </w:p>
    <w:p w:rsidR="00E0650D" w:rsidRDefault="00864D94">
      <w:pPr>
        <w:pStyle w:val="jaf6"/>
      </w:pPr>
      <w:r>
        <w:t>二　スイッチ及びリレー</w:t>
      </w:r>
    </w:p>
    <w:p w:rsidR="00E0650D" w:rsidRDefault="00864D94">
      <w:pPr>
        <w:pStyle w:val="enf6"/>
      </w:pPr>
      <w:r>
        <w:t>(ii) switches and relays;</w:t>
      </w:r>
    </w:p>
    <w:p w:rsidR="00E0650D" w:rsidRDefault="00864D94">
      <w:pPr>
        <w:pStyle w:val="jaf6"/>
      </w:pPr>
      <w:r>
        <w:t>三　一般照明用のコンパクト形蛍光ランプ及び電球形蛍光ランプ（発光管一本当たりの水銀の含有量が五ミリグラムを超え</w:t>
      </w:r>
      <w:r>
        <w:t>るものであって、定格消費電力が三十ワット以下のものに限る。）</w:t>
      </w:r>
    </w:p>
    <w:p w:rsidR="00E0650D" w:rsidRDefault="00864D94">
      <w:pPr>
        <w:pStyle w:val="enf6"/>
      </w:pPr>
      <w:r>
        <w:t xml:space="preserve">(iii) single-ended compact fluorescent lamps and self-ballasted fluorescent lamps used for general lighting purposes (limited to those with a mercury </w:t>
      </w:r>
      <w:r>
        <w:lastRenderedPageBreak/>
        <w:t>content per lamp burner exceeding five milligrams that have a rated power c</w:t>
      </w:r>
      <w:r>
        <w:t>onsumption not exceeding 30 watts);</w:t>
      </w:r>
    </w:p>
    <w:p w:rsidR="00E0650D" w:rsidRDefault="00864D94">
      <w:pPr>
        <w:pStyle w:val="jaf6"/>
      </w:pPr>
      <w:r>
        <w:t>四　一般照明用の直管形蛍光ランプのうち、次に掲げるもの</w:t>
      </w:r>
    </w:p>
    <w:p w:rsidR="00E0650D" w:rsidRDefault="00864D94">
      <w:pPr>
        <w:pStyle w:val="enf6"/>
      </w:pPr>
      <w:r>
        <w:t>(iv) the following linear fluorescent lamps (LFLs) used for general lighting purposes:</w:t>
      </w:r>
    </w:p>
    <w:p w:rsidR="00E0650D" w:rsidRDefault="00864D94">
      <w:pPr>
        <w:pStyle w:val="jaf9"/>
      </w:pPr>
      <w:r>
        <w:t>イ　一個当たりの水銀の含有量が五ミリグラムを超えるものであって、定格消費電力が六十ワット未満のもののうち、三波長形の蛍光体を用いたもの</w:t>
      </w:r>
    </w:p>
    <w:p w:rsidR="00E0650D" w:rsidRDefault="00864D94">
      <w:pPr>
        <w:pStyle w:val="enf9"/>
      </w:pPr>
      <w:r>
        <w:t xml:space="preserve">(a) those with a mercury </w:t>
      </w:r>
      <w:r>
        <w:t>content per lamp exceeding five milligrams that have a rated power consumption of less than 60 watts and use triband phosphor;</w:t>
      </w:r>
    </w:p>
    <w:p w:rsidR="00E0650D" w:rsidRDefault="00864D94">
      <w:pPr>
        <w:pStyle w:val="jaf9"/>
      </w:pPr>
      <w:r>
        <w:t>ロ　一個当たりの水銀の含有量が十ミリグラムを超えるものであって、定格消費電力が四十ワット以下のもののうち、ハロりん酸塩を主成分とする蛍光体を用いたもの</w:t>
      </w:r>
    </w:p>
    <w:p w:rsidR="00E0650D" w:rsidRDefault="00864D94">
      <w:pPr>
        <w:pStyle w:val="enf9"/>
      </w:pPr>
      <w:r>
        <w:t>(b) those with a mercury content per lamp exceeding 1</w:t>
      </w:r>
      <w:r>
        <w:t>0 milligrams, that have a rated power consumption not exceeding 40 watts and use halophosphate phosphor;</w:t>
      </w:r>
    </w:p>
    <w:p w:rsidR="00E0650D" w:rsidRDefault="00864D94">
      <w:pPr>
        <w:pStyle w:val="jaf6"/>
      </w:pPr>
      <w:r>
        <w:t>五　一般照明用の高圧水銀ランプ</w:t>
      </w:r>
    </w:p>
    <w:p w:rsidR="00E0650D" w:rsidRDefault="00864D94">
      <w:pPr>
        <w:pStyle w:val="enf6"/>
      </w:pPr>
      <w:r>
        <w:t>(v) high pressure mercury vapor lamps used for general lighting purposes;</w:t>
      </w:r>
    </w:p>
    <w:p w:rsidR="00E0650D" w:rsidRDefault="00864D94">
      <w:pPr>
        <w:pStyle w:val="jaf6"/>
      </w:pPr>
      <w:r>
        <w:t>六　電子ディスプレイ用の冷陰極蛍光ランプ及び外部電極蛍光ランプのうち、次に掲げるもの</w:t>
      </w:r>
    </w:p>
    <w:p w:rsidR="00E0650D" w:rsidRDefault="00864D94">
      <w:pPr>
        <w:pStyle w:val="enf6"/>
      </w:pPr>
      <w:r>
        <w:t>(vi) the following</w:t>
      </w:r>
      <w:r>
        <w:t xml:space="preserve"> cold cathode fluorescent lamps (CCFL) and external electrode fluorescent lamps (EEFL) used for electronic displays:</w:t>
      </w:r>
    </w:p>
    <w:p w:rsidR="00E0650D" w:rsidRDefault="00864D94">
      <w:pPr>
        <w:pStyle w:val="jaf9"/>
      </w:pPr>
      <w:r>
        <w:t>イ　一個当たりの水銀の含有量が三・五ミリグラムを超えるものであって、その長さが五百ミリメートル以下のもの</w:t>
      </w:r>
    </w:p>
    <w:p w:rsidR="00E0650D" w:rsidRDefault="00864D94">
      <w:pPr>
        <w:pStyle w:val="enf9"/>
      </w:pPr>
      <w:r>
        <w:t>(a) those with a mercury content per lamp exceeding 3.5 milligrams and a length not ex</w:t>
      </w:r>
      <w:r>
        <w:t>ceeding 500 millimeters;</w:t>
      </w:r>
    </w:p>
    <w:p w:rsidR="00E0650D" w:rsidRDefault="00864D94">
      <w:pPr>
        <w:pStyle w:val="jaf9"/>
      </w:pPr>
      <w:r>
        <w:t>ロ　一個当たりの水銀の含有量が五ミリグラムを超えるものであって、その長さが五百ミリメートルを超え千五百ミリメートル以下のもの</w:t>
      </w:r>
    </w:p>
    <w:p w:rsidR="00E0650D" w:rsidRDefault="00864D94">
      <w:pPr>
        <w:pStyle w:val="enf9"/>
      </w:pPr>
      <w:r>
        <w:t>(b) those with a mercury content per lamp exceeding five milligrams and a length exceeding 500 millimeters but not exceeding 1,500 millimeters;</w:t>
      </w:r>
    </w:p>
    <w:p w:rsidR="00E0650D" w:rsidRDefault="00864D94">
      <w:pPr>
        <w:pStyle w:val="jaf9"/>
      </w:pPr>
      <w:r>
        <w:t>ハ　一個当たりの水銀の含有量が十三ミリグラムを超</w:t>
      </w:r>
      <w:r>
        <w:t>えるものであって、その長さが千五百ミリメートルを超えるもの</w:t>
      </w:r>
    </w:p>
    <w:p w:rsidR="00E0650D" w:rsidRDefault="00864D94">
      <w:pPr>
        <w:pStyle w:val="enf9"/>
      </w:pPr>
      <w:r>
        <w:t>(c) those with a mercury content per lamp exceeding 13 milligrams and a length exceeding 1,500 millimeters;</w:t>
      </w:r>
    </w:p>
    <w:p w:rsidR="00E0650D" w:rsidRDefault="00864D94">
      <w:pPr>
        <w:pStyle w:val="jaf6"/>
      </w:pPr>
      <w:r>
        <w:t>七　化粧品（人の身体を清潔にし、美化し、魅力を増し、容貌を変え、又は皮膚若しくは毛髪を健やかに保つために、身体に塗擦、散布その他これらに類似する方法で使用されることが目的とされている物で、人体に対する作用が緩和なものをいう。）</w:t>
      </w:r>
    </w:p>
    <w:p w:rsidR="00E0650D" w:rsidRDefault="00864D94">
      <w:pPr>
        <w:pStyle w:val="enf6"/>
      </w:pPr>
      <w:r>
        <w:t>(vii</w:t>
      </w:r>
      <w:r>
        <w:t xml:space="preserve">) cosmetics (referring to products that are intended to be used on the human body by rubbing, sprinkling or other similar means, for cleansing, beautifying or increasing physical attractiveness, altering the appearance, or </w:t>
      </w:r>
      <w:r>
        <w:lastRenderedPageBreak/>
        <w:t xml:space="preserve">keeping the skin or hair in good </w:t>
      </w:r>
      <w:r>
        <w:t>condition, that have mild effects on the human body);</w:t>
      </w:r>
    </w:p>
    <w:p w:rsidR="00E0650D" w:rsidRDefault="00864D94">
      <w:pPr>
        <w:pStyle w:val="jaf6"/>
      </w:pPr>
      <w:r>
        <w:t>八　動植物又はウイルスの防除に用いられる薬剤（エチルメルクリチオサリチル酸ナトリウム（別名チメロサール）を有効成分とする保存剤（エチルメルクリチオサリチル酸ナトリウム以外の水銀等（法第一条に規定する水銀等をいう。）を含むものを除く。）であって、医薬品、医療機器等の品質、有効性及び安全性の確保等に関する法律（昭和三十五年法律第百四十五号）第二条第一項に規定する医薬品及び同条第九項に規定する再生医療等製品</w:t>
      </w:r>
      <w:r>
        <w:t>に添加されるものを除く。）</w:t>
      </w:r>
    </w:p>
    <w:p w:rsidR="00E0650D" w:rsidRDefault="00864D94">
      <w:pPr>
        <w:pStyle w:val="enf6"/>
      </w:pPr>
      <w:r>
        <w:t xml:space="preserve">(viii) chemical agents used for controlling infestation by animals, plants or viruses (excluding preservatives whose active component is sodium ethylmercurithiosalicylate (also referred to as "thimerosal") (excluding those containing mercury </w:t>
      </w:r>
      <w:r>
        <w:t>or mercury compounds (meaning those provided for in Article 1 of the Act) other than sodium ethylmercurithiosalicylate) that are added to the pharmaceuticals provided for in Article 2, paragraph (1) of the Act on Securing Quality, Efficacy and Safety of Pr</w:t>
      </w:r>
      <w:r>
        <w:t>oducts Including Pharmaceuticals and Medical Devices (Act No. 145 of 1960) and the regenerative medicine products provided for in paragraph (9) of that Article);</w:t>
      </w:r>
    </w:p>
    <w:p w:rsidR="00E0650D" w:rsidRDefault="00864D94">
      <w:pPr>
        <w:pStyle w:val="jaf6"/>
      </w:pPr>
      <w:r>
        <w:t>九　気圧計（電気式のものを除く。）</w:t>
      </w:r>
    </w:p>
    <w:p w:rsidR="00E0650D" w:rsidRDefault="00864D94">
      <w:pPr>
        <w:pStyle w:val="enf6"/>
      </w:pPr>
      <w:r>
        <w:t>(ix) barometers (excluding electric barometers);</w:t>
      </w:r>
    </w:p>
    <w:p w:rsidR="00E0650D" w:rsidRDefault="00864D94">
      <w:pPr>
        <w:pStyle w:val="jaf6"/>
      </w:pPr>
      <w:r>
        <w:t>十　湿度計（電気式のもの及び第十二号イに掲げるガラス製</w:t>
      </w:r>
      <w:r>
        <w:t>温度計を部品として用いて製造されるものを除く。）</w:t>
      </w:r>
    </w:p>
    <w:p w:rsidR="00E0650D" w:rsidRDefault="00864D94">
      <w:pPr>
        <w:pStyle w:val="enf6"/>
      </w:pPr>
      <w:r>
        <w:t>(x) hygrometers (excluding electric hygrometers and those manufactured using the glass thermometers listed in item (xii)(a) as components);</w:t>
      </w:r>
    </w:p>
    <w:p w:rsidR="00E0650D" w:rsidRDefault="00864D94">
      <w:pPr>
        <w:pStyle w:val="jaf6"/>
      </w:pPr>
      <w:r>
        <w:t>十一　圧力計（電気式のもの、二百三十度以上の温度で計ることができるダイアフラム式圧力計であって目量（計量法施行令（平成五年政令第三百二十九号）第二条第二号イ（１）に規定する目量をいう</w:t>
      </w:r>
      <w:r>
        <w:t>。以下同じ。）が五メガパスカル以下のもの及び温度の大きな変化、著しい振動その他の厳しい条件の下で計ることができる真空計であって次に掲げるものを除く。）</w:t>
      </w:r>
    </w:p>
    <w:p w:rsidR="00E0650D" w:rsidRDefault="00864D94">
      <w:pPr>
        <w:pStyle w:val="enf6"/>
      </w:pPr>
      <w:r>
        <w:t>(xi) manometers (excluding electric manometers and the following diaphragm manometers capable of measuring temperatures of at least 230 degrees Celsius with a scale interval (meani</w:t>
      </w:r>
      <w:r>
        <w:t>ng those provided in Article 2, item (ii)(a)1 of the Enforcement Order of the Measurement Act (Cabinet Order No. 329 of 1993); the same applies hereinafter) not exceeding five MPa, and vacuum gauges capable of conducting measurements under significant temp</w:t>
      </w:r>
      <w:r>
        <w:t>erature fluctuations, significant vibration, and other severe conditions):</w:t>
      </w:r>
    </w:p>
    <w:p w:rsidR="00E0650D" w:rsidRDefault="00864D94">
      <w:pPr>
        <w:pStyle w:val="jaf9"/>
      </w:pPr>
      <w:r>
        <w:t>イ　計ることのできる最大の圧力（絶対圧力をいう。ロにおいて同じ。）が千三百パスカル以下であって、目量が三百パスカル以下のマクラウド真空計</w:t>
      </w:r>
    </w:p>
    <w:p w:rsidR="00E0650D" w:rsidRDefault="00864D94">
      <w:pPr>
        <w:pStyle w:val="enf9"/>
      </w:pPr>
      <w:r>
        <w:t>(a) Macleod vacuum gauges with a maximum measurable pressure (meaning absolute pressure; the same applies in (b)</w:t>
      </w:r>
      <w:r>
        <w:t>) not exceeding 1,300 Pa and a scale interval not exceeding 300 Pa;</w:t>
      </w:r>
    </w:p>
    <w:p w:rsidR="00E0650D" w:rsidRDefault="00864D94">
      <w:pPr>
        <w:pStyle w:val="jaf9"/>
      </w:pPr>
      <w:r>
        <w:t>ロ　計ることのできる最大の圧力が六万六千パスカル以下であって、目量が二百パスカル以下のＵ字管真空計</w:t>
      </w:r>
    </w:p>
    <w:p w:rsidR="00E0650D" w:rsidRDefault="00864D94">
      <w:pPr>
        <w:pStyle w:val="enf9"/>
      </w:pPr>
      <w:r>
        <w:t>(b) U-tube vacuum gauges with a maximum measurable pressure not exceeding 66,000 Pa and a scale interval not exceeding 200 Pa;</w:t>
      </w:r>
    </w:p>
    <w:p w:rsidR="00E0650D" w:rsidRDefault="00864D94">
      <w:pPr>
        <w:pStyle w:val="jaf6"/>
      </w:pPr>
      <w:r>
        <w:t>十二　温度計（電気式のもの及びガラス製温度計であって次に掲げるもの（体温計であるものを除く。）を除く。）</w:t>
      </w:r>
    </w:p>
    <w:p w:rsidR="00E0650D" w:rsidRDefault="00864D94">
      <w:pPr>
        <w:pStyle w:val="enf6"/>
      </w:pPr>
      <w:r>
        <w:t>(xii) thermometers (excluding electric thermometers and the following glass thermometers (excluding clinical thermometers)):</w:t>
      </w:r>
    </w:p>
    <w:p w:rsidR="00E0650D" w:rsidRDefault="00864D94">
      <w:pPr>
        <w:pStyle w:val="jaf9"/>
      </w:pPr>
      <w:r>
        <w:t>イ　計ることのできる最高の温度が三百度以下のものであって、目量が〇・五度以下のもの（ハに該当するものを除く。）</w:t>
      </w:r>
    </w:p>
    <w:p w:rsidR="00E0650D" w:rsidRDefault="00864D94">
      <w:pPr>
        <w:pStyle w:val="enf9"/>
      </w:pPr>
      <w:r>
        <w:t>(a) those with a maximum measurable temperature not exceeding 300 degrees Celsius and a scale interval not exceeding 0.5 degrees Celsius (excluding those falling under (c));</w:t>
      </w:r>
    </w:p>
    <w:p w:rsidR="00E0650D" w:rsidRDefault="00864D94">
      <w:pPr>
        <w:pStyle w:val="jaf9"/>
      </w:pPr>
      <w:r>
        <w:t>ロ　計ることのできる最高の温度が三百度を超え五百度以</w:t>
      </w:r>
      <w:r>
        <w:t>下のものであって、目量が二度以下のもの（ハに該当するものを除く。）</w:t>
      </w:r>
    </w:p>
    <w:p w:rsidR="00E0650D" w:rsidRDefault="00864D94">
      <w:pPr>
        <w:pStyle w:val="enf9"/>
      </w:pPr>
      <w:r>
        <w:t>(b) those with a maximum measurable temperature exceeding 300 degrees Celsius but not exceeding 500 degrees Celsius, and a scale interval not exceeding two degrees Celsius (excluding those falling under (c));</w:t>
      </w:r>
    </w:p>
    <w:p w:rsidR="00E0650D" w:rsidRDefault="00864D94">
      <w:pPr>
        <w:pStyle w:val="jaf9"/>
      </w:pPr>
      <w:r>
        <w:t>ハ　塩酸、硫酸その他の腐食</w:t>
      </w:r>
      <w:r>
        <w:t>性の高い薬品の温度を計ることができるものであって、計ることのできる最高の温度が二百度を超え五百度以下のもののうち、目量が二度以下のもの</w:t>
      </w:r>
    </w:p>
    <w:p w:rsidR="00E0650D" w:rsidRDefault="00864D94">
      <w:pPr>
        <w:pStyle w:val="enf9"/>
      </w:pPr>
      <w:r>
        <w:t>(c) those capable of measuring temperatures of hydrochloric acid, sulfuric acid, and other highly corrosive chemicals, with a maximum measurable temperature exceeding 200 degrees Celsius b</w:t>
      </w:r>
      <w:r>
        <w:t>ut not exceeding 500 degrees Celsius, with a scale interval not exceeding two degrees Celsius; and</w:t>
      </w:r>
    </w:p>
    <w:p w:rsidR="00E0650D" w:rsidRDefault="00864D94">
      <w:pPr>
        <w:pStyle w:val="jaf6"/>
      </w:pPr>
      <w:r>
        <w:t>十三　血圧計（電気式のものを除く。）</w:t>
      </w:r>
    </w:p>
    <w:p w:rsidR="00E0650D" w:rsidRDefault="00864D94">
      <w:pPr>
        <w:pStyle w:val="enf6"/>
      </w:pPr>
      <w:r>
        <w:t>(xiii) sphygmomanometers (excluding electric sphygmomanometers).</w:t>
      </w:r>
    </w:p>
    <w:p w:rsidR="00E0650D" w:rsidRDefault="00E0650D"/>
    <w:p w:rsidR="00E0650D" w:rsidRDefault="00864D94">
      <w:pPr>
        <w:pStyle w:val="jaa"/>
      </w:pPr>
      <w:r>
        <w:t>（製造工程）</w:t>
      </w:r>
    </w:p>
    <w:p w:rsidR="00E0650D" w:rsidRDefault="00864D94">
      <w:pPr>
        <w:pStyle w:val="ena"/>
      </w:pPr>
      <w:r>
        <w:t>(Manufacturing Processes)</w:t>
      </w:r>
    </w:p>
    <w:p w:rsidR="00E0650D" w:rsidRDefault="00864D94">
      <w:pPr>
        <w:pStyle w:val="jaf3"/>
      </w:pPr>
      <w:r>
        <w:t>第二条　法第十九条の政令で定める製造工程は、次に掲げる物品の製造工程とする。</w:t>
      </w:r>
    </w:p>
    <w:p w:rsidR="00E0650D" w:rsidRDefault="00864D94">
      <w:pPr>
        <w:pStyle w:val="enf3"/>
      </w:pPr>
      <w:r>
        <w:t>Article 2  The manufacturing processes specified by Cabinet Order referred to in Article 19 of the Act are to be the manufacturing processes for the following products:</w:t>
      </w:r>
    </w:p>
    <w:p w:rsidR="00E0650D" w:rsidRDefault="00864D94">
      <w:pPr>
        <w:pStyle w:val="jaf6"/>
      </w:pPr>
      <w:r>
        <w:t>一　水酸化ナトリウム又は水酸化カリウム</w:t>
      </w:r>
    </w:p>
    <w:p w:rsidR="00E0650D" w:rsidRDefault="00864D94">
      <w:pPr>
        <w:pStyle w:val="enf6"/>
      </w:pPr>
      <w:r>
        <w:t>(i) sodium hydroxide or potassium hydroxide;</w:t>
      </w:r>
    </w:p>
    <w:p w:rsidR="00E0650D" w:rsidRDefault="00864D94">
      <w:pPr>
        <w:pStyle w:val="jaf6"/>
      </w:pPr>
      <w:r>
        <w:t>二　アセトアルデヒド</w:t>
      </w:r>
    </w:p>
    <w:p w:rsidR="00E0650D" w:rsidRDefault="00864D94">
      <w:pPr>
        <w:pStyle w:val="enf6"/>
      </w:pPr>
      <w:r>
        <w:t>(ii) acetal</w:t>
      </w:r>
      <w:r>
        <w:t>dehyde;</w:t>
      </w:r>
    </w:p>
    <w:p w:rsidR="00E0650D" w:rsidRDefault="00864D94">
      <w:pPr>
        <w:pStyle w:val="jaf6"/>
      </w:pPr>
      <w:r>
        <w:t>三　クロロエチレン（別名塩化ビニル）</w:t>
      </w:r>
    </w:p>
    <w:p w:rsidR="00E0650D" w:rsidRDefault="00864D94">
      <w:pPr>
        <w:pStyle w:val="enf6"/>
      </w:pPr>
      <w:r>
        <w:t>(iii) chloroethylene (also referred to as vinyl chloride);</w:t>
      </w:r>
    </w:p>
    <w:p w:rsidR="00E0650D" w:rsidRDefault="00864D94">
      <w:pPr>
        <w:pStyle w:val="jaf6"/>
      </w:pPr>
      <w:r>
        <w:t>四　ナトリウムメトキシド、ナトリウムエトキシド、カリウムメトキシド又はカリウムエトキシド</w:t>
      </w:r>
    </w:p>
    <w:p w:rsidR="00E0650D" w:rsidRDefault="00864D94">
      <w:pPr>
        <w:pStyle w:val="enf6"/>
      </w:pPr>
      <w:r>
        <w:t>(iv) sodium methylate, sodium ethylate, potassium methylate, or potassium ethylate; and</w:t>
      </w:r>
    </w:p>
    <w:p w:rsidR="00E0650D" w:rsidRDefault="00864D94">
      <w:pPr>
        <w:pStyle w:val="jaf6"/>
      </w:pPr>
      <w:r>
        <w:t>五　ポリウレタン</w:t>
      </w:r>
    </w:p>
    <w:p w:rsidR="00E0650D" w:rsidRDefault="00864D94">
      <w:pPr>
        <w:pStyle w:val="enf6"/>
      </w:pPr>
      <w:r>
        <w:t>(v) polyurethane.</w:t>
      </w:r>
    </w:p>
    <w:p w:rsidR="00E0650D" w:rsidRDefault="00E0650D"/>
    <w:p w:rsidR="00E0650D" w:rsidRDefault="00864D94">
      <w:pPr>
        <w:pStyle w:val="jaa"/>
      </w:pPr>
      <w:r>
        <w:t>（法第二十一条第一</w:t>
      </w:r>
      <w:r>
        <w:t>項の政令で定めるもの）</w:t>
      </w:r>
    </w:p>
    <w:p w:rsidR="00E0650D" w:rsidRDefault="00864D94">
      <w:pPr>
        <w:pStyle w:val="ena"/>
      </w:pPr>
      <w:r>
        <w:t>(Mercury or Mercury Compounds Specified by Cabinet Order referred to in Article 21, paragraph (1) of the Act)</w:t>
      </w:r>
    </w:p>
    <w:p w:rsidR="00E0650D" w:rsidRDefault="00864D94">
      <w:pPr>
        <w:pStyle w:val="jaf3"/>
      </w:pPr>
      <w:r>
        <w:t>第三条　法第二十一条第一項の政令で定めるものは、次に掲げるものとする。</w:t>
      </w:r>
    </w:p>
    <w:p w:rsidR="00E0650D" w:rsidRDefault="00864D94">
      <w:pPr>
        <w:pStyle w:val="enf3"/>
      </w:pPr>
      <w:r>
        <w:t xml:space="preserve">Article 3  The mercury or mercury compounds provided for by Cabinet Order referred to in </w:t>
      </w:r>
      <w:r>
        <w:t>Article 21, paragraph (1) of the Act are to be the following:</w:t>
      </w:r>
    </w:p>
    <w:p w:rsidR="00E0650D" w:rsidRDefault="00864D94">
      <w:pPr>
        <w:pStyle w:val="jaf6"/>
      </w:pPr>
      <w:r>
        <w:t>一　水銀（水銀以外の物と混合している場合（水銀以外の金属との合金に含まれる場合を含む。）は、水銀の含有量が全重量の九十五パーセント以上である混合物に含まれるものに限る。）</w:t>
      </w:r>
    </w:p>
    <w:p w:rsidR="00E0650D" w:rsidRDefault="00864D94">
      <w:pPr>
        <w:pStyle w:val="enf6"/>
      </w:pPr>
      <w:r>
        <w:t>(i) mercury (where it is mixed with other substances (including when it is contained in alloys of mercury an</w:t>
      </w:r>
      <w:r>
        <w:t>d other metals), limited to mixtures with a mercury concentration of at least 95 percent by weight);</w:t>
      </w:r>
    </w:p>
    <w:p w:rsidR="00E0650D" w:rsidRDefault="00864D94">
      <w:pPr>
        <w:pStyle w:val="jaf6"/>
      </w:pPr>
      <w:r>
        <w:t>二　塩化第一水銀（塩化第一水銀以外の物と混合している場合は、塩化第一水銀の含有量が全重量の九十五パーセント以上である混合物に含まれるものに限る。）</w:t>
      </w:r>
    </w:p>
    <w:p w:rsidR="00E0650D" w:rsidRDefault="00864D94">
      <w:pPr>
        <w:pStyle w:val="enf6"/>
      </w:pPr>
      <w:r>
        <w:t>(ii) mercury (I) chloride (when it is mixed with other substances, limited to mix</w:t>
      </w:r>
      <w:r>
        <w:t>tures with a mercury (I) chloride concentration of at least 95 percent by weight);</w:t>
      </w:r>
    </w:p>
    <w:p w:rsidR="00E0650D" w:rsidRDefault="00864D94">
      <w:pPr>
        <w:pStyle w:val="jaf6"/>
      </w:pPr>
      <w:r>
        <w:t>三　酸化第二水銀（酸化第二水銀以外の物と混合している場合は、酸化第二水銀の含有量が全重量の九十五パーセント以上である混合物に含まれるものに限る。）</w:t>
      </w:r>
    </w:p>
    <w:p w:rsidR="00E0650D" w:rsidRDefault="00864D94">
      <w:pPr>
        <w:pStyle w:val="enf6"/>
      </w:pPr>
      <w:r>
        <w:t>(iii) mercury (II) oxide (when it is mixed with other substances, limited to mixtures with a mercur</w:t>
      </w:r>
      <w:r>
        <w:t>y (II) oxide concentration of at least 95 percent by weight);</w:t>
      </w:r>
    </w:p>
    <w:p w:rsidR="00E0650D" w:rsidRDefault="00864D94">
      <w:pPr>
        <w:pStyle w:val="jaf6"/>
      </w:pPr>
      <w:r>
        <w:t>四　硫酸第二水銀（硫酸第二水銀以外の物と混合している場合は、硫酸第二水銀の含有量が全重量の九十五パーセント以上である混合物に含まれるものに限る。）</w:t>
      </w:r>
    </w:p>
    <w:p w:rsidR="00E0650D" w:rsidRDefault="00864D94">
      <w:pPr>
        <w:pStyle w:val="enf6"/>
      </w:pPr>
      <w:r>
        <w:t>(iv) mercury (II) sulfate (when it is mixed with other substances, limited to mixtures with a mercury (II) sulfate conce</w:t>
      </w:r>
      <w:r>
        <w:t>ntration of at least 95 percent by weight);</w:t>
      </w:r>
    </w:p>
    <w:p w:rsidR="00E0650D" w:rsidRDefault="00864D94">
      <w:pPr>
        <w:pStyle w:val="jaf6"/>
      </w:pPr>
      <w:r>
        <w:t>五　硝酸第二水銀及び硝酸第二水銀水和物（硝酸第二水銀及び硝酸第二水銀水和物以外の物と混合している場合は、硝酸第二水銀及び硝酸第二水銀水和物の含有量の合計が全重量の九十五パーセント以上である混合物に含まれるものに限る。）</w:t>
      </w:r>
    </w:p>
    <w:p w:rsidR="00E0650D" w:rsidRDefault="00864D94">
      <w:pPr>
        <w:pStyle w:val="enf6"/>
      </w:pPr>
      <w:r>
        <w:t>(v) mercury (II) nitrate and mercury (II) nitrate hydrate (when it is mixed with other substances, lim</w:t>
      </w:r>
      <w:r>
        <w:t>ited to mixtures with a mercury (II) nitrate and mercury (II) nitrate hydrate concentration of at least 95 per cent by weight); and</w:t>
      </w:r>
    </w:p>
    <w:p w:rsidR="00E0650D" w:rsidRDefault="00864D94">
      <w:pPr>
        <w:pStyle w:val="jaf6"/>
      </w:pPr>
      <w:r>
        <w:t>六　硫化水銀（辰砂に含まれるものを含み、硫化水銀以外の物と混合している場合（辰砂に含まれる場合を除く。）は、硫化水銀の含有量が全重量の九十五パーセント以上である混合物に含まれるものに限る。）</w:t>
      </w:r>
    </w:p>
    <w:p w:rsidR="00E0650D" w:rsidRDefault="00864D94">
      <w:pPr>
        <w:pStyle w:val="enf6"/>
      </w:pPr>
      <w:r>
        <w:t>(vi) mercury sulfide (includ</w:t>
      </w:r>
      <w:r>
        <w:t>ing mercury sulfide contained in cinnabar, and when it is mixed with other substances (excluding when it is contained in cinnabar), limited to mixtures with a mercury sulfide concentration of at least 95 percent by weight).</w:t>
      </w:r>
    </w:p>
    <w:p w:rsidR="00E0650D" w:rsidRDefault="00E0650D"/>
    <w:p w:rsidR="00E0650D" w:rsidRDefault="00864D94">
      <w:pPr>
        <w:pStyle w:val="ja2"/>
      </w:pPr>
      <w:r>
        <w:t>附　則　〔抄〕</w:t>
      </w:r>
    </w:p>
    <w:p w:rsidR="00E0650D" w:rsidRDefault="00864D94">
      <w:pPr>
        <w:pStyle w:val="en2"/>
      </w:pPr>
      <w:r>
        <w:t>Supplementary Provision</w:t>
      </w:r>
      <w:r>
        <w:t>s  [Extract]</w:t>
      </w:r>
    </w:p>
    <w:p w:rsidR="00E0650D" w:rsidRDefault="00E0650D"/>
    <w:p w:rsidR="00E0650D" w:rsidRDefault="00864D94">
      <w:pPr>
        <w:pStyle w:val="jaa"/>
      </w:pPr>
      <w:r>
        <w:t>（施行期日）</w:t>
      </w:r>
    </w:p>
    <w:p w:rsidR="00E0650D" w:rsidRDefault="00864D94">
      <w:pPr>
        <w:pStyle w:val="ena"/>
      </w:pPr>
      <w:r>
        <w:t>(Date of Enforcement)</w:t>
      </w:r>
    </w:p>
    <w:p w:rsidR="00E0650D" w:rsidRDefault="00864D94">
      <w:pPr>
        <w:pStyle w:val="jaf3"/>
      </w:pPr>
      <w:r>
        <w:t>第一条　この政令は、水銀に関する水俣条約が日本国について効力を生ずる日から施行する。ただし、次の各号に掲げる規定は、当該各号に定める日から施行する。</w:t>
      </w:r>
    </w:p>
    <w:p w:rsidR="00E0650D" w:rsidRDefault="00864D94">
      <w:pPr>
        <w:pStyle w:val="enf3"/>
      </w:pPr>
      <w:r>
        <w:t>Article 1  This Cabinet Order comes into effect as of the date on which the Minamata Convention on Mercury becomes effective for Japan; pr</w:t>
      </w:r>
      <w:r>
        <w:t>ovided, however, that the provisions set forth in the following items come into effect as of the date specified respectively in those items:</w:t>
      </w:r>
    </w:p>
    <w:p w:rsidR="00E0650D" w:rsidRDefault="00864D94">
      <w:pPr>
        <w:pStyle w:val="jaf6"/>
      </w:pPr>
      <w:r>
        <w:t>一　次条の規定　平成二十九年七月一日</w:t>
      </w:r>
    </w:p>
    <w:p w:rsidR="00E0650D" w:rsidRDefault="00864D94">
      <w:pPr>
        <w:pStyle w:val="enf6"/>
      </w:pPr>
      <w:r>
        <w:t>(i) provisions of the following Article: July 1, 2017;</w:t>
      </w:r>
    </w:p>
    <w:p w:rsidR="00E0650D" w:rsidRDefault="00864D94">
      <w:pPr>
        <w:pStyle w:val="jaf6"/>
      </w:pPr>
      <w:r>
        <w:t>二　第一条第一号（ボタン電池であるアルカリマンガン電池を除く。）、第三号、第四号及</w:t>
      </w:r>
      <w:r>
        <w:t>び第六号から第八号（二・七</w:t>
      </w:r>
      <w:r>
        <w:t>―</w:t>
      </w:r>
      <w:r>
        <w:t>ジブロモ</w:t>
      </w:r>
      <w:r>
        <w:t>―</w:t>
      </w:r>
      <w:r>
        <w:t>四</w:t>
      </w:r>
      <w:r>
        <w:t>―</w:t>
      </w:r>
      <w:r>
        <w:t>ヒドロキシ水銀フルオレセイン二ナトリウムを有効成分とする消毒剤（以下「マーキュロクロム液」という。）を除く。）までの規定　平成三十年一月一日</w:t>
      </w:r>
    </w:p>
    <w:p w:rsidR="00E0650D" w:rsidRDefault="00864D94">
      <w:pPr>
        <w:pStyle w:val="enf6"/>
      </w:pPr>
      <w:r>
        <w:t>(ii) provisions of Article 1, item (i) (excluding alkaline manganese batteries that are button batteries), item (iii), item (iv), and items (vi) through (viii) (exc</w:t>
      </w:r>
      <w:r>
        <w:t>luding antiseptics for which 2,7-dibromo-4-hydroxymercurifluoroscein disodium salt is the active component (hereinafter referred to as "mercurochrome solution")) : January 1, 2018;</w:t>
      </w:r>
    </w:p>
    <w:p w:rsidR="00E0650D" w:rsidRDefault="00864D94">
      <w:pPr>
        <w:pStyle w:val="jaf6"/>
      </w:pPr>
      <w:r>
        <w:t>三　附則第三条の規定　平成三十二年七月一日</w:t>
      </w:r>
    </w:p>
    <w:p w:rsidR="00E0650D" w:rsidRDefault="00864D94">
      <w:pPr>
        <w:pStyle w:val="enf6"/>
      </w:pPr>
      <w:r>
        <w:t xml:space="preserve">(iii) provisions of Article 3 of the </w:t>
      </w:r>
      <w:r>
        <w:t>Supplementary Provisions: July 1, 2020; and</w:t>
      </w:r>
    </w:p>
    <w:p w:rsidR="00E0650D" w:rsidRDefault="00864D94">
      <w:pPr>
        <w:pStyle w:val="jaf6"/>
      </w:pPr>
      <w:r>
        <w:t>四　第一条第一号（ボタン電池であるアルカリマンガン電池に限る。）、第二号、第五号及び第八号（マーキュロクロム液に限る。）から第十三号まで並びに附則第四条の規定　平成三十二年十二月三十一日</w:t>
      </w:r>
    </w:p>
    <w:p w:rsidR="00E0650D" w:rsidRDefault="00864D94">
      <w:pPr>
        <w:pStyle w:val="enf6"/>
      </w:pPr>
      <w:r>
        <w:t>(iv) provisions of Article 1, item (i) (limited to alkaline manganese batteries that are button batteries), item (ii),</w:t>
      </w:r>
      <w:r>
        <w:t xml:space="preserve"> item (v), items (viii) (limited to mercurochrome solution) through (xiii), and the provisions of Article 4 of the Supplementary Provisions: December 31, 2020.</w:t>
      </w:r>
    </w:p>
    <w:p w:rsidR="00E0650D" w:rsidRDefault="00E0650D"/>
    <w:p w:rsidR="00E0650D" w:rsidRDefault="00864D94">
      <w:pPr>
        <w:pStyle w:val="jaa"/>
      </w:pPr>
      <w:r>
        <w:t>（特定水銀使用製品の製造の許可等を受けるための準備行為）</w:t>
      </w:r>
    </w:p>
    <w:p w:rsidR="00E0650D" w:rsidRDefault="00864D94">
      <w:pPr>
        <w:pStyle w:val="ena"/>
      </w:pPr>
      <w:r>
        <w:t>(Preparatory Acts for being Licensed or Approved for Manufacturing</w:t>
      </w:r>
      <w:r>
        <w:t xml:space="preserve"> Specified Mercury-using Products)</w:t>
      </w:r>
    </w:p>
    <w:p w:rsidR="00E0650D" w:rsidRDefault="00864D94">
      <w:pPr>
        <w:pStyle w:val="jaf3"/>
      </w:pPr>
      <w:r>
        <w:t>第二条　第一条第一号（ボタン電池であるアルカリマンガン電池を除く。）、第三号、第四号及び第六号から第八号（マーキュロクロム液を除く。）までに掲げる特定水銀使用製品に係る法第六条第一項の許可を受けようとする者は、前条第二号に掲げる規定の施行の日前においても、法第六条第二項の規定の例により、その申請を行うことができる。</w:t>
      </w:r>
    </w:p>
    <w:p w:rsidR="00E0650D" w:rsidRDefault="00864D94">
      <w:pPr>
        <w:pStyle w:val="enf3"/>
      </w:pPr>
      <w:r>
        <w:t>Article 2  (1) A person seeking the licensing referred to in A</w:t>
      </w:r>
      <w:r>
        <w:t>rticle 6, paragraph (1) of the Act pertaining to specified mercury-using products listed in Article 1, item (i) (excluding alkaline manganese batteries which are also button batteries), item (iii), item (iv), and items (vi) through (viii) (excluding mercur</w:t>
      </w:r>
      <w:r>
        <w:t>ochrome solution) may make the relevant applications in accordance with the provisions of Article 6, paragraph (2) of the Act, even prior to the date of enforcement listed in the provisions of item (ii) of the preceding Article.</w:t>
      </w:r>
    </w:p>
    <w:p w:rsidR="00E0650D" w:rsidRDefault="00864D94">
      <w:pPr>
        <w:pStyle w:val="jaf4"/>
      </w:pPr>
      <w:r>
        <w:t>２　前項に規定する特定水銀使用製品に係る法附則第三条の</w:t>
      </w:r>
      <w:r>
        <w:t>承認を受けようとする者は、前条第二号に掲げる規定の施行の日前においても、その申請を行うことができる。</w:t>
      </w:r>
    </w:p>
    <w:p w:rsidR="00E0650D" w:rsidRDefault="00864D94">
      <w:pPr>
        <w:pStyle w:val="enf4"/>
      </w:pPr>
      <w:r>
        <w:t>(2) A person seeking an approval referred to in Article 3 of the Supplementary Provisions of the Act pertaining to specified mercury-using products provided for in the preceding paragraph may make the rele</w:t>
      </w:r>
      <w:r>
        <w:t>vant applications, even prior to the date of enforcement of the provisions listed in item (ii) of the preceding Article.</w:t>
      </w:r>
    </w:p>
    <w:p w:rsidR="00E0650D" w:rsidRDefault="00E0650D"/>
    <w:p w:rsidR="00E0650D" w:rsidRDefault="00864D94">
      <w:pPr>
        <w:pStyle w:val="jaf3"/>
      </w:pPr>
      <w:r>
        <w:t>第三条　第一条第一号（ボタン電池であるアルカリマンガン電池に限る。）、第二号、第五号及び第八号（マーキュロクロム液に限る。）から第十三号までに掲げる特定水銀使用製品に係る法第六条第一項の許可を受けようとする者は、附則第一条第四号に掲げる規定の施行の日前においても、法第</w:t>
      </w:r>
      <w:r>
        <w:t>六条第二項の規定の例により、その申請を行うことができる。</w:t>
      </w:r>
    </w:p>
    <w:p w:rsidR="00E0650D" w:rsidRDefault="00864D94">
      <w:pPr>
        <w:pStyle w:val="enf3"/>
      </w:pPr>
      <w:r>
        <w:t xml:space="preserve">Article 3  (1) A person seeking a license referred to in Article 6, paragraph (1) of the Act pertaining to specified mercury-using products listed in Article 1, item (i) (limited to alkaline manganese batteries that are button </w:t>
      </w:r>
      <w:r>
        <w:t>batteries), item (ii), item (v), or item (viii) (limited to mercurochrome solution) through item (xiii) may apply for the license in accordance with the provisions of Article 6, paragraph (2) of the Act, even prior to the enforcement date of the provisions</w:t>
      </w:r>
      <w:r>
        <w:t xml:space="preserve"> listed in Article 1, item (iv) of the Supplementary Provisions.</w:t>
      </w:r>
    </w:p>
    <w:p w:rsidR="00E0650D" w:rsidRDefault="00864D94">
      <w:pPr>
        <w:pStyle w:val="jaf4"/>
      </w:pPr>
      <w:r>
        <w:t>２　前項に規定する特定水銀使用製品に係る次条の承認を受けようとする者は、附則第一条第四号に掲げる規定の施行の日前においても、その申請を行うことができる。</w:t>
      </w:r>
    </w:p>
    <w:p w:rsidR="00E0650D" w:rsidRDefault="00864D94">
      <w:pPr>
        <w:pStyle w:val="enf4"/>
      </w:pPr>
      <w:r>
        <w:t>(2) A person seeking an approval referred to in the following Article pertaining to specified mercury-using produc</w:t>
      </w:r>
      <w:r>
        <w:t>ts as provided for in the preceding paragraph may apply for the approval, even prior to the enforcement date of the provisions listed in Article 1, item (iv) of the Supplementary Provisions.</w:t>
      </w:r>
    </w:p>
    <w:p w:rsidR="00E0650D" w:rsidRDefault="00E0650D"/>
    <w:p w:rsidR="00E0650D" w:rsidRDefault="00864D94">
      <w:pPr>
        <w:pStyle w:val="jaa"/>
      </w:pPr>
      <w:r>
        <w:t>（特定水銀使用製品の使用の制限に関する経過措置）</w:t>
      </w:r>
    </w:p>
    <w:p w:rsidR="00E0650D" w:rsidRDefault="00864D94">
      <w:pPr>
        <w:pStyle w:val="ena"/>
      </w:pPr>
      <w:r>
        <w:t>(Transitional Measures concerning Restr</w:t>
      </w:r>
      <w:r>
        <w:t>ictions on Use of Specified Mercury-using Products)</w:t>
      </w:r>
    </w:p>
    <w:p w:rsidR="00E0650D" w:rsidRDefault="00864D94">
      <w:pPr>
        <w:pStyle w:val="jaf3"/>
      </w:pPr>
      <w:r>
        <w:t>第四条　法第十二条の規定の施行の日（平成三十年一月一日）から附則第一条第四号に定める日前までの間に製造され、又は輸入された前条第一項に規定する特定水銀使用製品であって、当該特定水銀使用製品の使用が条約で認められた用途に適合するものとして当該特定水銀使用製品の製造又は輸入に係る事業を所管する大臣の承認を受けたものを部品として他の製品の製造に用いる場合は、法第十二条の規定は、適用しない。</w:t>
      </w:r>
    </w:p>
    <w:p w:rsidR="00E0650D" w:rsidRDefault="00864D94">
      <w:pPr>
        <w:pStyle w:val="enf3"/>
      </w:pPr>
      <w:r>
        <w:t xml:space="preserve">Article 4 </w:t>
      </w:r>
      <w:r>
        <w:t xml:space="preserve"> The provisions of Article 12 of the Act do not apply when specified mercury-using products provided for in paragraph (1) of the preceding Article are manufactured or imported during the period between the enforcement date of the provisions of Article 12 o</w:t>
      </w:r>
      <w:r>
        <w:t>f the Act (January 1, 2018) and the day prior to the date provided for in Article 1, item (iv) of the Supplementary Provisions, and the specified mercury-using products whose use is approved by the minister responsible for business relating to the manufact</w:t>
      </w:r>
      <w:r>
        <w:t>ure or import of the relevant specified mercury-using products as complying with the uses permitted by the Convention, are used as components for manufacturing other products.</w:t>
      </w:r>
    </w:p>
    <w:sectPr w:rsidR="00E0650D" w:rsidSect="00E065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50D" w:rsidRDefault="00E0650D" w:rsidP="00E0650D">
      <w:r>
        <w:separator/>
      </w:r>
    </w:p>
  </w:endnote>
  <w:endnote w:type="continuationSeparator" w:id="0">
    <w:p w:rsidR="00E0650D" w:rsidRDefault="00E0650D" w:rsidP="00E0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50D" w:rsidRDefault="00E0650D">
    <w:pPr>
      <w:pStyle w:val="a3"/>
    </w:pPr>
    <w:r>
      <w:fldChar w:fldCharType="begin"/>
    </w:r>
    <w:r>
      <w:instrText xml:space="preserve"> PAGE  \* MERGEFORMAT </w:instrText>
    </w:r>
    <w:r>
      <w:fldChar w:fldCharType="separate"/>
    </w:r>
    <w:r w:rsidR="00864D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50D" w:rsidRDefault="00E0650D" w:rsidP="00E0650D">
      <w:r>
        <w:separator/>
      </w:r>
    </w:p>
  </w:footnote>
  <w:footnote w:type="continuationSeparator" w:id="0">
    <w:p w:rsidR="00E0650D" w:rsidRDefault="00E0650D" w:rsidP="00E06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C58"/>
    <w:multiLevelType w:val="multilevel"/>
    <w:tmpl w:val="18DC31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5D77ED"/>
    <w:multiLevelType w:val="multilevel"/>
    <w:tmpl w:val="221AA3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CD26D1"/>
    <w:multiLevelType w:val="multilevel"/>
    <w:tmpl w:val="D624CE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A555D5"/>
    <w:multiLevelType w:val="multilevel"/>
    <w:tmpl w:val="120824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4C4C98"/>
    <w:multiLevelType w:val="multilevel"/>
    <w:tmpl w:val="46361C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090007"/>
    <w:multiLevelType w:val="multilevel"/>
    <w:tmpl w:val="632034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7A5F32"/>
    <w:multiLevelType w:val="multilevel"/>
    <w:tmpl w:val="8570BA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F44B5C"/>
    <w:multiLevelType w:val="multilevel"/>
    <w:tmpl w:val="AB346A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912999"/>
    <w:multiLevelType w:val="multilevel"/>
    <w:tmpl w:val="10C49D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1F26E3"/>
    <w:multiLevelType w:val="multilevel"/>
    <w:tmpl w:val="1D7C69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684D30"/>
    <w:multiLevelType w:val="multilevel"/>
    <w:tmpl w:val="F0C091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2C4F1B"/>
    <w:multiLevelType w:val="multilevel"/>
    <w:tmpl w:val="0414D2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762AC"/>
    <w:multiLevelType w:val="multilevel"/>
    <w:tmpl w:val="369C52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55173779">
    <w:abstractNumId w:val="9"/>
  </w:num>
  <w:num w:numId="2" w16cid:durableId="1305701329">
    <w:abstractNumId w:val="2"/>
  </w:num>
  <w:num w:numId="3" w16cid:durableId="1645744046">
    <w:abstractNumId w:val="0"/>
  </w:num>
  <w:num w:numId="4" w16cid:durableId="227375529">
    <w:abstractNumId w:val="10"/>
  </w:num>
  <w:num w:numId="5" w16cid:durableId="1655911303">
    <w:abstractNumId w:val="7"/>
  </w:num>
  <w:num w:numId="6" w16cid:durableId="497579962">
    <w:abstractNumId w:val="8"/>
  </w:num>
  <w:num w:numId="7" w16cid:durableId="1891306186">
    <w:abstractNumId w:val="4"/>
  </w:num>
  <w:num w:numId="8" w16cid:durableId="2074427918">
    <w:abstractNumId w:val="6"/>
  </w:num>
  <w:num w:numId="9" w16cid:durableId="1926725270">
    <w:abstractNumId w:val="12"/>
  </w:num>
  <w:num w:numId="10" w16cid:durableId="399837625">
    <w:abstractNumId w:val="1"/>
  </w:num>
  <w:num w:numId="11" w16cid:durableId="526529903">
    <w:abstractNumId w:val="11"/>
  </w:num>
  <w:num w:numId="12" w16cid:durableId="303393540">
    <w:abstractNumId w:val="3"/>
  </w:num>
  <w:num w:numId="13" w16cid:durableId="1504585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650D"/>
    <w:rsid w:val="00864D94"/>
    <w:rsid w:val="00E065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5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65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650D"/>
    <w:rPr>
      <w:rFonts w:ascii="Century" w:eastAsia="Century" w:hAnsi="Century"/>
    </w:rPr>
  </w:style>
  <w:style w:type="paragraph" w:customStyle="1" w:styleId="ja0">
    <w:name w:val="款（ja）"/>
    <w:basedOn w:val="a"/>
    <w:rsid w:val="00E0650D"/>
    <w:pPr>
      <w:widowControl w:val="0"/>
      <w:ind w:left="1321" w:hanging="221"/>
    </w:pPr>
    <w:rPr>
      <w:rFonts w:ascii="ＭＳ 明朝" w:eastAsia="ＭＳ 明朝" w:hAnsi="ＭＳ 明朝" w:cs="ＭＳ 明朝"/>
      <w:b/>
    </w:rPr>
  </w:style>
  <w:style w:type="paragraph" w:customStyle="1" w:styleId="en0">
    <w:name w:val="款（en）"/>
    <w:basedOn w:val="ja0"/>
    <w:rsid w:val="00E0650D"/>
    <w:rPr>
      <w:rFonts w:ascii="Century" w:eastAsia="Century" w:hAnsi="Century" w:cs="Century"/>
    </w:rPr>
  </w:style>
  <w:style w:type="paragraph" w:customStyle="1" w:styleId="ja1">
    <w:name w:val="前文（ja）"/>
    <w:basedOn w:val="a"/>
    <w:rsid w:val="00E0650D"/>
    <w:pPr>
      <w:widowControl w:val="0"/>
      <w:ind w:firstLine="219"/>
    </w:pPr>
    <w:rPr>
      <w:rFonts w:ascii="ＭＳ 明朝" w:eastAsia="ＭＳ 明朝" w:hAnsi="ＭＳ 明朝" w:cs="ＭＳ 明朝"/>
    </w:rPr>
  </w:style>
  <w:style w:type="paragraph" w:customStyle="1" w:styleId="en1">
    <w:name w:val="前文（en）"/>
    <w:basedOn w:val="ja1"/>
    <w:rsid w:val="00E0650D"/>
    <w:rPr>
      <w:rFonts w:ascii="Century" w:eastAsia="Century" w:hAnsi="Century" w:cs="Century"/>
    </w:rPr>
  </w:style>
  <w:style w:type="paragraph" w:customStyle="1" w:styleId="ja2">
    <w:name w:val="附則（ja）"/>
    <w:basedOn w:val="a"/>
    <w:rsid w:val="00E0650D"/>
    <w:pPr>
      <w:widowControl w:val="0"/>
      <w:ind w:left="881" w:hanging="221"/>
    </w:pPr>
    <w:rPr>
      <w:rFonts w:ascii="ＭＳ 明朝" w:eastAsia="ＭＳ 明朝" w:hAnsi="ＭＳ 明朝" w:cs="ＭＳ 明朝"/>
      <w:b/>
    </w:rPr>
  </w:style>
  <w:style w:type="paragraph" w:customStyle="1" w:styleId="en2">
    <w:name w:val="附則（en）"/>
    <w:basedOn w:val="ja2"/>
    <w:rsid w:val="00E0650D"/>
    <w:rPr>
      <w:rFonts w:ascii="Century" w:hAnsi="Century" w:cs="Century"/>
    </w:rPr>
  </w:style>
  <w:style w:type="paragraph" w:customStyle="1" w:styleId="ja3">
    <w:name w:val="章（ja）"/>
    <w:basedOn w:val="a"/>
    <w:rsid w:val="00E0650D"/>
    <w:pPr>
      <w:widowControl w:val="0"/>
      <w:ind w:left="881" w:hanging="221"/>
    </w:pPr>
    <w:rPr>
      <w:rFonts w:ascii="ＭＳ 明朝" w:eastAsia="ＭＳ 明朝" w:hAnsi="ＭＳ 明朝" w:cs="ＭＳ 明朝"/>
      <w:b/>
    </w:rPr>
  </w:style>
  <w:style w:type="paragraph" w:customStyle="1" w:styleId="en3">
    <w:name w:val="章（en）"/>
    <w:basedOn w:val="ja3"/>
    <w:rsid w:val="00E0650D"/>
    <w:rPr>
      <w:rFonts w:ascii="Century" w:eastAsia="Century" w:hAnsi="Century" w:cs="Century"/>
    </w:rPr>
  </w:style>
  <w:style w:type="paragraph" w:customStyle="1" w:styleId="ja4">
    <w:name w:val="目次編（ja）"/>
    <w:basedOn w:val="a"/>
    <w:rsid w:val="00E0650D"/>
    <w:pPr>
      <w:widowControl w:val="0"/>
      <w:ind w:left="219" w:hanging="219"/>
    </w:pPr>
    <w:rPr>
      <w:rFonts w:ascii="ＭＳ 明朝" w:eastAsia="ＭＳ 明朝" w:hAnsi="ＭＳ 明朝"/>
    </w:rPr>
  </w:style>
  <w:style w:type="paragraph" w:customStyle="1" w:styleId="en4">
    <w:name w:val="目次編（en）"/>
    <w:basedOn w:val="ja4"/>
    <w:rsid w:val="00E0650D"/>
    <w:rPr>
      <w:rFonts w:ascii="Century" w:eastAsia="Century" w:hAnsi="Century"/>
    </w:rPr>
  </w:style>
  <w:style w:type="paragraph" w:customStyle="1" w:styleId="ja5">
    <w:name w:val="目次章（ja）"/>
    <w:basedOn w:val="a"/>
    <w:rsid w:val="00E0650D"/>
    <w:pPr>
      <w:widowControl w:val="0"/>
      <w:ind w:left="439" w:hanging="219"/>
    </w:pPr>
    <w:rPr>
      <w:rFonts w:ascii="ＭＳ 明朝" w:eastAsia="ＭＳ 明朝" w:hAnsi="ＭＳ 明朝"/>
    </w:rPr>
  </w:style>
  <w:style w:type="paragraph" w:customStyle="1" w:styleId="en5">
    <w:name w:val="目次章（en）"/>
    <w:basedOn w:val="ja5"/>
    <w:rsid w:val="00E0650D"/>
    <w:rPr>
      <w:rFonts w:ascii="Century" w:eastAsia="Century" w:hAnsi="Century"/>
    </w:rPr>
  </w:style>
  <w:style w:type="paragraph" w:customStyle="1" w:styleId="ja6">
    <w:name w:val="目次節（ja）"/>
    <w:basedOn w:val="a"/>
    <w:rsid w:val="00E0650D"/>
    <w:pPr>
      <w:widowControl w:val="0"/>
      <w:ind w:left="659" w:hanging="219"/>
    </w:pPr>
    <w:rPr>
      <w:rFonts w:ascii="ＭＳ 明朝" w:eastAsia="ＭＳ 明朝" w:hAnsi="ＭＳ 明朝"/>
    </w:rPr>
  </w:style>
  <w:style w:type="paragraph" w:customStyle="1" w:styleId="en6">
    <w:name w:val="目次節（en）"/>
    <w:basedOn w:val="ja6"/>
    <w:rsid w:val="00E0650D"/>
    <w:rPr>
      <w:rFonts w:ascii="Century" w:eastAsia="Century" w:hAnsi="Century"/>
    </w:rPr>
  </w:style>
  <w:style w:type="paragraph" w:customStyle="1" w:styleId="ja7">
    <w:name w:val="目次款（ja）"/>
    <w:basedOn w:val="a"/>
    <w:rsid w:val="00E0650D"/>
    <w:pPr>
      <w:widowControl w:val="0"/>
      <w:ind w:left="879" w:hanging="219"/>
    </w:pPr>
    <w:rPr>
      <w:rFonts w:ascii="ＭＳ 明朝" w:eastAsia="ＭＳ 明朝" w:hAnsi="ＭＳ 明朝" w:cs="Kochi Mincho"/>
    </w:rPr>
  </w:style>
  <w:style w:type="paragraph" w:customStyle="1" w:styleId="en7">
    <w:name w:val="目次款（en）"/>
    <w:basedOn w:val="ja7"/>
    <w:rsid w:val="00E0650D"/>
    <w:rPr>
      <w:rFonts w:ascii="Century" w:eastAsia="Century" w:hAnsi="Century"/>
    </w:rPr>
  </w:style>
  <w:style w:type="paragraph" w:customStyle="1" w:styleId="ja8">
    <w:name w:val="別表名（ja）"/>
    <w:basedOn w:val="a"/>
    <w:rsid w:val="00E065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650D"/>
    <w:rPr>
      <w:rFonts w:ascii="Century" w:eastAsia="Century" w:hAnsi="Century" w:cs="Century"/>
    </w:rPr>
  </w:style>
  <w:style w:type="paragraph" w:customStyle="1" w:styleId="ja9">
    <w:name w:val="目（ja）"/>
    <w:basedOn w:val="a"/>
    <w:rsid w:val="00E0650D"/>
    <w:pPr>
      <w:widowControl w:val="0"/>
      <w:ind w:left="1541" w:hanging="221"/>
    </w:pPr>
    <w:rPr>
      <w:rFonts w:ascii="ＭＳ 明朝" w:eastAsia="ＭＳ 明朝" w:hAnsi="ＭＳ 明朝" w:cs="ＭＳ 明朝"/>
      <w:b/>
    </w:rPr>
  </w:style>
  <w:style w:type="paragraph" w:customStyle="1" w:styleId="en9">
    <w:name w:val="目（en）"/>
    <w:basedOn w:val="ja9"/>
    <w:rsid w:val="00E0650D"/>
    <w:rPr>
      <w:rFonts w:ascii="Century" w:eastAsia="Century" w:hAnsi="Century" w:cs="Century"/>
    </w:rPr>
  </w:style>
  <w:style w:type="paragraph" w:customStyle="1" w:styleId="jaa">
    <w:name w:val="見出し（ja）"/>
    <w:basedOn w:val="a"/>
    <w:rsid w:val="00E0650D"/>
    <w:pPr>
      <w:widowControl w:val="0"/>
      <w:ind w:left="439" w:hanging="219"/>
    </w:pPr>
    <w:rPr>
      <w:rFonts w:ascii="ＭＳ 明朝" w:eastAsia="ＭＳ 明朝" w:hAnsi="ＭＳ 明朝" w:cs="ＭＳ 明朝"/>
    </w:rPr>
  </w:style>
  <w:style w:type="paragraph" w:customStyle="1" w:styleId="ena">
    <w:name w:val="見出し（en）"/>
    <w:basedOn w:val="jaa"/>
    <w:rsid w:val="00E0650D"/>
    <w:rPr>
      <w:rFonts w:ascii="Century" w:eastAsia="Century" w:hAnsi="Century" w:cs="Century"/>
    </w:rPr>
  </w:style>
  <w:style w:type="paragraph" w:styleId="a3">
    <w:name w:val="footer"/>
    <w:basedOn w:val="a"/>
    <w:rsid w:val="00E065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650D"/>
    <w:pPr>
      <w:widowControl w:val="0"/>
      <w:ind w:left="1099" w:hanging="219"/>
    </w:pPr>
    <w:rPr>
      <w:rFonts w:ascii="ＭＳ 明朝" w:eastAsia="ＭＳ 明朝" w:hAnsi="ＭＳ 明朝" w:cs="Kochi Mincho"/>
    </w:rPr>
  </w:style>
  <w:style w:type="paragraph" w:customStyle="1" w:styleId="enb">
    <w:name w:val="目次目（en）"/>
    <w:basedOn w:val="jab"/>
    <w:rsid w:val="00E0650D"/>
    <w:rPr>
      <w:rFonts w:ascii="Century" w:eastAsia="Century" w:hAnsi="Century"/>
    </w:rPr>
  </w:style>
  <w:style w:type="paragraph" w:customStyle="1" w:styleId="jac">
    <w:name w:val="目次附則（ja）"/>
    <w:basedOn w:val="a"/>
    <w:rsid w:val="00E0650D"/>
    <w:pPr>
      <w:widowControl w:val="0"/>
      <w:ind w:left="439" w:hanging="219"/>
    </w:pPr>
    <w:rPr>
      <w:rFonts w:ascii="ＭＳ 明朝" w:eastAsia="ＭＳ 明朝" w:hAnsi="ＭＳ 明朝" w:cs="Kochi Mincho"/>
    </w:rPr>
  </w:style>
  <w:style w:type="paragraph" w:customStyle="1" w:styleId="enc">
    <w:name w:val="目次附則（en）"/>
    <w:basedOn w:val="jac"/>
    <w:rsid w:val="00E0650D"/>
    <w:rPr>
      <w:rFonts w:ascii="Century" w:eastAsia="Century" w:hAnsi="Century" w:cs="Century"/>
    </w:rPr>
  </w:style>
  <w:style w:type="paragraph" w:customStyle="1" w:styleId="jad">
    <w:name w:val="目次前文（ja）"/>
    <w:basedOn w:val="jac"/>
    <w:rsid w:val="00E0650D"/>
  </w:style>
  <w:style w:type="paragraph" w:customStyle="1" w:styleId="end">
    <w:name w:val="目次前文（en）"/>
    <w:basedOn w:val="enc"/>
    <w:rsid w:val="00E0650D"/>
  </w:style>
  <w:style w:type="paragraph" w:customStyle="1" w:styleId="jae">
    <w:name w:val="制定文（ja）"/>
    <w:basedOn w:val="a"/>
    <w:rsid w:val="00E0650D"/>
    <w:pPr>
      <w:widowControl w:val="0"/>
      <w:ind w:firstLine="219"/>
    </w:pPr>
    <w:rPr>
      <w:rFonts w:ascii="ＭＳ 明朝" w:eastAsia="ＭＳ 明朝" w:hAnsi="ＭＳ 明朝" w:cs="ＭＳ 明朝"/>
    </w:rPr>
  </w:style>
  <w:style w:type="paragraph" w:customStyle="1" w:styleId="ene">
    <w:name w:val="制定文（en）"/>
    <w:basedOn w:val="jae"/>
    <w:rsid w:val="00E0650D"/>
    <w:rPr>
      <w:rFonts w:ascii="Century" w:eastAsia="Century" w:hAnsi="Century" w:cs="Century"/>
    </w:rPr>
  </w:style>
  <w:style w:type="paragraph" w:customStyle="1" w:styleId="jaf">
    <w:name w:val="法令番号（ja）"/>
    <w:basedOn w:val="a"/>
    <w:rsid w:val="00E0650D"/>
    <w:pPr>
      <w:widowControl w:val="0"/>
      <w:jc w:val="right"/>
    </w:pPr>
    <w:rPr>
      <w:rFonts w:ascii="ＭＳ 明朝" w:eastAsia="ＭＳ 明朝" w:hAnsi="ＭＳ 明朝" w:cs="Kochi Mincho"/>
    </w:rPr>
  </w:style>
  <w:style w:type="paragraph" w:customStyle="1" w:styleId="enf">
    <w:name w:val="法令番号（en）"/>
    <w:basedOn w:val="jaf"/>
    <w:rsid w:val="00E0650D"/>
    <w:rPr>
      <w:rFonts w:ascii="Century" w:eastAsia="Century" w:hAnsi="Century" w:cs="Century"/>
    </w:rPr>
  </w:style>
  <w:style w:type="paragraph" w:customStyle="1" w:styleId="jaf0">
    <w:name w:val="目次（ja）"/>
    <w:basedOn w:val="a"/>
    <w:rsid w:val="00E0650D"/>
    <w:rPr>
      <w:rFonts w:ascii="ＭＳ 明朝" w:eastAsia="ＭＳ 明朝" w:hAnsi="ＭＳ 明朝"/>
    </w:rPr>
  </w:style>
  <w:style w:type="paragraph" w:customStyle="1" w:styleId="enf0">
    <w:name w:val="目次（en）"/>
    <w:basedOn w:val="jaf0"/>
    <w:rsid w:val="00E0650D"/>
    <w:rPr>
      <w:rFonts w:ascii="Century" w:eastAsia="Century" w:hAnsi="Century"/>
    </w:rPr>
  </w:style>
  <w:style w:type="paragraph" w:customStyle="1" w:styleId="jaf1">
    <w:name w:val="編（ja）"/>
    <w:basedOn w:val="a"/>
    <w:rsid w:val="00E0650D"/>
    <w:pPr>
      <w:widowControl w:val="0"/>
      <w:ind w:left="661" w:hanging="221"/>
    </w:pPr>
    <w:rPr>
      <w:rFonts w:ascii="ＭＳ 明朝" w:eastAsia="ＭＳ 明朝" w:hAnsi="ＭＳ 明朝" w:cs="ＭＳ 明朝"/>
      <w:b/>
    </w:rPr>
  </w:style>
  <w:style w:type="paragraph" w:customStyle="1" w:styleId="enf1">
    <w:name w:val="編（en）"/>
    <w:basedOn w:val="jaf1"/>
    <w:rsid w:val="00E0650D"/>
    <w:rPr>
      <w:rFonts w:ascii="Century" w:eastAsia="Century" w:hAnsi="Century" w:cs="Century"/>
    </w:rPr>
  </w:style>
  <w:style w:type="paragraph" w:customStyle="1" w:styleId="jaf2">
    <w:name w:val="節（ja）"/>
    <w:basedOn w:val="a"/>
    <w:rsid w:val="00E0650D"/>
    <w:pPr>
      <w:widowControl w:val="0"/>
      <w:ind w:left="1101" w:hanging="221"/>
    </w:pPr>
    <w:rPr>
      <w:rFonts w:ascii="ＭＳ 明朝" w:eastAsia="ＭＳ 明朝" w:hAnsi="ＭＳ 明朝" w:cs="ＭＳ 明朝"/>
      <w:b/>
    </w:rPr>
  </w:style>
  <w:style w:type="paragraph" w:customStyle="1" w:styleId="enf2">
    <w:name w:val="節（en）"/>
    <w:basedOn w:val="jaf2"/>
    <w:rsid w:val="00E0650D"/>
    <w:rPr>
      <w:rFonts w:ascii="Century" w:eastAsia="Century" w:hAnsi="Century" w:cs="Century"/>
    </w:rPr>
  </w:style>
  <w:style w:type="paragraph" w:customStyle="1" w:styleId="jaf3">
    <w:name w:val="条（ja）"/>
    <w:basedOn w:val="a"/>
    <w:rsid w:val="00E0650D"/>
    <w:pPr>
      <w:widowControl w:val="0"/>
      <w:ind w:left="219" w:hanging="219"/>
    </w:pPr>
    <w:rPr>
      <w:rFonts w:ascii="ＭＳ 明朝" w:eastAsia="ＭＳ 明朝" w:hAnsi="ＭＳ 明朝" w:cs="ＭＳ 明朝"/>
    </w:rPr>
  </w:style>
  <w:style w:type="paragraph" w:customStyle="1" w:styleId="enf3">
    <w:name w:val="条（en）"/>
    <w:basedOn w:val="jaf3"/>
    <w:rsid w:val="00E0650D"/>
    <w:rPr>
      <w:rFonts w:ascii="Century" w:eastAsia="Century" w:hAnsi="Century" w:cs="Century"/>
    </w:rPr>
  </w:style>
  <w:style w:type="paragraph" w:customStyle="1" w:styleId="jaf4">
    <w:name w:val="項（ja）"/>
    <w:basedOn w:val="a"/>
    <w:rsid w:val="00E0650D"/>
    <w:pPr>
      <w:widowControl w:val="0"/>
      <w:ind w:left="219" w:hanging="219"/>
    </w:pPr>
    <w:rPr>
      <w:rFonts w:ascii="ＭＳ 明朝" w:eastAsia="ＭＳ 明朝" w:hAnsi="ＭＳ 明朝" w:cs="ＭＳ 明朝"/>
    </w:rPr>
  </w:style>
  <w:style w:type="paragraph" w:customStyle="1" w:styleId="enf4">
    <w:name w:val="項（en）"/>
    <w:basedOn w:val="jaf4"/>
    <w:rsid w:val="00E0650D"/>
    <w:rPr>
      <w:rFonts w:ascii="Century" w:eastAsia="Century" w:hAnsi="Century" w:cs="Century"/>
    </w:rPr>
  </w:style>
  <w:style w:type="paragraph" w:customStyle="1" w:styleId="jaf5">
    <w:name w:val="項　番号なし（ja）"/>
    <w:basedOn w:val="a"/>
    <w:rsid w:val="00E0650D"/>
    <w:pPr>
      <w:widowControl w:val="0"/>
      <w:ind w:firstLine="221"/>
    </w:pPr>
    <w:rPr>
      <w:rFonts w:ascii="ＭＳ 明朝" w:eastAsia="ＭＳ 明朝" w:hAnsi="ＭＳ 明朝" w:cs="ＭＳ 明朝"/>
    </w:rPr>
  </w:style>
  <w:style w:type="paragraph" w:customStyle="1" w:styleId="enf5">
    <w:name w:val="項　番号なし（en）"/>
    <w:basedOn w:val="jaf5"/>
    <w:rsid w:val="00E0650D"/>
    <w:rPr>
      <w:rFonts w:ascii="Century" w:eastAsia="Century" w:hAnsi="Century" w:cs="Century"/>
    </w:rPr>
  </w:style>
  <w:style w:type="paragraph" w:customStyle="1" w:styleId="jaf6">
    <w:name w:val="号（ja）"/>
    <w:basedOn w:val="a"/>
    <w:rsid w:val="00E0650D"/>
    <w:pPr>
      <w:widowControl w:val="0"/>
      <w:ind w:left="439" w:hanging="219"/>
    </w:pPr>
    <w:rPr>
      <w:rFonts w:ascii="ＭＳ 明朝" w:eastAsia="ＭＳ 明朝" w:hAnsi="ＭＳ 明朝" w:cs="ＭＳ 明朝"/>
    </w:rPr>
  </w:style>
  <w:style w:type="paragraph" w:customStyle="1" w:styleId="enf6">
    <w:name w:val="号（en）"/>
    <w:basedOn w:val="jaf6"/>
    <w:rsid w:val="00E0650D"/>
    <w:rPr>
      <w:rFonts w:ascii="Century" w:eastAsia="Century" w:hAnsi="Century" w:cs="Century"/>
    </w:rPr>
  </w:style>
  <w:style w:type="paragraph" w:customStyle="1" w:styleId="jaf7">
    <w:name w:val="号　番号なし（ja）"/>
    <w:basedOn w:val="a"/>
    <w:rsid w:val="00E0650D"/>
    <w:pPr>
      <w:widowControl w:val="0"/>
      <w:ind w:left="221" w:firstLine="221"/>
    </w:pPr>
    <w:rPr>
      <w:rFonts w:ascii="ＭＳ 明朝" w:eastAsia="ＭＳ 明朝" w:hAnsi="ＭＳ 明朝" w:cs="ＭＳ 明朝"/>
    </w:rPr>
  </w:style>
  <w:style w:type="paragraph" w:customStyle="1" w:styleId="enf7">
    <w:name w:val="号　番号なし（en）"/>
    <w:basedOn w:val="jaf7"/>
    <w:rsid w:val="00E0650D"/>
    <w:rPr>
      <w:rFonts w:ascii="Century" w:eastAsia="Century" w:hAnsi="Century" w:cs="Century"/>
    </w:rPr>
  </w:style>
  <w:style w:type="paragraph" w:customStyle="1" w:styleId="jaf8">
    <w:name w:val="備考号（ja）"/>
    <w:basedOn w:val="a"/>
    <w:rsid w:val="00E0650D"/>
    <w:pPr>
      <w:widowControl w:val="0"/>
      <w:ind w:left="659" w:hanging="219"/>
    </w:pPr>
    <w:rPr>
      <w:rFonts w:ascii="ＭＳ 明朝" w:eastAsia="ＭＳ 明朝" w:hAnsi="ＭＳ 明朝" w:cs="ＭＳ 明朝"/>
    </w:rPr>
  </w:style>
  <w:style w:type="paragraph" w:customStyle="1" w:styleId="enf8">
    <w:name w:val="備考号（en）"/>
    <w:basedOn w:val="jaf8"/>
    <w:rsid w:val="00E0650D"/>
    <w:rPr>
      <w:rFonts w:ascii="Century" w:eastAsia="Century" w:hAnsi="Century" w:cs="Century"/>
    </w:rPr>
  </w:style>
  <w:style w:type="paragraph" w:customStyle="1" w:styleId="jaf9">
    <w:name w:val="号細分（ja）"/>
    <w:basedOn w:val="a"/>
    <w:rsid w:val="00E0650D"/>
    <w:pPr>
      <w:widowControl w:val="0"/>
      <w:ind w:left="659" w:hanging="219"/>
    </w:pPr>
    <w:rPr>
      <w:rFonts w:ascii="ＭＳ 明朝" w:eastAsia="ＭＳ 明朝" w:hAnsi="ＭＳ 明朝" w:cs="ＭＳ 明朝"/>
    </w:rPr>
  </w:style>
  <w:style w:type="paragraph" w:customStyle="1" w:styleId="enf9">
    <w:name w:val="号細分（en）"/>
    <w:basedOn w:val="jaf9"/>
    <w:rsid w:val="00E0650D"/>
    <w:rPr>
      <w:rFonts w:ascii="Century" w:eastAsia="Century" w:hAnsi="Century" w:cs="Century"/>
    </w:rPr>
  </w:style>
  <w:style w:type="paragraph" w:customStyle="1" w:styleId="jafa">
    <w:name w:val="号細分　番号なし（ja）"/>
    <w:basedOn w:val="a"/>
    <w:rsid w:val="00E0650D"/>
    <w:pPr>
      <w:widowControl w:val="0"/>
      <w:ind w:left="439"/>
    </w:pPr>
    <w:rPr>
      <w:rFonts w:ascii="ＭＳ 明朝" w:eastAsia="ＭＳ 明朝" w:hAnsi="ＭＳ 明朝" w:cs="ＭＳ 明朝"/>
    </w:rPr>
  </w:style>
  <w:style w:type="paragraph" w:customStyle="1" w:styleId="enfa">
    <w:name w:val="号細分　番号なし（en）"/>
    <w:basedOn w:val="jafa"/>
    <w:rsid w:val="00E0650D"/>
    <w:rPr>
      <w:rFonts w:ascii="Century" w:eastAsia="Century" w:hAnsi="Century" w:cs="Century"/>
    </w:rPr>
  </w:style>
  <w:style w:type="paragraph" w:customStyle="1" w:styleId="jafb">
    <w:name w:val="備考号細分（ja）"/>
    <w:basedOn w:val="a"/>
    <w:rsid w:val="00E0650D"/>
    <w:pPr>
      <w:widowControl w:val="0"/>
      <w:ind w:left="1099" w:hanging="439"/>
    </w:pPr>
    <w:rPr>
      <w:rFonts w:ascii="ＭＳ 明朝" w:eastAsia="ＭＳ 明朝" w:hAnsi="ＭＳ 明朝" w:cs="ＭＳ 明朝"/>
    </w:rPr>
  </w:style>
  <w:style w:type="paragraph" w:customStyle="1" w:styleId="enfb">
    <w:name w:val="備考号細分（en）"/>
    <w:basedOn w:val="jafb"/>
    <w:rsid w:val="00E0650D"/>
    <w:rPr>
      <w:rFonts w:ascii="Century" w:eastAsia="Century" w:hAnsi="Century" w:cs="Century"/>
    </w:rPr>
  </w:style>
  <w:style w:type="paragraph" w:customStyle="1" w:styleId="jafc">
    <w:name w:val="号細細分（ja）"/>
    <w:basedOn w:val="a"/>
    <w:rsid w:val="00E0650D"/>
    <w:pPr>
      <w:widowControl w:val="0"/>
      <w:ind w:left="1099" w:hanging="439"/>
    </w:pPr>
    <w:rPr>
      <w:rFonts w:ascii="ＭＳ 明朝" w:eastAsia="ＭＳ 明朝" w:hAnsi="ＭＳ 明朝" w:cs="ＭＳ 明朝"/>
    </w:rPr>
  </w:style>
  <w:style w:type="paragraph" w:customStyle="1" w:styleId="enfc">
    <w:name w:val="号細細分（en）"/>
    <w:basedOn w:val="jafc"/>
    <w:rsid w:val="00E0650D"/>
    <w:rPr>
      <w:rFonts w:ascii="Century" w:eastAsia="Century" w:hAnsi="Century" w:cs="Century"/>
    </w:rPr>
  </w:style>
  <w:style w:type="paragraph" w:customStyle="1" w:styleId="jafd">
    <w:name w:val="号細細分　番号なし（ja）"/>
    <w:basedOn w:val="a"/>
    <w:rsid w:val="00E0650D"/>
    <w:pPr>
      <w:widowControl w:val="0"/>
      <w:ind w:left="659"/>
    </w:pPr>
    <w:rPr>
      <w:rFonts w:ascii="ＭＳ 明朝" w:eastAsia="ＭＳ 明朝" w:hAnsi="ＭＳ 明朝" w:cs="ＭＳ 明朝"/>
    </w:rPr>
  </w:style>
  <w:style w:type="paragraph" w:customStyle="1" w:styleId="enfd">
    <w:name w:val="号細細分　番号なし（en）"/>
    <w:basedOn w:val="jafd"/>
    <w:rsid w:val="00E0650D"/>
    <w:rPr>
      <w:rFonts w:ascii="Century" w:eastAsia="Century" w:hAnsi="Century" w:cs="Century"/>
    </w:rPr>
  </w:style>
  <w:style w:type="paragraph" w:customStyle="1" w:styleId="jafe">
    <w:name w:val="備考号細細分（ja）"/>
    <w:basedOn w:val="a"/>
    <w:rsid w:val="00E0650D"/>
    <w:pPr>
      <w:widowControl w:val="0"/>
      <w:ind w:left="1319" w:hanging="439"/>
    </w:pPr>
    <w:rPr>
      <w:rFonts w:ascii="ＭＳ 明朝" w:eastAsia="ＭＳ 明朝" w:hAnsi="ＭＳ 明朝" w:cs="ＭＳ 明朝"/>
    </w:rPr>
  </w:style>
  <w:style w:type="paragraph" w:customStyle="1" w:styleId="enfe">
    <w:name w:val="備考号細細分（en）"/>
    <w:basedOn w:val="jafe"/>
    <w:rsid w:val="00E0650D"/>
    <w:rPr>
      <w:rFonts w:ascii="Century" w:eastAsia="Century" w:hAnsi="Century" w:cs="Century"/>
    </w:rPr>
  </w:style>
  <w:style w:type="paragraph" w:customStyle="1" w:styleId="jaff">
    <w:name w:val="号細細細分（ja）"/>
    <w:basedOn w:val="a"/>
    <w:rsid w:val="00E0650D"/>
    <w:pPr>
      <w:widowControl w:val="0"/>
      <w:ind w:left="1319" w:hanging="439"/>
    </w:pPr>
    <w:rPr>
      <w:rFonts w:ascii="ＭＳ 明朝" w:eastAsia="ＭＳ 明朝" w:hAnsi="ＭＳ 明朝" w:cs="ＭＳ 明朝"/>
    </w:rPr>
  </w:style>
  <w:style w:type="paragraph" w:customStyle="1" w:styleId="enff">
    <w:name w:val="号細細細分（en）"/>
    <w:basedOn w:val="jaff"/>
    <w:rsid w:val="00E0650D"/>
    <w:rPr>
      <w:rFonts w:ascii="Century" w:eastAsia="Century" w:hAnsi="Century" w:cs="Century"/>
    </w:rPr>
  </w:style>
  <w:style w:type="paragraph" w:customStyle="1" w:styleId="jaff0">
    <w:name w:val="号細細細分　番号なし（ja）"/>
    <w:basedOn w:val="a"/>
    <w:rsid w:val="00E0650D"/>
    <w:pPr>
      <w:widowControl w:val="0"/>
      <w:ind w:left="879"/>
    </w:pPr>
    <w:rPr>
      <w:rFonts w:ascii="ＭＳ 明朝" w:eastAsia="ＭＳ 明朝" w:hAnsi="ＭＳ 明朝" w:cs="ＭＳ 明朝"/>
    </w:rPr>
  </w:style>
  <w:style w:type="paragraph" w:customStyle="1" w:styleId="enff0">
    <w:name w:val="号細細細分　番号なし（en）"/>
    <w:basedOn w:val="jaff0"/>
    <w:rsid w:val="00E0650D"/>
    <w:rPr>
      <w:rFonts w:ascii="Century" w:eastAsia="Century" w:hAnsi="Century" w:cs="Century"/>
    </w:rPr>
  </w:style>
  <w:style w:type="paragraph" w:customStyle="1" w:styleId="jaff1">
    <w:name w:val="備考号細細細分（ja）"/>
    <w:basedOn w:val="a"/>
    <w:rsid w:val="00E065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650D"/>
    <w:rPr>
      <w:rFonts w:ascii="Century" w:eastAsia="Century" w:hAnsi="Century" w:cs="Century"/>
    </w:rPr>
  </w:style>
  <w:style w:type="paragraph" w:customStyle="1" w:styleId="jaff2">
    <w:name w:val="類（ja）"/>
    <w:basedOn w:val="a"/>
    <w:rsid w:val="00E0650D"/>
    <w:pPr>
      <w:widowControl w:val="0"/>
      <w:ind w:left="439" w:hanging="219"/>
    </w:pPr>
    <w:rPr>
      <w:rFonts w:ascii="ＭＳ 明朝" w:eastAsia="ＭＳ 明朝" w:hAnsi="ＭＳ 明朝" w:cs="ＭＳ 明朝"/>
    </w:rPr>
  </w:style>
  <w:style w:type="paragraph" w:customStyle="1" w:styleId="enff2">
    <w:name w:val="類（en）"/>
    <w:basedOn w:val="jaff2"/>
    <w:rsid w:val="00E0650D"/>
    <w:rPr>
      <w:rFonts w:ascii="Century" w:eastAsia="Century" w:hAnsi="Century" w:cs="Century"/>
    </w:rPr>
  </w:style>
  <w:style w:type="paragraph" w:customStyle="1" w:styleId="jaff3">
    <w:name w:val="公布文（ja）"/>
    <w:basedOn w:val="a"/>
    <w:rsid w:val="00E0650D"/>
    <w:pPr>
      <w:widowControl w:val="0"/>
      <w:ind w:firstLine="219"/>
    </w:pPr>
    <w:rPr>
      <w:rFonts w:ascii="ＭＳ 明朝" w:eastAsia="ＭＳ 明朝" w:hAnsi="ＭＳ 明朝" w:cs="ＭＳ 明朝"/>
    </w:rPr>
  </w:style>
  <w:style w:type="paragraph" w:customStyle="1" w:styleId="enff3">
    <w:name w:val="公布文（en）"/>
    <w:basedOn w:val="jaff3"/>
    <w:rsid w:val="00E0650D"/>
    <w:rPr>
      <w:rFonts w:ascii="Century" w:eastAsia="Century" w:hAnsi="Century" w:cs="Century"/>
    </w:rPr>
  </w:style>
  <w:style w:type="paragraph" w:customStyle="1" w:styleId="jaen">
    <w:name w:val="表（ja：en）"/>
    <w:basedOn w:val="a"/>
    <w:rsid w:val="00E0650D"/>
    <w:pPr>
      <w:widowControl w:val="0"/>
      <w:snapToGrid w:val="0"/>
    </w:pPr>
    <w:rPr>
      <w:rFonts w:ascii="Century" w:eastAsia="ＭＳ 明朝" w:hAnsi="Century"/>
    </w:rPr>
  </w:style>
  <w:style w:type="paragraph" w:customStyle="1" w:styleId="jaff4">
    <w:name w:val="備考（ja）"/>
    <w:basedOn w:val="a"/>
    <w:rsid w:val="00E0650D"/>
    <w:pPr>
      <w:widowControl w:val="0"/>
      <w:ind w:left="439" w:hanging="219"/>
    </w:pPr>
    <w:rPr>
      <w:rFonts w:ascii="ＭＳ 明朝" w:eastAsia="ＭＳ 明朝" w:hAnsi="ＭＳ 明朝" w:cs="ＭＳ 明朝"/>
    </w:rPr>
  </w:style>
  <w:style w:type="paragraph" w:customStyle="1" w:styleId="enff4">
    <w:name w:val="備考（en）"/>
    <w:basedOn w:val="jaff4"/>
    <w:rsid w:val="00E0650D"/>
    <w:rPr>
      <w:rFonts w:ascii="Century" w:eastAsia="Century" w:hAnsi="Century" w:cs="Century"/>
    </w:rPr>
  </w:style>
  <w:style w:type="paragraph" w:customStyle="1" w:styleId="jaff5">
    <w:name w:val="表タイトル（ja）"/>
    <w:basedOn w:val="a"/>
    <w:rsid w:val="00E0650D"/>
    <w:pPr>
      <w:widowControl w:val="0"/>
      <w:ind w:left="219"/>
    </w:pPr>
    <w:rPr>
      <w:rFonts w:ascii="ＭＳ 明朝" w:eastAsia="ＭＳ 明朝" w:hAnsi="ＭＳ 明朝" w:cs="ＭＳ 明朝"/>
    </w:rPr>
  </w:style>
  <w:style w:type="paragraph" w:customStyle="1" w:styleId="enff5">
    <w:name w:val="表タイトル（en）"/>
    <w:basedOn w:val="jaff5"/>
    <w:rsid w:val="00E0650D"/>
    <w:rPr>
      <w:rFonts w:ascii="Century" w:eastAsia="Century" w:hAnsi="Century" w:cs="Century"/>
    </w:rPr>
  </w:style>
  <w:style w:type="paragraph" w:customStyle="1" w:styleId="jaff6">
    <w:name w:val="改正規定文（ja）"/>
    <w:basedOn w:val="a"/>
    <w:rsid w:val="00E0650D"/>
    <w:pPr>
      <w:widowControl w:val="0"/>
      <w:ind w:left="219" w:firstLine="219"/>
    </w:pPr>
    <w:rPr>
      <w:rFonts w:ascii="ＭＳ 明朝" w:eastAsia="ＭＳ 明朝" w:hAnsi="ＭＳ 明朝" w:cs="ＭＳ 明朝"/>
    </w:rPr>
  </w:style>
  <w:style w:type="paragraph" w:customStyle="1" w:styleId="enff6">
    <w:name w:val="改正規定文（en）"/>
    <w:basedOn w:val="jaff6"/>
    <w:rsid w:val="00E0650D"/>
    <w:rPr>
      <w:rFonts w:ascii="Century" w:eastAsia="Century" w:hAnsi="Century" w:cs="Century"/>
    </w:rPr>
  </w:style>
  <w:style w:type="paragraph" w:customStyle="1" w:styleId="jaff7">
    <w:name w:val="付記（ja）"/>
    <w:basedOn w:val="a"/>
    <w:rsid w:val="00E0650D"/>
    <w:pPr>
      <w:widowControl w:val="0"/>
      <w:ind w:left="219" w:firstLine="219"/>
    </w:pPr>
    <w:rPr>
      <w:rFonts w:ascii="ＭＳ 明朝" w:eastAsia="ＭＳ 明朝" w:hAnsi="ＭＳ 明朝" w:cs="ＭＳ 明朝"/>
    </w:rPr>
  </w:style>
  <w:style w:type="paragraph" w:customStyle="1" w:styleId="enff7">
    <w:name w:val="付記（en）"/>
    <w:basedOn w:val="jaff7"/>
    <w:rsid w:val="00E0650D"/>
    <w:rPr>
      <w:rFonts w:ascii="Century" w:eastAsia="Century" w:hAnsi="Century" w:cs="Century"/>
    </w:rPr>
  </w:style>
  <w:style w:type="paragraph" w:customStyle="1" w:styleId="jaff8">
    <w:name w:val="様式名（ja）"/>
    <w:basedOn w:val="a"/>
    <w:rsid w:val="00E0650D"/>
    <w:pPr>
      <w:widowControl w:val="0"/>
      <w:ind w:left="439" w:hanging="219"/>
    </w:pPr>
    <w:rPr>
      <w:rFonts w:ascii="ＭＳ 明朝" w:eastAsia="ＭＳ 明朝" w:hAnsi="ＭＳ 明朝" w:cs="ＭＳ 明朝"/>
    </w:rPr>
  </w:style>
  <w:style w:type="paragraph" w:customStyle="1" w:styleId="enff8">
    <w:name w:val="様式名（en）"/>
    <w:basedOn w:val="jaff8"/>
    <w:rsid w:val="00E0650D"/>
    <w:rPr>
      <w:rFonts w:ascii="Century" w:eastAsia="Century" w:hAnsi="Century" w:cs="Century"/>
    </w:rPr>
  </w:style>
  <w:style w:type="paragraph" w:customStyle="1" w:styleId="jaff9">
    <w:name w:val="様式項目（ja）"/>
    <w:basedOn w:val="a"/>
    <w:rsid w:val="00E0650D"/>
    <w:pPr>
      <w:widowControl w:val="0"/>
      <w:ind w:left="221" w:firstLine="221"/>
    </w:pPr>
    <w:rPr>
      <w:rFonts w:ascii="ＭＳ 明朝" w:eastAsia="ＭＳ 明朝" w:hAnsi="ＭＳ 明朝" w:cs="ＭＳ 明朝"/>
    </w:rPr>
  </w:style>
  <w:style w:type="paragraph" w:customStyle="1" w:styleId="enff9">
    <w:name w:val="様式項目（en）"/>
    <w:basedOn w:val="jaff9"/>
    <w:rsid w:val="00E0650D"/>
    <w:rPr>
      <w:rFonts w:ascii="Century" w:eastAsia="Century" w:hAnsi="Century" w:cs="Century"/>
    </w:rPr>
  </w:style>
  <w:style w:type="table" w:customStyle="1" w:styleId="1">
    <w:name w:val="表1"/>
    <w:rsid w:val="00E0650D"/>
    <w:tblPr>
      <w:tblInd w:w="340" w:type="dxa"/>
      <w:tblCellMar>
        <w:top w:w="0" w:type="dxa"/>
        <w:left w:w="0" w:type="dxa"/>
        <w:bottom w:w="0" w:type="dxa"/>
        <w:right w:w="0" w:type="dxa"/>
      </w:tblCellMar>
    </w:tblPr>
  </w:style>
  <w:style w:type="numbering" w:customStyle="1" w:styleId="WW8Num1">
    <w:name w:val="WW8Num1"/>
    <w:rsid w:val="00E0650D"/>
    <w:pPr>
      <w:numPr>
        <w:numId w:val="2"/>
      </w:numPr>
    </w:pPr>
  </w:style>
  <w:style w:type="numbering" w:customStyle="1" w:styleId="WW8Num2">
    <w:name w:val="WW8Num2"/>
    <w:rsid w:val="00E0650D"/>
    <w:pPr>
      <w:numPr>
        <w:numId w:val="3"/>
      </w:numPr>
    </w:pPr>
  </w:style>
  <w:style w:type="numbering" w:customStyle="1" w:styleId="WW8Num3">
    <w:name w:val="WW8Num3"/>
    <w:rsid w:val="00E0650D"/>
    <w:pPr>
      <w:numPr>
        <w:numId w:val="4"/>
      </w:numPr>
    </w:pPr>
  </w:style>
  <w:style w:type="numbering" w:customStyle="1" w:styleId="WW8Num4">
    <w:name w:val="WW8Num4"/>
    <w:rsid w:val="00E0650D"/>
    <w:pPr>
      <w:numPr>
        <w:numId w:val="5"/>
      </w:numPr>
    </w:pPr>
  </w:style>
  <w:style w:type="numbering" w:customStyle="1" w:styleId="WW8Num5">
    <w:name w:val="WW8Num5"/>
    <w:rsid w:val="00E0650D"/>
    <w:pPr>
      <w:numPr>
        <w:numId w:val="6"/>
      </w:numPr>
    </w:pPr>
  </w:style>
  <w:style w:type="numbering" w:customStyle="1" w:styleId="WW8Num6">
    <w:name w:val="WW8Num6"/>
    <w:rsid w:val="00E0650D"/>
    <w:pPr>
      <w:numPr>
        <w:numId w:val="7"/>
      </w:numPr>
    </w:pPr>
  </w:style>
  <w:style w:type="numbering" w:customStyle="1" w:styleId="WW8Num7">
    <w:name w:val="WW8Num7"/>
    <w:rsid w:val="00E0650D"/>
    <w:pPr>
      <w:numPr>
        <w:numId w:val="8"/>
      </w:numPr>
    </w:pPr>
  </w:style>
  <w:style w:type="numbering" w:customStyle="1" w:styleId="WW8Num8">
    <w:name w:val="WW8Num8"/>
    <w:rsid w:val="00E0650D"/>
    <w:pPr>
      <w:numPr>
        <w:numId w:val="9"/>
      </w:numPr>
    </w:pPr>
  </w:style>
  <w:style w:type="numbering" w:customStyle="1" w:styleId="WW8Num9">
    <w:name w:val="WW8Num9"/>
    <w:rsid w:val="00E0650D"/>
    <w:pPr>
      <w:numPr>
        <w:numId w:val="10"/>
      </w:numPr>
    </w:pPr>
  </w:style>
  <w:style w:type="numbering" w:customStyle="1" w:styleId="WW8Num10">
    <w:name w:val="WW8Num10"/>
    <w:rsid w:val="00E0650D"/>
    <w:pPr>
      <w:numPr>
        <w:numId w:val="11"/>
      </w:numPr>
    </w:pPr>
  </w:style>
  <w:style w:type="numbering" w:customStyle="1" w:styleId="WW8Num11">
    <w:name w:val="WW8Num11"/>
    <w:rsid w:val="00E0650D"/>
    <w:pPr>
      <w:numPr>
        <w:numId w:val="12"/>
      </w:numPr>
    </w:pPr>
  </w:style>
  <w:style w:type="numbering" w:customStyle="1" w:styleId="WW8Num12">
    <w:name w:val="WW8Num12"/>
    <w:rsid w:val="00E0650D"/>
    <w:pPr>
      <w:numPr>
        <w:numId w:val="13"/>
      </w:numPr>
    </w:pPr>
  </w:style>
  <w:style w:type="paragraph" w:styleId="a4">
    <w:name w:val="header"/>
    <w:basedOn w:val="a"/>
    <w:link w:val="a5"/>
    <w:uiPriority w:val="99"/>
    <w:unhideWhenUsed/>
    <w:rsid w:val="00864D94"/>
    <w:pPr>
      <w:tabs>
        <w:tab w:val="center" w:pos="4252"/>
        <w:tab w:val="right" w:pos="8504"/>
      </w:tabs>
      <w:snapToGrid w:val="0"/>
    </w:pPr>
  </w:style>
  <w:style w:type="character" w:customStyle="1" w:styleId="a5">
    <w:name w:val="ヘッダー (文字)"/>
    <w:basedOn w:val="a0"/>
    <w:link w:val="a4"/>
    <w:uiPriority w:val="99"/>
    <w:rsid w:val="00864D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2134</Words>
  <Characters>12170</Characters>
  <Application>Microsoft Office Word</Application>
  <DocSecurity>0</DocSecurity>
  <Lines>101</Lines>
  <Paragraphs>28</Paragraphs>
  <ScaleCrop>false</ScaleCrop>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2023-05-12T04:41:00Z</dcterms:created>
  <dcterms:modified xsi:type="dcterms:W3CDTF">2023-05-12T04:41:00Z</dcterms:modified>
</cp:coreProperties>
</file>