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FA7" w:rsidRDefault="00570D54">
      <w:pPr>
        <w:pStyle w:val="en"/>
      </w:pPr>
      <w:r>
        <w:t>Museum Act</w:t>
      </w:r>
    </w:p>
    <w:p w:rsidR="00476FA7" w:rsidRDefault="00476FA7"/>
    <w:p w:rsidR="00476FA7" w:rsidRDefault="00570D54">
      <w:pPr>
        <w:pStyle w:val="enf"/>
      </w:pPr>
      <w:r>
        <w:t>(Act No. 285 of December 1, 1951)</w:t>
      </w:r>
    </w:p>
    <w:p w:rsidR="00476FA7" w:rsidRDefault="00476FA7"/>
    <w:p w:rsidR="00476FA7" w:rsidRDefault="00570D54">
      <w:pPr>
        <w:pStyle w:val="enf0"/>
      </w:pPr>
      <w:r>
        <w:t>Table of Contents</w:t>
      </w:r>
    </w:p>
    <w:p w:rsidR="00476FA7" w:rsidRDefault="00570D54">
      <w:pPr>
        <w:pStyle w:val="en5"/>
      </w:pPr>
      <w:r>
        <w:t>Chapter I General Provisions (Articles 1 through 10)</w:t>
      </w:r>
    </w:p>
    <w:p w:rsidR="00476FA7" w:rsidRDefault="00570D54">
      <w:pPr>
        <w:pStyle w:val="en5"/>
      </w:pPr>
      <w:r>
        <w:t>Chapter II Accreditation (Articles 11 through 22)</w:t>
      </w:r>
    </w:p>
    <w:p w:rsidR="00476FA7" w:rsidRDefault="00570D54">
      <w:pPr>
        <w:pStyle w:val="en5"/>
      </w:pPr>
      <w:r>
        <w:t>Chapter III Public Museums (Articles 23 through 28)</w:t>
      </w:r>
    </w:p>
    <w:p w:rsidR="00476FA7" w:rsidRDefault="00570D54">
      <w:pPr>
        <w:pStyle w:val="en5"/>
      </w:pPr>
      <w:r>
        <w:t xml:space="preserve">Chapter IV Private Museums </w:t>
      </w:r>
      <w:r>
        <w:t>(Articles 29 through 30)</w:t>
      </w:r>
    </w:p>
    <w:p w:rsidR="00476FA7" w:rsidRDefault="00570D54">
      <w:pPr>
        <w:pStyle w:val="en5"/>
      </w:pPr>
      <w:r>
        <w:t>Chapter V Facilities Equivalent to Museums (Article 31)</w:t>
      </w:r>
    </w:p>
    <w:p w:rsidR="00476FA7" w:rsidRDefault="00570D54">
      <w:pPr>
        <w:pStyle w:val="enc"/>
      </w:pPr>
      <w:r>
        <w:t>Supplementary Provisions</w:t>
      </w:r>
    </w:p>
    <w:p w:rsidR="00476FA7" w:rsidRDefault="00476FA7"/>
    <w:p w:rsidR="00476FA7" w:rsidRDefault="00570D54">
      <w:pPr>
        <w:pStyle w:val="en3"/>
      </w:pPr>
      <w:r>
        <w:t>Chapter I General Provisions</w:t>
      </w:r>
    </w:p>
    <w:p w:rsidR="00476FA7" w:rsidRDefault="00476FA7"/>
    <w:p w:rsidR="00476FA7" w:rsidRDefault="00570D54">
      <w:pPr>
        <w:pStyle w:val="ena"/>
      </w:pPr>
      <w:r>
        <w:t>(Purpose)</w:t>
      </w:r>
    </w:p>
    <w:p w:rsidR="00476FA7" w:rsidRDefault="00570D54">
      <w:pPr>
        <w:pStyle w:val="enf3"/>
      </w:pPr>
      <w:r>
        <w:t>Article 1  The purpose of this Act is to determine the necessary particulars concerning the establishment and</w:t>
      </w:r>
      <w:r>
        <w:t xml:space="preserve"> operations of museums, to promote their sound development, and thereby to contribute to the educational, academic, and cultural development of the nation, based on the spirit of the Social Education Act (Act No. 207 of 1949) and the Basic Act on Culture a</w:t>
      </w:r>
      <w:r>
        <w:t>nd the Arts (Act No. 148 of 2001).</w:t>
      </w:r>
    </w:p>
    <w:p w:rsidR="00476FA7" w:rsidRDefault="00476FA7"/>
    <w:p w:rsidR="00476FA7" w:rsidRDefault="00570D54">
      <w:pPr>
        <w:pStyle w:val="ena"/>
      </w:pPr>
      <w:r>
        <w:t>(Definitions)</w:t>
      </w:r>
    </w:p>
    <w:p w:rsidR="00476FA7" w:rsidRDefault="00570D54">
      <w:pPr>
        <w:pStyle w:val="enf3"/>
      </w:pPr>
      <w:r>
        <w:t>Article 2  (1) The term "museum" as used in this Act means an institution that, in addition to being accredited pursuant to the provisions of the following Chapter, collects, stores (including raising speci</w:t>
      </w:r>
      <w:r>
        <w:t>men; the same applies hereinafter), exhibits, and makes available to the general public, for the purpose of education, materials related to history, art, folklore, industry, natural science, etc., performs services necessary to facilitate public education,</w:t>
      </w:r>
      <w:r>
        <w:t xml:space="preserve"> research, and recreation, etc., and also conducts its own research and studies related to these materials (excluding community centers under the Social Education Act and libraries under the Library Act (Act No. 118 of 1950)).</w:t>
      </w:r>
    </w:p>
    <w:p w:rsidR="00476FA7" w:rsidRDefault="00570D54">
      <w:pPr>
        <w:pStyle w:val="enf4"/>
      </w:pPr>
      <w:r>
        <w:t xml:space="preserve">(2) The term "public museum" </w:t>
      </w:r>
      <w:r>
        <w:t>as used in this Act means a museum established by a local government or a local incorporated administrative agency (meaning a local incorporated administrative agency prescribed in Article 2, paragraph (1) of the Local Incorporated Administrative Agency Ac</w:t>
      </w:r>
      <w:r>
        <w:t>t (Act No. 118 of 2003); the same applies hereinafter).</w:t>
      </w:r>
    </w:p>
    <w:p w:rsidR="00476FA7" w:rsidRDefault="00570D54">
      <w:pPr>
        <w:pStyle w:val="enf4"/>
      </w:pPr>
      <w:r>
        <w:t>(3) The term "private museum" as used in this Act means a museum, other than a public museum.</w:t>
      </w:r>
    </w:p>
    <w:p w:rsidR="00476FA7" w:rsidRDefault="00570D54">
      <w:pPr>
        <w:pStyle w:val="enf4"/>
      </w:pPr>
      <w:r>
        <w:t xml:space="preserve">(4) The term "museum materials" as used in this Act means materials (including </w:t>
      </w:r>
      <w:r>
        <w:lastRenderedPageBreak/>
        <w:t>electronic or magnetic reco</w:t>
      </w:r>
      <w:r>
        <w:t>rds (meaning records made by electronic, magnetic, or other means that cannot be perceived by human senses); the same applies in item (iii) of paragraph (1) of the following Article) collected, stored, or exhibited by a museum.</w:t>
      </w:r>
    </w:p>
    <w:p w:rsidR="00476FA7" w:rsidRDefault="00476FA7"/>
    <w:p w:rsidR="00476FA7" w:rsidRDefault="00570D54">
      <w:pPr>
        <w:pStyle w:val="ena"/>
      </w:pPr>
      <w:r>
        <w:t>(Services of Museum)</w:t>
      </w:r>
    </w:p>
    <w:p w:rsidR="00476FA7" w:rsidRDefault="00570D54">
      <w:pPr>
        <w:pStyle w:val="enf3"/>
      </w:pPr>
      <w:r>
        <w:t>Articl</w:t>
      </w:r>
      <w:r>
        <w:t>e 3  (1) In order to achieve the purpose prescribed in paragraph (1) of the preceding Article, a museum generally engages in the following services:</w:t>
      </w:r>
    </w:p>
    <w:p w:rsidR="00476FA7" w:rsidRDefault="00570D54">
      <w:pPr>
        <w:pStyle w:val="enf6"/>
      </w:pPr>
      <w:r>
        <w:t>(i) collecting, storing, and exhibiting an abundant amount of museum materials, including originals, specim</w:t>
      </w:r>
      <w:r>
        <w:t>ens, reproductions, models, documents, charts, photographs, films, and records;</w:t>
      </w:r>
    </w:p>
    <w:p w:rsidR="00476FA7" w:rsidRDefault="00570D54">
      <w:pPr>
        <w:pStyle w:val="enf6"/>
      </w:pPr>
      <w:r>
        <w:t>(ii) establishing an annex or exhibiting museum material outside the museum;</w:t>
      </w:r>
    </w:p>
    <w:p w:rsidR="00476FA7" w:rsidRDefault="00570D54">
      <w:pPr>
        <w:pStyle w:val="enf6"/>
      </w:pPr>
      <w:r>
        <w:t xml:space="preserve">(iii) creating and making available to the public electronic or magnetic records related to </w:t>
      </w:r>
      <w:r>
        <w:t>museum materials;</w:t>
      </w:r>
    </w:p>
    <w:p w:rsidR="00476FA7" w:rsidRDefault="00570D54">
      <w:pPr>
        <w:pStyle w:val="enf6"/>
      </w:pPr>
      <w:r>
        <w:t>(iv) providing the general public with explanations, advice, or guidance, etc. necessary for using museum materials, or establishing and allowing the general public to use research rooms, laboratories, craft rooms or libraries, etc.;</w:t>
      </w:r>
    </w:p>
    <w:p w:rsidR="00476FA7" w:rsidRDefault="00570D54">
      <w:pPr>
        <w:pStyle w:val="enf6"/>
      </w:pPr>
      <w:r>
        <w:t xml:space="preserve">(v) </w:t>
      </w:r>
      <w:r>
        <w:t>conducting specialized and technical research and studies on museum materials;</w:t>
      </w:r>
    </w:p>
    <w:p w:rsidR="00476FA7" w:rsidRDefault="00570D54">
      <w:pPr>
        <w:pStyle w:val="enf6"/>
      </w:pPr>
      <w:r>
        <w:t>(vi) conducting technical research on the storage and exhibition of museum materials;</w:t>
      </w:r>
    </w:p>
    <w:p w:rsidR="00476FA7" w:rsidRDefault="00570D54">
      <w:pPr>
        <w:pStyle w:val="enf6"/>
      </w:pPr>
      <w:r>
        <w:t>(vii) preparing and distributing guides, explanatory manuals, catalogs, illustrated catalog</w:t>
      </w:r>
      <w:r>
        <w:t>s, annual reports, and reports on research and studies, etc., on museum materials;</w:t>
      </w:r>
    </w:p>
    <w:p w:rsidR="00476FA7" w:rsidRDefault="00570D54">
      <w:pPr>
        <w:pStyle w:val="enf6"/>
      </w:pPr>
      <w:r>
        <w:t>(viii) organizing and assisting in organizing, lectures, courses, showing of films, study groups, etc. related to museum materials;</w:t>
      </w:r>
    </w:p>
    <w:p w:rsidR="00476FA7" w:rsidRDefault="00570D54">
      <w:pPr>
        <w:pStyle w:val="enf6"/>
      </w:pPr>
      <w:r>
        <w:t>(ix) providing the general public with ac</w:t>
      </w:r>
      <w:r>
        <w:t>cess to cultural properties in or near the location of the museum to which the Act on Protection of Cultural Properties (Act No. 214 of 1950) applies, such as by preparing explanatory manuals or catalogs of those properties;</w:t>
      </w:r>
    </w:p>
    <w:p w:rsidR="00476FA7" w:rsidRDefault="00570D54">
      <w:pPr>
        <w:pStyle w:val="enf6"/>
      </w:pPr>
      <w:r>
        <w:t xml:space="preserve">(x) providing, and encouraging </w:t>
      </w:r>
      <w:r>
        <w:t>the provision of opportunities for educational activities and other activities that make use of the results of learning conducted through the use of social education learning opportunities;</w:t>
      </w:r>
    </w:p>
    <w:p w:rsidR="00476FA7" w:rsidRDefault="00570D54">
      <w:pPr>
        <w:pStyle w:val="enf6"/>
      </w:pPr>
      <w:r>
        <w:t>(xi) nurturing and training curators and other personnel engaged i</w:t>
      </w:r>
      <w:r>
        <w:t>n services of a museum; and</w:t>
      </w:r>
    </w:p>
    <w:p w:rsidR="00476FA7" w:rsidRDefault="00570D54">
      <w:pPr>
        <w:pStyle w:val="enf6"/>
      </w:pPr>
      <w:r>
        <w:t>(xii) cooperating with educational, academic, or cultural facilities such as schools, libraries, research institutes, and community centers, and supporting their activities.</w:t>
      </w:r>
    </w:p>
    <w:p w:rsidR="00476FA7" w:rsidRDefault="00570D54">
      <w:pPr>
        <w:pStyle w:val="enf4"/>
      </w:pPr>
      <w:r>
        <w:t>(2) In order to enhance the services set forth in each</w:t>
      </w:r>
      <w:r>
        <w:t xml:space="preserve"> item of the preceding paragraph, a museum is to endeavor to cooperate with other museums, </w:t>
      </w:r>
      <w:r>
        <w:lastRenderedPageBreak/>
        <w:t>designated facilities prescribed in Article 31, paragraph (2), and other similar facilities through the mutual lending of materials, exchanging of staff members, exc</w:t>
      </w:r>
      <w:r>
        <w:t>hanging of publications and information, and other activities, in a coordinated manner.</w:t>
      </w:r>
    </w:p>
    <w:p w:rsidR="00476FA7" w:rsidRDefault="00570D54">
      <w:pPr>
        <w:pStyle w:val="enf4"/>
      </w:pPr>
      <w:r>
        <w:t>(3) A museum is to use the results of the services set forth in each item of paragraph (1) and cooperate with local governments, schools, social education facilities an</w:t>
      </w:r>
      <w:r>
        <w:t>d other related organizations, and private organizations in a coordinated manner, promote educational, academic and cultural development, cultural tourism (meaning tourism aimed at deepening the understanding of culture through viewing of tangible or intan</w:t>
      </w:r>
      <w:r>
        <w:t>gible cultural products and other culture-related resources (hereinafter referred to as "cultural resources" in this paragraph), hands-on activities related to cultural resources, and other activities), and other activities in the region where the museum i</w:t>
      </w:r>
      <w:r>
        <w:t>s located, and thereby contribute to invigorating the region.</w:t>
      </w:r>
    </w:p>
    <w:p w:rsidR="00476FA7" w:rsidRDefault="00476FA7"/>
    <w:p w:rsidR="00476FA7" w:rsidRDefault="00570D54">
      <w:pPr>
        <w:pStyle w:val="ena"/>
      </w:pPr>
      <w:r>
        <w:t>(Directors, Curators, and Other Staff Members)</w:t>
      </w:r>
    </w:p>
    <w:p w:rsidR="00476FA7" w:rsidRDefault="00570D54">
      <w:pPr>
        <w:pStyle w:val="enf3"/>
      </w:pPr>
      <w:r>
        <w:t>Article 4  (1) A museum is to have a director.</w:t>
      </w:r>
    </w:p>
    <w:p w:rsidR="00476FA7" w:rsidRDefault="00570D54">
      <w:pPr>
        <w:pStyle w:val="enf4"/>
      </w:pPr>
      <w:r>
        <w:t xml:space="preserve">(2) A director administers the affairs of the museum, supervises the staff members, and strives to </w:t>
      </w:r>
      <w:r>
        <w:t>achieve the mission of the museum.</w:t>
      </w:r>
    </w:p>
    <w:p w:rsidR="00476FA7" w:rsidRDefault="00570D54">
      <w:pPr>
        <w:pStyle w:val="enf4"/>
      </w:pPr>
      <w:r>
        <w:t>(3) A museum is to have curators as professional staff members.</w:t>
      </w:r>
    </w:p>
    <w:p w:rsidR="00476FA7" w:rsidRDefault="00570D54">
      <w:pPr>
        <w:pStyle w:val="enf4"/>
      </w:pPr>
      <w:r>
        <w:t xml:space="preserve">(4) Curators are responsible for technical matters related to the collection, storage, exhibition, and investigative research of museum materials, and other </w:t>
      </w:r>
      <w:r>
        <w:t>related services.</w:t>
      </w:r>
    </w:p>
    <w:p w:rsidR="00476FA7" w:rsidRDefault="00570D54">
      <w:pPr>
        <w:pStyle w:val="enf4"/>
      </w:pPr>
      <w:r>
        <w:t>(5) In addition to a director and curators, a museum may have assistant curators and other staff members.</w:t>
      </w:r>
    </w:p>
    <w:p w:rsidR="00476FA7" w:rsidRDefault="00570D54">
      <w:pPr>
        <w:pStyle w:val="enf4"/>
      </w:pPr>
      <w:r>
        <w:t>(6) An assistant curator is to assist a curator with their duties.</w:t>
      </w:r>
    </w:p>
    <w:p w:rsidR="00476FA7" w:rsidRDefault="00476FA7"/>
    <w:p w:rsidR="00476FA7" w:rsidRDefault="00570D54">
      <w:pPr>
        <w:pStyle w:val="ena"/>
      </w:pPr>
      <w:r>
        <w:t>(Qualifications of a Curator)</w:t>
      </w:r>
    </w:p>
    <w:p w:rsidR="00476FA7" w:rsidRDefault="00570D54">
      <w:pPr>
        <w:pStyle w:val="enf3"/>
      </w:pPr>
      <w:r>
        <w:t xml:space="preserve">Article 5  (1) A person who falls </w:t>
      </w:r>
      <w:r>
        <w:t>under any of the following items is qualified to become a curator:</w:t>
      </w:r>
    </w:p>
    <w:p w:rsidR="00476FA7" w:rsidRDefault="00570D54">
      <w:pPr>
        <w:pStyle w:val="enf6"/>
      </w:pPr>
      <w:r>
        <w:t>(i) a person who holds a bachelor's degree (including degrees specified by the Minister of Education, Culture, Sports, Science and Technology provided for in Article 104, paragraph (2) of t</w:t>
      </w:r>
      <w:r>
        <w:t>he School Education Act (Act No. 26 of 1947) (limited to those conferred to graduates of professional universities)) and has earned credits at a university for museum-related subjects specified by Order of the Ministry of Education, Culture, Sports, Scienc</w:t>
      </w:r>
      <w:r>
        <w:t>e and Technology;</w:t>
      </w:r>
    </w:p>
    <w:p w:rsidR="00476FA7" w:rsidRDefault="00570D54">
      <w:pPr>
        <w:pStyle w:val="enf6"/>
      </w:pPr>
      <w:r>
        <w:t>(ii) a person who falls under any of the items of the following Article and has held the position of assistant curator for three years or more;</w:t>
      </w:r>
    </w:p>
    <w:p w:rsidR="00476FA7" w:rsidRDefault="00570D54">
      <w:pPr>
        <w:pStyle w:val="enf6"/>
      </w:pPr>
      <w:r>
        <w:t>(iii) a person recognized by the Minister of Education, Culture, Sports, Science and Technolog</w:t>
      </w:r>
      <w:r>
        <w:t>y as having academic ability and experience equivalent to or higher than the persons set forth in the preceding two items, pursuant to the provisions of Order of the Ministry of Education, Culture, Sports, Science and Technology.</w:t>
      </w:r>
    </w:p>
    <w:p w:rsidR="00476FA7" w:rsidRDefault="00570D54">
      <w:pPr>
        <w:pStyle w:val="enf4"/>
      </w:pPr>
      <w:r>
        <w:t>(2) The position of assist</w:t>
      </w:r>
      <w:r>
        <w:t>ant curator referred to in item (ii) of the preceding paragraph includes positions in public agencies, schools, or social education facilities (including facilities that conduct services similar to those of a museum), which are designated by the Minister o</w:t>
      </w:r>
      <w:r>
        <w:t>f Education, Culture, Sports, Science and Technology as positions equivalent to or higher than those of a social education supervisor, librarian, or other assistant curators.</w:t>
      </w:r>
    </w:p>
    <w:p w:rsidR="00476FA7" w:rsidRDefault="00476FA7"/>
    <w:p w:rsidR="00476FA7" w:rsidRDefault="00570D54">
      <w:pPr>
        <w:pStyle w:val="ena"/>
      </w:pPr>
      <w:r>
        <w:t>(Qualifications of an Assistant Curator)</w:t>
      </w:r>
    </w:p>
    <w:p w:rsidR="00476FA7" w:rsidRDefault="00570D54">
      <w:pPr>
        <w:pStyle w:val="enf3"/>
      </w:pPr>
      <w:r>
        <w:t xml:space="preserve">Article 6  A person who falls </w:t>
      </w:r>
      <w:r>
        <w:t>under any of the following items is qualified to become an assistant curator:</w:t>
      </w:r>
    </w:p>
    <w:p w:rsidR="00476FA7" w:rsidRDefault="00570D54">
      <w:pPr>
        <w:pStyle w:val="enf6"/>
      </w:pPr>
      <w:r>
        <w:t>(i) a person who holds a junior college bachelor's degree (including degrees specified by the Minister of Education, Culture, Sports, Science and Technology provided for in Artic</w:t>
      </w:r>
      <w:r>
        <w:t>le 104, paragraph (2) of the School Education Act (excluding those conferred to graduates of professional universities) and degrees specified by the Minister of Education, Culture, Sports, Science and Technology as prescribed in paragraph (6) of that Artic</w:t>
      </w:r>
      <w:r>
        <w:t>le) and has earned credits for museum-related subjects specified by Order of the Ministry of Education, Culture, Sports, Science and Technology under paragraph (1), item (i) of the preceding Article;</w:t>
      </w:r>
    </w:p>
    <w:p w:rsidR="00476FA7" w:rsidRDefault="00570D54">
      <w:pPr>
        <w:pStyle w:val="enf6"/>
      </w:pPr>
      <w:r>
        <w:t>(ii) a person specified by Order of the Ministry of Educ</w:t>
      </w:r>
      <w:r>
        <w:t>ation, Culture, Sports, Science and Technology as having academic ability and experience equivalent to or higher than the persons listed in the preceding item.</w:t>
      </w:r>
    </w:p>
    <w:p w:rsidR="00476FA7" w:rsidRDefault="00476FA7"/>
    <w:p w:rsidR="00476FA7" w:rsidRDefault="00570D54">
      <w:pPr>
        <w:pStyle w:val="ena"/>
      </w:pPr>
      <w:r>
        <w:t>(Training for Directors, Curators, and Assistant Curators)</w:t>
      </w:r>
    </w:p>
    <w:p w:rsidR="00476FA7" w:rsidRDefault="00570D54">
      <w:pPr>
        <w:pStyle w:val="enf3"/>
      </w:pPr>
      <w:r>
        <w:t xml:space="preserve">Article 7  The Minister of </w:t>
      </w:r>
      <w:r>
        <w:t>Education, Culture, Sports, Science and Technology and prefectural boards of education are to endeavor to provide directors, curators, assistant curators, and other staff members with the training necessary to improve their qualities.</w:t>
      </w:r>
    </w:p>
    <w:p w:rsidR="00476FA7" w:rsidRDefault="00476FA7"/>
    <w:p w:rsidR="00476FA7" w:rsidRDefault="00570D54">
      <w:pPr>
        <w:pStyle w:val="ena"/>
      </w:pPr>
      <w:r>
        <w:t>(Desirable Standards</w:t>
      </w:r>
      <w:r>
        <w:t xml:space="preserve"> for Establishment and Operations)</w:t>
      </w:r>
    </w:p>
    <w:p w:rsidR="00476FA7" w:rsidRDefault="00570D54">
      <w:pPr>
        <w:pStyle w:val="enf3"/>
      </w:pPr>
      <w:r>
        <w:t xml:space="preserve">Article 8  In order to promote the sound development of museums, the Minister of Education, Culture, Sports, Science and Technology is to specify and publicize the desirable standards for the establishment and operations </w:t>
      </w:r>
      <w:r>
        <w:t>of museums.</w:t>
      </w:r>
    </w:p>
    <w:p w:rsidR="00476FA7" w:rsidRDefault="00476FA7"/>
    <w:p w:rsidR="00476FA7" w:rsidRDefault="00570D54">
      <w:pPr>
        <w:pStyle w:val="ena"/>
      </w:pPr>
      <w:r>
        <w:t>(Evaluation of the Status of Operations)</w:t>
      </w:r>
    </w:p>
    <w:p w:rsidR="00476FA7" w:rsidRDefault="00570D54">
      <w:pPr>
        <w:pStyle w:val="enf3"/>
      </w:pPr>
      <w:r>
        <w:t>Article 9  A museum must evaluate the status of its operations, and endeavor to take necessary measures to improve the operations of the museum based on the results of the evaluation.</w:t>
      </w:r>
    </w:p>
    <w:p w:rsidR="00476FA7" w:rsidRDefault="00476FA7"/>
    <w:p w:rsidR="00476FA7" w:rsidRDefault="00570D54">
      <w:pPr>
        <w:pStyle w:val="ena"/>
      </w:pPr>
      <w:r>
        <w:t>(Provision of Inf</w:t>
      </w:r>
      <w:r>
        <w:t>ormation on the Status of Operations)</w:t>
      </w:r>
    </w:p>
    <w:p w:rsidR="00476FA7" w:rsidRDefault="00570D54">
      <w:pPr>
        <w:pStyle w:val="enf3"/>
      </w:pPr>
      <w:r>
        <w:t>Article 10  A museum must endeavor to actively provide information on the status of its operations in order to deepen the understanding of local residents and other persons concerned about the services of the museum an</w:t>
      </w:r>
      <w:r>
        <w:t>d to contribute to the promotion of coordination and cooperation with those persons.</w:t>
      </w:r>
    </w:p>
    <w:p w:rsidR="00476FA7" w:rsidRDefault="00476FA7"/>
    <w:p w:rsidR="00476FA7" w:rsidRDefault="00570D54">
      <w:pPr>
        <w:pStyle w:val="en3"/>
      </w:pPr>
      <w:r>
        <w:t>Chapter II Accreditation</w:t>
      </w:r>
    </w:p>
    <w:p w:rsidR="00476FA7" w:rsidRDefault="00476FA7"/>
    <w:p w:rsidR="00476FA7" w:rsidRDefault="00570D54">
      <w:pPr>
        <w:pStyle w:val="ena"/>
      </w:pPr>
      <w:r>
        <w:t>(Accreditation)</w:t>
      </w:r>
    </w:p>
    <w:p w:rsidR="00476FA7" w:rsidRDefault="00570D54">
      <w:pPr>
        <w:pStyle w:val="enf3"/>
      </w:pPr>
      <w:r>
        <w:t>Article 11  A person who seeks to establish a museum is to obtain accreditation for the museum from the board of education of th</w:t>
      </w:r>
      <w:r>
        <w:t>e prefecture where the museum is located (if the museum (excluding those established by the prefecture) is located within the area of a designated city (meaning a designated city prescribed in Article 252-19, paragraph (1) of the Local Autonomy Act (Act No</w:t>
      </w:r>
      <w:r>
        <w:t>. 67 of 1947); the same applies hereinafter), the board of education of the designated city; hereinafter the same applies excluding Article 31, paragraph (1), item (ii)).</w:t>
      </w:r>
    </w:p>
    <w:p w:rsidR="00476FA7" w:rsidRDefault="00476FA7"/>
    <w:p w:rsidR="00476FA7" w:rsidRDefault="00570D54">
      <w:pPr>
        <w:pStyle w:val="ena"/>
      </w:pPr>
      <w:r>
        <w:t>(Application for Accreditation)</w:t>
      </w:r>
    </w:p>
    <w:p w:rsidR="00476FA7" w:rsidRDefault="00570D54">
      <w:pPr>
        <w:pStyle w:val="enf3"/>
      </w:pPr>
      <w:r>
        <w:t>Article 12  (1) A person who seeks accreditation und</w:t>
      </w:r>
      <w:r>
        <w:t>er the preceding Article (hereinafter referred to as "accreditation") must submit a written application for accreditation stating the following particulars to the prefectural board of education, as specified by the prefectural board of education:</w:t>
      </w:r>
    </w:p>
    <w:p w:rsidR="00476FA7" w:rsidRDefault="00570D54">
      <w:pPr>
        <w:pStyle w:val="enf6"/>
      </w:pPr>
      <w:r>
        <w:t>(i) the n</w:t>
      </w:r>
      <w:r>
        <w:t>ame and address of the establisher of the museum who seeks accreditation;</w:t>
      </w:r>
    </w:p>
    <w:p w:rsidR="00476FA7" w:rsidRDefault="00570D54">
      <w:pPr>
        <w:pStyle w:val="enf6"/>
      </w:pPr>
      <w:r>
        <w:t>(ii) the name and address of the museum seeking accreditation; and</w:t>
      </w:r>
    </w:p>
    <w:p w:rsidR="00476FA7" w:rsidRDefault="00570D54">
      <w:pPr>
        <w:pStyle w:val="enf6"/>
      </w:pPr>
      <w:r>
        <w:t>(iii) other particulars specified by the prefectural board of education.</w:t>
      </w:r>
    </w:p>
    <w:p w:rsidR="00476FA7" w:rsidRDefault="00570D54">
      <w:pPr>
        <w:pStyle w:val="enf4"/>
      </w:pPr>
      <w:r>
        <w:t>(2) The following documents and drawings m</w:t>
      </w:r>
      <w:r>
        <w:t>ust be attached to the written application for accreditation referred to in the preceding paragraph:</w:t>
      </w:r>
    </w:p>
    <w:p w:rsidR="00476FA7" w:rsidRDefault="00570D54">
      <w:pPr>
        <w:pStyle w:val="enf6"/>
      </w:pPr>
      <w:r>
        <w:t xml:space="preserve">(i) a copy of the museum rules (meaning the rules of the museum which specify the purpose, opening days, operational structure, and other </w:t>
      </w:r>
      <w:r>
        <w:t>particulars necessary for operating the museum);</w:t>
      </w:r>
    </w:p>
    <w:p w:rsidR="00476FA7" w:rsidRDefault="00570D54">
      <w:pPr>
        <w:pStyle w:val="enf6"/>
      </w:pPr>
      <w:r>
        <w:t>(ii) documents certifying compliance with the standards set forth in each item of paragraph (1) of the following Article; and</w:t>
      </w:r>
    </w:p>
    <w:p w:rsidR="00476FA7" w:rsidRDefault="00570D54">
      <w:pPr>
        <w:pStyle w:val="enf6"/>
      </w:pPr>
      <w:r>
        <w:t>(iii) other documents specified by the prefectural board of education.</w:t>
      </w:r>
    </w:p>
    <w:p w:rsidR="00476FA7" w:rsidRDefault="00476FA7"/>
    <w:p w:rsidR="00476FA7" w:rsidRDefault="00570D54">
      <w:pPr>
        <w:pStyle w:val="ena"/>
      </w:pPr>
      <w:r>
        <w:t>(Investig</w:t>
      </w:r>
      <w:r>
        <w:t>ation for Accreditation)</w:t>
      </w:r>
    </w:p>
    <w:p w:rsidR="00476FA7" w:rsidRDefault="00570D54">
      <w:pPr>
        <w:pStyle w:val="enf3"/>
      </w:pPr>
      <w:r>
        <w:t>Article 13  (1) A prefectural board of education must grant accreditation to the museum when it finds that the museum related to the application for registration falls under all of the following items:</w:t>
      </w:r>
    </w:p>
    <w:p w:rsidR="00476FA7" w:rsidRDefault="00570D54">
      <w:pPr>
        <w:pStyle w:val="enf6"/>
      </w:pPr>
      <w:r>
        <w:t>(i) the establisher of the mu</w:t>
      </w:r>
      <w:r>
        <w:t>seum which the application concerns falls under any of the corporations set forth in (a) or (b) below:</w:t>
      </w:r>
    </w:p>
    <w:p w:rsidR="00476FA7" w:rsidRDefault="00570D54">
      <w:pPr>
        <w:pStyle w:val="enf9"/>
      </w:pPr>
      <w:r>
        <w:t>(a) local government or local incorporated administrative agency;</w:t>
      </w:r>
    </w:p>
    <w:p w:rsidR="00476FA7" w:rsidRDefault="00570D54">
      <w:pPr>
        <w:pStyle w:val="enf9"/>
      </w:pPr>
      <w:r>
        <w:t>(b) corporations that meet all of the following requirements (excluding corporations se</w:t>
      </w:r>
      <w:r>
        <w:t xml:space="preserve">t forth in (a) above, and the State and incorporated administrative agencies (meaning incorporated administrative agencies provided for in Article 2, paragraph (1) of the Act on General Rules for Incorporated Administrative Agencies (Act No. 103 of 1999); </w:t>
      </w:r>
      <w:r>
        <w:t>the same applies in Article 31, paragraphs (1) and (6)):</w:t>
      </w:r>
    </w:p>
    <w:p w:rsidR="00476FA7" w:rsidRDefault="00570D54">
      <w:pPr>
        <w:pStyle w:val="enfc"/>
      </w:pPr>
      <w:r>
        <w:t>1. the corporation has the financial basis necessary to operate the museum;</w:t>
      </w:r>
    </w:p>
    <w:p w:rsidR="00476FA7" w:rsidRDefault="00570D54">
      <w:pPr>
        <w:pStyle w:val="enfc"/>
      </w:pPr>
      <w:r>
        <w:t>2. the officer in charge of operating the museum which the application concerns has the knowledge or experience necessary t</w:t>
      </w:r>
      <w:r>
        <w:t>o operate the museum;</w:t>
      </w:r>
    </w:p>
    <w:p w:rsidR="00476FA7" w:rsidRDefault="00570D54">
      <w:pPr>
        <w:pStyle w:val="enfc"/>
      </w:pPr>
      <w:r>
        <w:t>3. the officer in charge of the operation of the museum which the application concerns has social credibility;</w:t>
      </w:r>
    </w:p>
    <w:p w:rsidR="00476FA7" w:rsidRDefault="00570D54">
      <w:pPr>
        <w:pStyle w:val="enf6"/>
      </w:pPr>
      <w:r>
        <w:t xml:space="preserve">(ii) the establisher of the museum which the application concerns is not a person whose accreditation was revoked pursuant </w:t>
      </w:r>
      <w:r>
        <w:t>to the provisions of Article 19, paragraph (1), and two years have not passed since the date of revocation;</w:t>
      </w:r>
    </w:p>
    <w:p w:rsidR="00476FA7" w:rsidRDefault="00570D54">
      <w:pPr>
        <w:pStyle w:val="enf6"/>
      </w:pPr>
      <w:r>
        <w:t>(iii) the system for collecting, storing, and exhibiting museum materials as well as conducting research and studies on museum materials conforms to</w:t>
      </w:r>
      <w:r>
        <w:t xml:space="preserve"> the standards specified by the prefectural board of education as necessary for conducting the services set forth in each item of Article 3, paragraph (1);</w:t>
      </w:r>
    </w:p>
    <w:p w:rsidR="00476FA7" w:rsidRDefault="00570D54">
      <w:pPr>
        <w:pStyle w:val="enf6"/>
      </w:pPr>
      <w:r>
        <w:t>(iv) the assignment of curators and other staff members conform to the standards specified by the pr</w:t>
      </w:r>
      <w:r>
        <w:t>efectural board of education as necessary for conducting the services set forth in each item of Article 3, paragraph (1);</w:t>
      </w:r>
    </w:p>
    <w:p w:rsidR="00476FA7" w:rsidRDefault="00570D54">
      <w:pPr>
        <w:pStyle w:val="enf6"/>
      </w:pPr>
      <w:r>
        <w:t xml:space="preserve">(v) the facilities and equipment conform to the standards specified by the prefectural board of education as necessary for performing </w:t>
      </w:r>
      <w:r>
        <w:t>the services set forth in each item of Article 3, paragraph (1);</w:t>
      </w:r>
    </w:p>
    <w:p w:rsidR="00476FA7" w:rsidRDefault="00570D54">
      <w:pPr>
        <w:pStyle w:val="enf6"/>
      </w:pPr>
      <w:r>
        <w:t>(vi) the museum is open at least 150 days a year.</w:t>
      </w:r>
    </w:p>
    <w:p w:rsidR="00476FA7" w:rsidRDefault="00570D54">
      <w:pPr>
        <w:pStyle w:val="enf4"/>
      </w:pPr>
      <w:r>
        <w:t>(2) In establishing the standards referred to in items (iii) through (v) of the preceding paragraph, prefectural boards of education are to t</w:t>
      </w:r>
      <w:r>
        <w:t>ake into consideration the standards specified by Order of the Ministry of Education, Culture, Sports, Science and Technology.</w:t>
      </w:r>
    </w:p>
    <w:p w:rsidR="00476FA7" w:rsidRDefault="00570D54">
      <w:pPr>
        <w:pStyle w:val="enf4"/>
      </w:pPr>
      <w:r>
        <w:t>(3) A prefectural board of education must obtain in advance the opinions of persons with relevant expertise concerning museums pr</w:t>
      </w:r>
      <w:r>
        <w:t>ior to granting accreditation.</w:t>
      </w:r>
    </w:p>
    <w:p w:rsidR="00476FA7" w:rsidRDefault="00476FA7"/>
    <w:p w:rsidR="00476FA7" w:rsidRDefault="00570D54">
      <w:pPr>
        <w:pStyle w:val="ena"/>
      </w:pPr>
      <w:r>
        <w:t>(Grant of Accreditation)</w:t>
      </w:r>
    </w:p>
    <w:p w:rsidR="00476FA7" w:rsidRDefault="00570D54">
      <w:pPr>
        <w:pStyle w:val="enf3"/>
      </w:pPr>
      <w:r>
        <w:t>Article 14  (1) The prefectural board of education grants accreditation by entering the following particulars in the museum accreditation register:</w:t>
      </w:r>
    </w:p>
    <w:p w:rsidR="00476FA7" w:rsidRDefault="00570D54">
      <w:pPr>
        <w:pStyle w:val="enf6"/>
      </w:pPr>
      <w:r>
        <w:t>(i) the particulars set forth in Article 12, paragr</w:t>
      </w:r>
      <w:r>
        <w:t>aph (1), items (i) and (ii);</w:t>
      </w:r>
    </w:p>
    <w:p w:rsidR="00476FA7" w:rsidRDefault="00570D54">
      <w:pPr>
        <w:pStyle w:val="enf6"/>
      </w:pPr>
      <w:r>
        <w:t>(ii) the date of accreditation.</w:t>
      </w:r>
    </w:p>
    <w:p w:rsidR="00476FA7" w:rsidRDefault="00570D54">
      <w:pPr>
        <w:pStyle w:val="enf4"/>
      </w:pPr>
      <w:r>
        <w:t>(2) When a prefectural board of education has granted accreditation, it must notify the person who has applied for the accreditation to that effect without delay, and also publicize the particula</w:t>
      </w:r>
      <w:r>
        <w:t>rs set forth in each item of the preceding paragraph via the internet or by other means.</w:t>
      </w:r>
    </w:p>
    <w:p w:rsidR="00476FA7" w:rsidRDefault="00476FA7"/>
    <w:p w:rsidR="00476FA7" w:rsidRDefault="00570D54">
      <w:pPr>
        <w:pStyle w:val="ena"/>
      </w:pPr>
      <w:r>
        <w:t>(Notification of Changes)</w:t>
      </w:r>
    </w:p>
    <w:p w:rsidR="00476FA7" w:rsidRDefault="00570D54">
      <w:pPr>
        <w:pStyle w:val="enf3"/>
      </w:pPr>
      <w:r>
        <w:t xml:space="preserve">Article 15  (1) When an establisher of a museum changes the particulars set forth in Article 12, paragraph (1), item (i) or (ii), they must </w:t>
      </w:r>
      <w:r>
        <w:t>notify the prefectural board of education to that effect in advance.</w:t>
      </w:r>
    </w:p>
    <w:p w:rsidR="00476FA7" w:rsidRDefault="00570D54">
      <w:pPr>
        <w:pStyle w:val="enf4"/>
      </w:pPr>
      <w:r>
        <w:t xml:space="preserve">(2) When a prefectural board of education has received a notification pursuant to the provisions of the preceding paragraph, it must register the changes in the registered </w:t>
      </w:r>
      <w:r>
        <w:t>particulars related to the notification and publicize the changes via the internet or by other means.</w:t>
      </w:r>
    </w:p>
    <w:p w:rsidR="00476FA7" w:rsidRDefault="00476FA7"/>
    <w:p w:rsidR="00476FA7" w:rsidRDefault="00570D54">
      <w:pPr>
        <w:pStyle w:val="ena"/>
      </w:pPr>
      <w:r>
        <w:t>(Periodic Reports to Prefectural Board of Education)</w:t>
      </w:r>
    </w:p>
    <w:p w:rsidR="00476FA7" w:rsidRDefault="00570D54">
      <w:pPr>
        <w:pStyle w:val="enf3"/>
      </w:pPr>
      <w:r>
        <w:t xml:space="preserve">Article 16  An establisher of a museum must periodically report the status of the operations of the </w:t>
      </w:r>
      <w:r>
        <w:t>museum concerned, as specified by the prefectural board of education.</w:t>
      </w:r>
    </w:p>
    <w:p w:rsidR="00476FA7" w:rsidRDefault="00476FA7"/>
    <w:p w:rsidR="00476FA7" w:rsidRDefault="00570D54">
      <w:pPr>
        <w:pStyle w:val="ena"/>
      </w:pPr>
      <w:r>
        <w:t>(Submission of Reports or Materials)</w:t>
      </w:r>
    </w:p>
    <w:p w:rsidR="00476FA7" w:rsidRDefault="00570D54">
      <w:pPr>
        <w:pStyle w:val="enf3"/>
      </w:pPr>
      <w:r>
        <w:t>Article 17  When a prefectural board of education finds it necessary to ensure the proper operation of a museum that has been granted accreditation,</w:t>
      </w:r>
      <w:r>
        <w:t xml:space="preserve"> it may request the establisher of the museum to submit reports or materials on the status of its operations.</w:t>
      </w:r>
    </w:p>
    <w:p w:rsidR="00476FA7" w:rsidRDefault="00476FA7"/>
    <w:p w:rsidR="00476FA7" w:rsidRDefault="00570D54">
      <w:pPr>
        <w:pStyle w:val="ena"/>
      </w:pPr>
      <w:r>
        <w:t>(Recommendations and Orders)</w:t>
      </w:r>
    </w:p>
    <w:p w:rsidR="00476FA7" w:rsidRDefault="00570D54">
      <w:pPr>
        <w:pStyle w:val="enf3"/>
      </w:pPr>
      <w:r>
        <w:t>Article 18  (1) When a prefectural board of education finds that a museum that has been granted accreditation no lon</w:t>
      </w:r>
      <w:r>
        <w:t>ger falls under any of the items of Article 13, paragraph (1), it may recommend the establisher of the museum to take necessary measures.</w:t>
      </w:r>
    </w:p>
    <w:p w:rsidR="00476FA7" w:rsidRDefault="00570D54">
      <w:pPr>
        <w:pStyle w:val="enf4"/>
      </w:pPr>
      <w:r>
        <w:t>(2) If an establisher of a museum that has received a recommendation under the preceding paragraph fails to take measu</w:t>
      </w:r>
      <w:r>
        <w:t>res related to the recommendation without legitimate grounds, the prefectural board of education may specify a deadline and order the establisher of the museum to take measures related to the recommendation.</w:t>
      </w:r>
    </w:p>
    <w:p w:rsidR="00476FA7" w:rsidRDefault="00570D54">
      <w:pPr>
        <w:pStyle w:val="enf4"/>
      </w:pPr>
      <w:r>
        <w:t xml:space="preserve">(3) The provisions of Article 13, </w:t>
      </w:r>
      <w:r>
        <w:t>paragraph (3) apply mutatis mutandis to a recommendation pursuant to the provisions of paragraph (1) and an order pursuant to the provisions of the preceding paragraph.</w:t>
      </w:r>
    </w:p>
    <w:p w:rsidR="00476FA7" w:rsidRDefault="00476FA7"/>
    <w:p w:rsidR="00476FA7" w:rsidRDefault="00570D54">
      <w:pPr>
        <w:pStyle w:val="ena"/>
      </w:pPr>
      <w:r>
        <w:t>(Revocation of Accreditation)</w:t>
      </w:r>
    </w:p>
    <w:p w:rsidR="00476FA7" w:rsidRDefault="00570D54">
      <w:pPr>
        <w:pStyle w:val="enf3"/>
      </w:pPr>
      <w:r>
        <w:t>Article 19  (1) A prefectural board of education may rev</w:t>
      </w:r>
      <w:r>
        <w:t>oke the accreditation of a museum if the establisher of a museum that has been granted accreditation falls under any of the following items:</w:t>
      </w:r>
    </w:p>
    <w:p w:rsidR="00476FA7" w:rsidRDefault="00570D54">
      <w:pPr>
        <w:pStyle w:val="enf6"/>
      </w:pPr>
      <w:r>
        <w:t>(i) when the establisher has obtained accreditation through deception or other wrongful means;</w:t>
      </w:r>
    </w:p>
    <w:p w:rsidR="00476FA7" w:rsidRDefault="00570D54">
      <w:pPr>
        <w:pStyle w:val="enf6"/>
      </w:pPr>
      <w:r>
        <w:t>(ii) when the establ</w:t>
      </w:r>
      <w:r>
        <w:t>isher has failed to provide notification under the provisions of Article 15, paragraph (1), or has given a false notification;</w:t>
      </w:r>
    </w:p>
    <w:p w:rsidR="00476FA7" w:rsidRDefault="00570D54">
      <w:pPr>
        <w:pStyle w:val="enf6"/>
      </w:pPr>
      <w:r>
        <w:t>(iii) when the establisher has violated the provisions of Article 16;</w:t>
      </w:r>
    </w:p>
    <w:p w:rsidR="00476FA7" w:rsidRDefault="00570D54">
      <w:pPr>
        <w:pStyle w:val="enf6"/>
      </w:pPr>
      <w:r>
        <w:t xml:space="preserve">(iv) when the establisher has failed to submit the reports </w:t>
      </w:r>
      <w:r>
        <w:t>or materials referred to in Article 17, or has submitted false reports or materials; or</w:t>
      </w:r>
    </w:p>
    <w:p w:rsidR="00476FA7" w:rsidRDefault="00570D54">
      <w:pPr>
        <w:pStyle w:val="enf6"/>
      </w:pPr>
      <w:r>
        <w:t>(v) when the establisher has violated an order issued under the provisions of paragraph (2) of the preceding Article.</w:t>
      </w:r>
    </w:p>
    <w:p w:rsidR="00476FA7" w:rsidRDefault="00570D54">
      <w:pPr>
        <w:pStyle w:val="enf4"/>
      </w:pPr>
      <w:r>
        <w:t>(2) The provisions of Article 13, paragraph (3) ap</w:t>
      </w:r>
      <w:r>
        <w:t>ply mutatis mutandis to the revocation of accreditation under the preceding paragraph.</w:t>
      </w:r>
    </w:p>
    <w:p w:rsidR="00476FA7" w:rsidRDefault="00570D54">
      <w:pPr>
        <w:pStyle w:val="enf4"/>
      </w:pPr>
      <w:r>
        <w:t>(3) When a prefectural board of education has revoked the accreditation pursuant to the provisions of paragraph (1), it must promptly notify the establisher of the museu</w:t>
      </w:r>
      <w:r>
        <w:t>m related to the accreditation to that effect as well as make a public announcement to that effect via the internet or by other means.</w:t>
      </w:r>
    </w:p>
    <w:p w:rsidR="00476FA7" w:rsidRDefault="00476FA7"/>
    <w:p w:rsidR="00476FA7" w:rsidRDefault="00570D54">
      <w:pPr>
        <w:pStyle w:val="ena"/>
      </w:pPr>
      <w:r>
        <w:t>(Closure of a Museum)</w:t>
      </w:r>
    </w:p>
    <w:p w:rsidR="00476FA7" w:rsidRDefault="00570D54">
      <w:pPr>
        <w:pStyle w:val="enf3"/>
      </w:pPr>
      <w:r>
        <w:t>Article 20  (1) When a museum is closed, the establisher of the museum must promptly notify the pr</w:t>
      </w:r>
      <w:r>
        <w:t>efectural board of education to that effect.</w:t>
      </w:r>
    </w:p>
    <w:p w:rsidR="00476FA7" w:rsidRDefault="00570D54">
      <w:pPr>
        <w:pStyle w:val="enf4"/>
      </w:pPr>
      <w:r>
        <w:t>(2) A prefectural board of education must, upon receiving notification under the provisions of the preceding paragraph, delete the accreditation of the museum which the notification concerns and publicize that f</w:t>
      </w:r>
      <w:r>
        <w:t>act via the internet or by other means.</w:t>
      </w:r>
    </w:p>
    <w:p w:rsidR="00476FA7" w:rsidRDefault="00476FA7"/>
    <w:p w:rsidR="00476FA7" w:rsidRDefault="00570D54">
      <w:pPr>
        <w:pStyle w:val="ena"/>
      </w:pPr>
      <w:r>
        <w:t>(Special Provisions for Museums Established by Prefectures or Designated Cities)</w:t>
      </w:r>
    </w:p>
    <w:p w:rsidR="00476FA7" w:rsidRDefault="00570D54">
      <w:pPr>
        <w:pStyle w:val="enf3"/>
      </w:pPr>
      <w:r>
        <w:t xml:space="preserve">Article 21  (1) The provisions of Article 15 paragraph (1), Articles 16 through 18 and paragraph (1) of the preceding Article do </w:t>
      </w:r>
      <w:r>
        <w:t>not apply to museums established by prefectures or designated cities.</w:t>
      </w:r>
    </w:p>
    <w:p w:rsidR="00476FA7" w:rsidRDefault="00570D54">
      <w:pPr>
        <w:pStyle w:val="enf4"/>
      </w:pPr>
      <w:r>
        <w:t xml:space="preserve">(2) With regard to the application of the provisions of Article 15, paragraph (2), Article 19, paragraphs (1) and (3), and paragraph (2) of the preceding Article to a museum established </w:t>
      </w:r>
      <w:r>
        <w:t>by a prefecture or a designated city, the phrase "upon receiving a notification under the provisions of the preceding paragraph, make a registration of the change in the registered particulars related to the notification" in Article 15, paragraph (2) is de</w:t>
      </w:r>
      <w:r>
        <w:t>emed to be replaced with "when there is a change in the particulars ser forth in Article 12, paragraph (1), item (i) or (ii) with regard to the museum to be established, register those changes"; the phrase "if the establisher of a museum that has been gran</w:t>
      </w:r>
      <w:r>
        <w:t xml:space="preserve">ted accreditation falls under any of the following items" in Article 19, paragraph (1) is deemed to be replaced with "if it is found that the museum to be established no longer falls under items (iii) through (vi) of Article 13, paragraph (1)"; the phrase </w:t>
      </w:r>
      <w:r>
        <w:t>"notify the establisher of the museum that has been granted the accreditation to that effect as well as make a public announcement to that effect" in Article 19, paragraph (3) is deemed to be replaced with "make a public announcement to that effect"; and t</w:t>
      </w:r>
      <w:r>
        <w:t>he phrase "upon receiving notification under the provisions of the preceding paragraph, delete the accreditation of the museum which the notification concerns" in paragraph (2) of the preceding Article is deemed to be replaced with "upon closing a museum i</w:t>
      </w:r>
      <w:r>
        <w:t>t has established, revoke the accreditation of the museum".</w:t>
      </w:r>
    </w:p>
    <w:p w:rsidR="00476FA7" w:rsidRDefault="00476FA7"/>
    <w:p w:rsidR="00476FA7" w:rsidRDefault="00570D54">
      <w:pPr>
        <w:pStyle w:val="ena"/>
      </w:pPr>
      <w:r>
        <w:t>(Delegation to Rules)</w:t>
      </w:r>
    </w:p>
    <w:p w:rsidR="00476FA7" w:rsidRDefault="00570D54">
      <w:pPr>
        <w:pStyle w:val="enf3"/>
      </w:pPr>
      <w:r>
        <w:t>Article 22  In addition to what is provided for in this Chapter, the particulars necessary for accreditation of museums are governed by the rules of the prefectural board of</w:t>
      </w:r>
      <w:r>
        <w:t xml:space="preserve"> education.</w:t>
      </w:r>
    </w:p>
    <w:p w:rsidR="00476FA7" w:rsidRDefault="00476FA7"/>
    <w:p w:rsidR="00476FA7" w:rsidRDefault="00570D54">
      <w:pPr>
        <w:pStyle w:val="en3"/>
      </w:pPr>
      <w:r>
        <w:t>Chapter III Public Museums</w:t>
      </w:r>
    </w:p>
    <w:p w:rsidR="00476FA7" w:rsidRDefault="00476FA7"/>
    <w:p w:rsidR="00476FA7" w:rsidRDefault="00570D54">
      <w:pPr>
        <w:pStyle w:val="ena"/>
      </w:pPr>
      <w:r>
        <w:t>(Museum Council)</w:t>
      </w:r>
    </w:p>
    <w:p w:rsidR="00476FA7" w:rsidRDefault="00570D54">
      <w:pPr>
        <w:pStyle w:val="enf3"/>
      </w:pPr>
      <w:r>
        <w:t>Article 23  (1) A public museum may establish a museum council.</w:t>
      </w:r>
    </w:p>
    <w:p w:rsidR="00476FA7" w:rsidRDefault="00570D54">
      <w:pPr>
        <w:pStyle w:val="enf4"/>
      </w:pPr>
      <w:r>
        <w:t>(2) A museum council is an organ that responds to consultations from the director of a museum on the operation of the museum, and stat</w:t>
      </w:r>
      <w:r>
        <w:t>es its opinions to the director.</w:t>
      </w:r>
    </w:p>
    <w:p w:rsidR="00476FA7" w:rsidRDefault="00476FA7"/>
    <w:p w:rsidR="00476FA7" w:rsidRDefault="00570D54">
      <w:pPr>
        <w:pStyle w:val="enf3"/>
      </w:pPr>
      <w:r>
        <w:t>Article 24  For a museum established by a local government, members of a museum council are appointed by the board of education of the local government that establishes the museum concerned (or the head of the local govern</w:t>
      </w:r>
      <w:r>
        <w:t>ment when the head of the local government is to manage and execute the affairs concerning the establishment, management and closure of the museum pursuant to the provisions of the ordinance under Article 23, paragraph (1) of the Act on Organization and Ma</w:t>
      </w:r>
      <w:r>
        <w:t>nagement of Local Education Administration (Act No. 162 of 1956)), and by the president of the local incorporated administrative agency for a museum established by a local incorporated administrative agency.</w:t>
      </w:r>
    </w:p>
    <w:p w:rsidR="00476FA7" w:rsidRDefault="00476FA7"/>
    <w:p w:rsidR="00476FA7" w:rsidRDefault="00570D54">
      <w:pPr>
        <w:pStyle w:val="enf3"/>
      </w:pPr>
      <w:r>
        <w:t>Article 25  The establishment of a museum counc</w:t>
      </w:r>
      <w:r>
        <w:t>il, the criteria for appointing its members, the fixed number of members and the term of office, and other necessary particulars concerning the museum council must be governed by the ordinance of the local government establishing the museum for a museum es</w:t>
      </w:r>
      <w:r>
        <w:t>tablished by a local government, and by the regulations of the local incorporated administrative agency for a museum established by a local incorporated administrative agency. In such a case, the criteria specified by Order of the Ministry of Education, Cu</w:t>
      </w:r>
      <w:r>
        <w:t>lture, Sports, Science and Technology is to be taken into consideration when establishing the criteria for the appointment of council members.</w:t>
      </w:r>
    </w:p>
    <w:p w:rsidR="00476FA7" w:rsidRDefault="00476FA7"/>
    <w:p w:rsidR="00476FA7" w:rsidRDefault="00570D54">
      <w:pPr>
        <w:pStyle w:val="ena"/>
      </w:pPr>
      <w:r>
        <w:t>(Admission Fees)</w:t>
      </w:r>
    </w:p>
    <w:p w:rsidR="00476FA7" w:rsidRDefault="00570D54">
      <w:pPr>
        <w:pStyle w:val="enf3"/>
      </w:pPr>
      <w:r>
        <w:t>Article 26  A public museum may not collect admission fees or any other compensation for the us</w:t>
      </w:r>
      <w:r>
        <w:t>e of museum materials; provided, however, in case of unavoidable circumstances for the maintenance and operation of the museum, necessary compensation may be collected.</w:t>
      </w:r>
    </w:p>
    <w:p w:rsidR="00476FA7" w:rsidRDefault="00476FA7"/>
    <w:p w:rsidR="00476FA7" w:rsidRDefault="00570D54">
      <w:pPr>
        <w:pStyle w:val="ena"/>
      </w:pPr>
      <w:r>
        <w:t>(Museum Subsidies)</w:t>
      </w:r>
    </w:p>
    <w:p w:rsidR="00476FA7" w:rsidRDefault="00570D54">
      <w:pPr>
        <w:pStyle w:val="enf3"/>
      </w:pPr>
      <w:r>
        <w:t>Article 27  (1) The national government within the scope of its bud</w:t>
      </w:r>
      <w:r>
        <w:t>get, may assist local governments or local incorporated administrative agencies that establish museums by subsidizing a part of the expenses required for museum facilities and equipment and other necessary expenses.</w:t>
      </w:r>
    </w:p>
    <w:p w:rsidR="00476FA7" w:rsidRDefault="00570D54">
      <w:pPr>
        <w:pStyle w:val="enf4"/>
      </w:pPr>
      <w:r>
        <w:t>(2) The particulars necessary for the gr</w:t>
      </w:r>
      <w:r>
        <w:t>ant of subsidies under the preceding paragraph are specified by Cabinet Order.</w:t>
      </w:r>
    </w:p>
    <w:p w:rsidR="00476FA7" w:rsidRDefault="00476FA7"/>
    <w:p w:rsidR="00476FA7" w:rsidRDefault="00570D54">
      <w:pPr>
        <w:pStyle w:val="ena"/>
      </w:pPr>
      <w:r>
        <w:t>(Suspension of Grant of Subsidies and Return of Subsidies)</w:t>
      </w:r>
    </w:p>
    <w:p w:rsidR="00476FA7" w:rsidRDefault="00570D54">
      <w:pPr>
        <w:pStyle w:val="enf3"/>
      </w:pPr>
      <w:r>
        <w:t>Article 28  If the national government has granted subsidies to a local government or local incorporated administrati</w:t>
      </w:r>
      <w:r>
        <w:t>ve agency establishing a museum pursuant to the provisions of the preceding Article and any of the following items apply, the national government must not grant subsequent subsidies for the relevant fiscal year, and must have the local government or the lo</w:t>
      </w:r>
      <w:r>
        <w:t>cal incorporated administrative agency return the subsidies already granted when the reason for the revocation under item (i) is that Article 19, paragraph (1), item (i) applies to the local government or the local administrative agency, and return the sub</w:t>
      </w:r>
      <w:r>
        <w:t>sidies already granted for the relevant fiscal year when item (iii) or (iv) of that paragraph applies to the local government or the local incorporated administrative agency:</w:t>
      </w:r>
    </w:p>
    <w:p w:rsidR="00476FA7" w:rsidRDefault="00570D54">
      <w:pPr>
        <w:pStyle w:val="enf6"/>
      </w:pPr>
      <w:r>
        <w:t>(i) when the accreditation of the museum has been revoked pursuant to the provisi</w:t>
      </w:r>
      <w:r>
        <w:t>ons of Article 19, paragraph (1);</w:t>
      </w:r>
    </w:p>
    <w:p w:rsidR="00476FA7" w:rsidRDefault="00570D54">
      <w:pPr>
        <w:pStyle w:val="enf6"/>
      </w:pPr>
      <w:r>
        <w:t>(ii) when the local government or the local incorporated administrative agency closes the museum;</w:t>
      </w:r>
    </w:p>
    <w:p w:rsidR="00476FA7" w:rsidRDefault="00570D54">
      <w:pPr>
        <w:pStyle w:val="enf6"/>
      </w:pPr>
      <w:r>
        <w:t xml:space="preserve">(iii) when the local government or the local incorporated administrative agency has violated the conditions of the grant of </w:t>
      </w:r>
      <w:r>
        <w:t>the subsidy; or</w:t>
      </w:r>
    </w:p>
    <w:p w:rsidR="00476FA7" w:rsidRDefault="00570D54">
      <w:pPr>
        <w:pStyle w:val="enf6"/>
      </w:pPr>
      <w:r>
        <w:t>(iv) when the local government or the local incorporated administrative agency has received a subsidy by fraudulent means.</w:t>
      </w:r>
    </w:p>
    <w:p w:rsidR="00476FA7" w:rsidRDefault="00476FA7"/>
    <w:p w:rsidR="00476FA7" w:rsidRDefault="00570D54">
      <w:pPr>
        <w:pStyle w:val="en3"/>
      </w:pPr>
      <w:r>
        <w:t>Chapter IV Private Museums</w:t>
      </w:r>
    </w:p>
    <w:p w:rsidR="00476FA7" w:rsidRDefault="00476FA7"/>
    <w:p w:rsidR="00476FA7" w:rsidRDefault="00570D54">
      <w:pPr>
        <w:pStyle w:val="ena"/>
      </w:pPr>
      <w:r>
        <w:t>(Relationship with Prefectural Boards of Education)</w:t>
      </w:r>
    </w:p>
    <w:p w:rsidR="00476FA7" w:rsidRDefault="00570D54">
      <w:pPr>
        <w:pStyle w:val="enf3"/>
      </w:pPr>
      <w:r>
        <w:t xml:space="preserve">Article 29  (1) A </w:t>
      </w:r>
      <w:r>
        <w:t>prefectural board of education may request a private museum to make reports necessary for the purpose of preparing instructional materials and conducting research and studies concerning museums.</w:t>
      </w:r>
    </w:p>
    <w:p w:rsidR="00476FA7" w:rsidRDefault="00570D54">
      <w:pPr>
        <w:pStyle w:val="enf4"/>
      </w:pPr>
      <w:r>
        <w:t>(2) Upon request, a prefectural board of education may provid</w:t>
      </w:r>
      <w:r>
        <w:t>e a private museum with professional and technical guidance or advice regarding the establishment and operation of the museum.</w:t>
      </w:r>
    </w:p>
    <w:p w:rsidR="00476FA7" w:rsidRDefault="00476FA7"/>
    <w:p w:rsidR="00476FA7" w:rsidRDefault="00570D54">
      <w:pPr>
        <w:pStyle w:val="ena"/>
      </w:pPr>
      <w:r>
        <w:t>(Relationship with the State and Local Governments)</w:t>
      </w:r>
    </w:p>
    <w:p w:rsidR="00476FA7" w:rsidRDefault="00570D54">
      <w:pPr>
        <w:pStyle w:val="enf3"/>
      </w:pPr>
      <w:r>
        <w:t>Article 30  Upon request, the State and local governments may provide a priv</w:t>
      </w:r>
      <w:r>
        <w:t>ate museum with assistance in securing necessary materials.</w:t>
      </w:r>
    </w:p>
    <w:p w:rsidR="00476FA7" w:rsidRDefault="00476FA7"/>
    <w:p w:rsidR="00476FA7" w:rsidRDefault="00570D54">
      <w:pPr>
        <w:pStyle w:val="en3"/>
      </w:pPr>
      <w:r>
        <w:t>Chapter V Facilities Equivalent to Museums</w:t>
      </w:r>
    </w:p>
    <w:p w:rsidR="00476FA7" w:rsidRDefault="00476FA7"/>
    <w:p w:rsidR="00476FA7" w:rsidRDefault="00570D54">
      <w:pPr>
        <w:pStyle w:val="enf3"/>
      </w:pPr>
      <w:r>
        <w:t xml:space="preserve">Article 31  (1) A person set forth in any of the following items may designate a facility that engages in services similar to those of a museum, which </w:t>
      </w:r>
      <w:r>
        <w:t>is specified in the relevant item, as a facility equivalent to a museum, pursuant to the provisions of Order of the Ministry of Education, Culture, Sports, Science and Technology:</w:t>
      </w:r>
    </w:p>
    <w:p w:rsidR="00476FA7" w:rsidRDefault="00570D54">
      <w:pPr>
        <w:pStyle w:val="enf6"/>
      </w:pPr>
      <w:r>
        <w:t>(i) Minister of Education, Culture, Sports, Science and Technology: the faci</w:t>
      </w:r>
      <w:r>
        <w:t>lities established by the State or an incorporated administrative agency;</w:t>
      </w:r>
    </w:p>
    <w:p w:rsidR="00476FA7" w:rsidRDefault="00570D54">
      <w:pPr>
        <w:pStyle w:val="enf6"/>
      </w:pPr>
      <w:r>
        <w:t xml:space="preserve">(ii) a prefectural board of education: the facilities established by a person other than the State or an incorporated administrative agency, which are located within the area of the </w:t>
      </w:r>
      <w:r>
        <w:t>prefecture concerned (excluding those located within the area of a designated city (excluding those established by a prefecture));</w:t>
      </w:r>
    </w:p>
    <w:p w:rsidR="00476FA7" w:rsidRDefault="00570D54">
      <w:pPr>
        <w:pStyle w:val="enf6"/>
      </w:pPr>
      <w:r>
        <w:t>(iii) a board of education of a designated city: the facilities established by a person other than the State, an incorporated</w:t>
      </w:r>
      <w:r>
        <w:t xml:space="preserve"> administrative agency, or a prefecture, which are located within the area of the designated city.</w:t>
      </w:r>
    </w:p>
    <w:p w:rsidR="00476FA7" w:rsidRDefault="00570D54">
      <w:pPr>
        <w:pStyle w:val="enf4"/>
      </w:pPr>
      <w:r>
        <w:t>(2) When a person who has made a designation under the provisions of the preceding paragraph finds that the facility they have designated (hereinafter referr</w:t>
      </w:r>
      <w:r>
        <w:t>ed to as "designated facilities" in this Article) no longer falls under a facility that performs services similar to those of a museum or falls under other reasons prescribed by Order of the Ministry of Education, Culture, Sports Science and Technology, th</w:t>
      </w:r>
      <w:r>
        <w:t>e person may revoke the designation under the provisions of the preceding paragraph of the designated facilities, pursuant to the provisions of Order of the Ministry of Education, Culture, Sports, Science and Technology.</w:t>
      </w:r>
    </w:p>
    <w:p w:rsidR="00476FA7" w:rsidRDefault="00570D54">
      <w:pPr>
        <w:pStyle w:val="enf4"/>
      </w:pPr>
      <w:r>
        <w:t>(3) A person who has made a designa</w:t>
      </w:r>
      <w:r>
        <w:t>tion under the provisions of paragraph (1) must, upon having made the designation or having revoked the designation under the provisions of the preceding paragraph, make a public announcement to that effect via the internet or by other means.</w:t>
      </w:r>
    </w:p>
    <w:p w:rsidR="00476FA7" w:rsidRDefault="00570D54">
      <w:pPr>
        <w:pStyle w:val="enf4"/>
      </w:pPr>
      <w:r>
        <w:t xml:space="preserve">(4) A person </w:t>
      </w:r>
      <w:r>
        <w:t>who has made a designation under the provisions of paragraph (1) may, upon request, provide the establisher of the designated facilities with expert and technical guidance or advice on the operation of the designated museum.</w:t>
      </w:r>
    </w:p>
    <w:p w:rsidR="00476FA7" w:rsidRDefault="00570D54">
      <w:pPr>
        <w:pStyle w:val="enf4"/>
      </w:pPr>
      <w:r>
        <w:t>(5) In performing its services,</w:t>
      </w:r>
      <w:r>
        <w:t xml:space="preserve"> a designated facility is to endeavor to cooperate and with museums, other designated facilities, local governments, schools, social education facilities, and other related organizations and private organizations in a coordinated manner, taking into accoun</w:t>
      </w:r>
      <w:r>
        <w:t>t of the purpose of the provisions of Article 3, paragraph (2) and (3).</w:t>
      </w:r>
    </w:p>
    <w:p w:rsidR="00476FA7" w:rsidRDefault="00570D54">
      <w:pPr>
        <w:pStyle w:val="enf4"/>
      </w:pPr>
      <w:r>
        <w:t xml:space="preserve">(6) A designated facility established by the State or an incorporated administrative agency is to endeavor to provide necessary cooperation, such as lending materials for public use </w:t>
      </w:r>
      <w:r>
        <w:t>at museums and other designated facilities, and providing training for staff members, in order to enhance the services of museums and other designated facilities.</w:t>
      </w:r>
    </w:p>
    <w:p w:rsidR="00476FA7" w:rsidRDefault="00476FA7"/>
    <w:p w:rsidR="00476FA7" w:rsidRDefault="00570D54">
      <w:pPr>
        <w:pStyle w:val="en2"/>
      </w:pPr>
      <w:r>
        <w:t>Supplementary Provisions</w:t>
      </w:r>
    </w:p>
    <w:p w:rsidR="00476FA7" w:rsidRDefault="00476FA7"/>
    <w:p w:rsidR="00476FA7" w:rsidRDefault="00570D54">
      <w:pPr>
        <w:pStyle w:val="enf5"/>
      </w:pPr>
      <w:r>
        <w:t>This Act comes into effect as of the day on which three months hav</w:t>
      </w:r>
      <w:r>
        <w:t>e elapsed from the date of promulgation.</w:t>
      </w:r>
    </w:p>
    <w:p w:rsidR="00476FA7" w:rsidRDefault="00476FA7"/>
    <w:p w:rsidR="00476FA7" w:rsidRDefault="00570D54">
      <w:pPr>
        <w:pStyle w:val="en2"/>
      </w:pPr>
      <w:r>
        <w:t>Supplementary Provisions  [Act No. 24 of April 15, 2022]  [Extract]</w:t>
      </w:r>
    </w:p>
    <w:p w:rsidR="00476FA7" w:rsidRDefault="00476FA7"/>
    <w:p w:rsidR="00476FA7" w:rsidRDefault="00570D54">
      <w:pPr>
        <w:pStyle w:val="ena"/>
      </w:pPr>
      <w:r>
        <w:t>(Effective Date)</w:t>
      </w:r>
    </w:p>
    <w:p w:rsidR="00476FA7" w:rsidRDefault="00570D54">
      <w:pPr>
        <w:pStyle w:val="enf3"/>
      </w:pPr>
      <w:r>
        <w:t xml:space="preserve">Article 1  This Act comes into effect as of April 1, 2023; provided, however, that the provisions of Article 3 of the </w:t>
      </w:r>
      <w:r>
        <w:t>Supplementary Provisions come into effect as of the date of promulgation.</w:t>
      </w:r>
    </w:p>
    <w:p w:rsidR="00476FA7" w:rsidRDefault="00476FA7"/>
    <w:p w:rsidR="00476FA7" w:rsidRDefault="00570D54">
      <w:pPr>
        <w:pStyle w:val="ena"/>
      </w:pPr>
      <w:r>
        <w:t>(Transitional Measures)</w:t>
      </w:r>
    </w:p>
    <w:p w:rsidR="00476FA7" w:rsidRDefault="00570D54">
      <w:pPr>
        <w:pStyle w:val="enf3"/>
      </w:pPr>
      <w:r>
        <w:t>Article 2  (1) A person who is qualified to be a curator at the time of enforcement of this Act is deemed to be qualified to be a curator prescribed in Artic</w:t>
      </w:r>
      <w:r>
        <w:t>le 5 of the Museum Act as amended by this Act (hereinafter referred to as the "new Museum Act" in this Article).</w:t>
      </w:r>
    </w:p>
    <w:p w:rsidR="00476FA7" w:rsidRDefault="00570D54">
      <w:pPr>
        <w:pStyle w:val="enf4"/>
      </w:pPr>
      <w:r>
        <w:t xml:space="preserve">(2) Notwithstanding the provisions of Article 6 of the new Museum Act, a person who holds the position of assistant curator at a museum on the </w:t>
      </w:r>
      <w:r>
        <w:t>day on which this Act comes into effect may continue to hold the same position as a person qualified to be an assistant curator at the museum after the date this Act comes into effect (hereinafter referred to as the "date of enforcement" in the following p</w:t>
      </w:r>
      <w:r>
        <w:t>aragraph and paragraph (4)).</w:t>
      </w:r>
    </w:p>
    <w:p w:rsidR="00476FA7" w:rsidRDefault="00570D54">
      <w:pPr>
        <w:pStyle w:val="enf4"/>
      </w:pPr>
      <w:r>
        <w:t xml:space="preserve">(3) Prior laws continue to govern the provisions with respect to an application for accreditation under Article 11 of the Museum Act prior to the amendment by this Act (hereinafter referred to as the "former Museum Act" in the </w:t>
      </w:r>
      <w:r>
        <w:t>following paragraph and paragraph (6)) that was filed prior to the date of enforcement, and for which a disposition as to whether or not grant accreditation to the museum has not been made at the time this Act comes into effect.</w:t>
      </w:r>
    </w:p>
    <w:p w:rsidR="00476FA7" w:rsidRDefault="00570D54">
      <w:pPr>
        <w:pStyle w:val="enf4"/>
      </w:pPr>
      <w:r>
        <w:t>(4) Museums which have been</w:t>
      </w:r>
      <w:r>
        <w:t xml:space="preserve"> granted accreditation under Article 10 of the former Museum Act at the time this Act comes into effect, or which are to be granted accreditation after the date this Act comes into effect under that Article to which prior laws continue to govern pursuant t</w:t>
      </w:r>
      <w:r>
        <w:t>o the provisions of the preceding paragraph, are deemed to have been granted accreditation under Article 11 of the new Museum Act for the period until the day on which five years have elapsed from the date of enforcement. If the establisher of the museum c</w:t>
      </w:r>
      <w:r>
        <w:t>oncerned files an application for accreditation under that Article within the same period, and that period has elapsed, the same applies until the day on which a disposition is made as to whether or not grant accreditation to the application.</w:t>
      </w:r>
    </w:p>
    <w:p w:rsidR="00476FA7" w:rsidRDefault="00570D54">
      <w:pPr>
        <w:pStyle w:val="enf4"/>
      </w:pPr>
      <w:r>
        <w:t>(5) With rega</w:t>
      </w:r>
      <w:r>
        <w:t xml:space="preserve">rd to the application of the provisions of Article 18, paragraph (1) and Article 21, paragraph (2) of the new Museum Act to a museum that is deemed to have been granted accreditation under Article 11 of the new Museum Act pursuant to the provisions of the </w:t>
      </w:r>
      <w:r>
        <w:t>preceding paragraph, until the museum is granted accreditation under that Article, the phrase "any of the items of Article 13, paragraph (1)" in Article 18, paragraph (1) of the new Museum Act and the phrase "items (iii) through (vi) of Article 13, paragra</w:t>
      </w:r>
      <w:r>
        <w:t>ph (1)" in Article 21, paragraph (2) of the new Museum Act, are replaced with "any of the items of Article 12 before the amendment by the Act for Partial Amendment of the Museum Act (Act No. 24 of 2022)".</w:t>
      </w:r>
    </w:p>
    <w:p w:rsidR="00476FA7" w:rsidRDefault="00570D54">
      <w:pPr>
        <w:pStyle w:val="enf4"/>
      </w:pPr>
      <w:r>
        <w:t>(6) A facility that has been designated under Artic</w:t>
      </w:r>
      <w:r>
        <w:t>le 29 of the former Museum Act at the time this Act comes into effect is deemed to have been designated under Article 31, paragraph (1) of the new Museum Act.</w:t>
      </w:r>
    </w:p>
    <w:p w:rsidR="00476FA7" w:rsidRDefault="00476FA7"/>
    <w:p w:rsidR="00476FA7" w:rsidRDefault="00570D54">
      <w:pPr>
        <w:pStyle w:val="ena"/>
      </w:pPr>
      <w:r>
        <w:t>(Delegation to Cabinet Order)</w:t>
      </w:r>
    </w:p>
    <w:p w:rsidR="00476FA7" w:rsidRDefault="00570D54">
      <w:pPr>
        <w:pStyle w:val="enf3"/>
      </w:pPr>
      <w:r>
        <w:t>Article 3  In addition to what is provided for in the preceding Ar</w:t>
      </w:r>
      <w:r>
        <w:t>ticle, transitional measures necessary for the enforcement of this Act are specified by Cabinet Order.</w:t>
      </w:r>
    </w:p>
    <w:p w:rsidR="00476FA7" w:rsidRDefault="00476FA7"/>
    <w:p w:rsidR="00476FA7" w:rsidRDefault="00570D54">
      <w:pPr>
        <w:pStyle w:val="ena"/>
      </w:pPr>
      <w:r>
        <w:t>(Partial Amendment of the Act on Special Measures Concerning Taxation)</w:t>
      </w:r>
    </w:p>
    <w:p w:rsidR="00476FA7" w:rsidRDefault="00570D54">
      <w:pPr>
        <w:pStyle w:val="enf3"/>
      </w:pPr>
      <w:r>
        <w:t>Article 4  The Act on Special Measures Concerning Taxation (Act No. 26 of 1957) i</w:t>
      </w:r>
      <w:r>
        <w:t>s partially amended as follows:</w:t>
      </w:r>
    </w:p>
    <w:p w:rsidR="00476FA7" w:rsidRDefault="00570D54">
      <w:pPr>
        <w:pStyle w:val="enff6"/>
      </w:pPr>
      <w:r>
        <w:t>The phrase "facilities designated as facilities equivalent to museums pursuant to the provisions of Article 29" in Article 70-6-7, paragraph (2), item (v) is replaced with "designated facilities prescribed in Article 31, par</w:t>
      </w:r>
      <w:r>
        <w:t>agraph (2)," and the provisions of Article 70-6-7, paragraph (3), item (vii) are replaced as follows:</w:t>
      </w:r>
    </w:p>
    <w:p w:rsidR="00476FA7" w:rsidRDefault="00570D54">
      <w:pPr>
        <w:pStyle w:val="enf6"/>
        <w:ind w:left="659"/>
      </w:pPr>
      <w:r>
        <w:t>(vii) with regard to depositary art museums, when the accreditation under Article 11 of the Museum Act has been revoked pursuant to the provisions of Arti</w:t>
      </w:r>
      <w:r>
        <w:t xml:space="preserve">cle 19, paragraph (1) of that Act or has been deleted pursuant to the provisions of Article 20, paragraph (2) of that Act, or when the designation under the provisions of Article 31, paragraph (1) of that Act has been revoked pursuant to the provisions of </w:t>
      </w:r>
      <w:r>
        <w:t>Article 20, paragraph (2) of that Act: the date on which these events occurred.</w:t>
      </w:r>
    </w:p>
    <w:p w:rsidR="00476FA7" w:rsidRDefault="00570D54">
      <w:pPr>
        <w:pStyle w:val="enff6"/>
      </w:pPr>
      <w:r>
        <w:t>The phrase "the date of revocation or deletion or the occurrence of any event specified in that item" in Article 70-6-7, paragraph (5) is replaced with "the date specified in t</w:t>
      </w:r>
      <w:r>
        <w:t>hat item", the phrase "revocation or deletion of the accreditation set forth in paragraph (3), item (vii), or any event specified in that item, is deemed not to have occurred" in item (i) of that paragraph is replaced with "the events specified in paragrap</w:t>
      </w:r>
      <w:r>
        <w:t xml:space="preserve">h (3), item (vii)", the phrase "the date of revocation or deletion or the date on which the event occurred" and the phrase "cases, referred to in paragraph (3), item (vii), in which accreditation is revoked or deleted, or cases in which an event specified </w:t>
      </w:r>
      <w:r>
        <w:t>by Ministry of Finance Order referred to in that item has occurred" in item (ii) of that paragraph are replaced with "the date specified in paragraph (3), item (vii)" and "cases in which an event listed in that item has occurred," respectively, and the phr</w:t>
      </w:r>
      <w:r>
        <w:t>ase "the date of the revocation or deletion, or the date on which the event occurred" in item (iii) of that paragraph is replaced with "the date specified in paragraph (3), item (vii)".</w:t>
      </w:r>
    </w:p>
    <w:p w:rsidR="00476FA7" w:rsidRDefault="00476FA7"/>
    <w:p w:rsidR="00476FA7" w:rsidRDefault="00570D54">
      <w:pPr>
        <w:pStyle w:val="ena"/>
      </w:pPr>
      <w:r>
        <w:t>(Partial Amendment to the Act on the Promotion of Public Display of W</w:t>
      </w:r>
      <w:r>
        <w:t>orks of Art in Museums and to the Act on Compensation for Damage to Works of Art at Exhibitions)</w:t>
      </w:r>
    </w:p>
    <w:p w:rsidR="00476FA7" w:rsidRDefault="00570D54">
      <w:pPr>
        <w:pStyle w:val="enf3"/>
      </w:pPr>
      <w:r>
        <w:t>Article 5  The phrase "facilities designated as facilities equivalent to museums pursuant to the provisions of Article 29" in the provisions of the following l</w:t>
      </w:r>
      <w:r>
        <w:t>aws is replaced with "designated facilities prescribed in Article 31, paragraph (2)".</w:t>
      </w:r>
    </w:p>
    <w:p w:rsidR="00476FA7" w:rsidRDefault="00570D54">
      <w:pPr>
        <w:pStyle w:val="enf6"/>
      </w:pPr>
      <w:r>
        <w:t>(i) the provisions of Article 2, item (ii) of the Act on the Promotion of Public Display of Works of Art in Museums (Act No. 99 of 1998); and</w:t>
      </w:r>
    </w:p>
    <w:p w:rsidR="00476FA7" w:rsidRDefault="00570D54">
      <w:pPr>
        <w:pStyle w:val="enf6"/>
      </w:pPr>
      <w:r>
        <w:t>(ii) the provisions of Artic</w:t>
      </w:r>
      <w:r>
        <w:t>le 2, item (ii), (c) of the Act on Compensation for Damage to Works of Art at Exhibitions (Act No. 17 of 2011).</w:t>
      </w:r>
    </w:p>
    <w:sectPr w:rsidR="00476FA7" w:rsidSect="00476F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6FA7" w:rsidRDefault="00476FA7" w:rsidP="00476FA7">
      <w:r>
        <w:separator/>
      </w:r>
    </w:p>
  </w:endnote>
  <w:endnote w:type="continuationSeparator" w:id="0">
    <w:p w:rsidR="00476FA7" w:rsidRDefault="00476FA7" w:rsidP="0047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FA7" w:rsidRDefault="00476FA7">
    <w:pPr>
      <w:pStyle w:val="a3"/>
    </w:pPr>
    <w:r>
      <w:fldChar w:fldCharType="begin"/>
    </w:r>
    <w:r>
      <w:instrText xml:space="preserve"> PAGE  \* MERGEFORMAT </w:instrText>
    </w:r>
    <w:r>
      <w:fldChar w:fldCharType="separate"/>
    </w:r>
    <w:r w:rsidR="00570D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6FA7" w:rsidRDefault="00476FA7" w:rsidP="00476FA7">
      <w:r>
        <w:separator/>
      </w:r>
    </w:p>
  </w:footnote>
  <w:footnote w:type="continuationSeparator" w:id="0">
    <w:p w:rsidR="00476FA7" w:rsidRDefault="00476FA7" w:rsidP="0047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470"/>
    <w:multiLevelType w:val="multilevel"/>
    <w:tmpl w:val="C4DA70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B937A9"/>
    <w:multiLevelType w:val="multilevel"/>
    <w:tmpl w:val="1C6257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A37C3D"/>
    <w:multiLevelType w:val="multilevel"/>
    <w:tmpl w:val="E50445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037C62"/>
    <w:multiLevelType w:val="multilevel"/>
    <w:tmpl w:val="3092CA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814126"/>
    <w:multiLevelType w:val="multilevel"/>
    <w:tmpl w:val="1EF85C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EC3286"/>
    <w:multiLevelType w:val="multilevel"/>
    <w:tmpl w:val="EC2882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F95F13"/>
    <w:multiLevelType w:val="multilevel"/>
    <w:tmpl w:val="3B8819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F36E49"/>
    <w:multiLevelType w:val="multilevel"/>
    <w:tmpl w:val="88744F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C569CA"/>
    <w:multiLevelType w:val="multilevel"/>
    <w:tmpl w:val="921484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D262FA"/>
    <w:multiLevelType w:val="multilevel"/>
    <w:tmpl w:val="B55291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F244B7"/>
    <w:multiLevelType w:val="multilevel"/>
    <w:tmpl w:val="79226E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5B42C76"/>
    <w:multiLevelType w:val="multilevel"/>
    <w:tmpl w:val="AB94C6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11A36"/>
    <w:multiLevelType w:val="multilevel"/>
    <w:tmpl w:val="8BC231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65394613">
    <w:abstractNumId w:val="10"/>
  </w:num>
  <w:num w:numId="2" w16cid:durableId="1213274680">
    <w:abstractNumId w:val="7"/>
  </w:num>
  <w:num w:numId="3" w16cid:durableId="626476581">
    <w:abstractNumId w:val="2"/>
  </w:num>
  <w:num w:numId="4" w16cid:durableId="1391417449">
    <w:abstractNumId w:val="5"/>
  </w:num>
  <w:num w:numId="5" w16cid:durableId="992831672">
    <w:abstractNumId w:val="11"/>
  </w:num>
  <w:num w:numId="6" w16cid:durableId="1288708000">
    <w:abstractNumId w:val="1"/>
  </w:num>
  <w:num w:numId="7" w16cid:durableId="1233658453">
    <w:abstractNumId w:val="6"/>
  </w:num>
  <w:num w:numId="8" w16cid:durableId="1703940305">
    <w:abstractNumId w:val="3"/>
  </w:num>
  <w:num w:numId="9" w16cid:durableId="1416197599">
    <w:abstractNumId w:val="8"/>
  </w:num>
  <w:num w:numId="10" w16cid:durableId="71660999">
    <w:abstractNumId w:val="12"/>
  </w:num>
  <w:num w:numId="11" w16cid:durableId="1415470087">
    <w:abstractNumId w:val="9"/>
  </w:num>
  <w:num w:numId="12" w16cid:durableId="1519807500">
    <w:abstractNumId w:val="4"/>
  </w:num>
  <w:num w:numId="13" w16cid:durableId="132312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6FA7"/>
    <w:rsid w:val="00476FA7"/>
    <w:rsid w:val="00570D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F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6F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6FA7"/>
    <w:rPr>
      <w:rFonts w:ascii="Century" w:eastAsia="Century" w:hAnsi="Century"/>
    </w:rPr>
  </w:style>
  <w:style w:type="paragraph" w:customStyle="1" w:styleId="ja0">
    <w:name w:val="款（ja）"/>
    <w:basedOn w:val="a"/>
    <w:rsid w:val="00476FA7"/>
    <w:pPr>
      <w:widowControl w:val="0"/>
      <w:ind w:left="1321" w:hanging="221"/>
    </w:pPr>
    <w:rPr>
      <w:rFonts w:ascii="ＭＳ 明朝" w:eastAsia="ＭＳ 明朝" w:hAnsi="ＭＳ 明朝" w:cs="ＭＳ 明朝"/>
      <w:b/>
    </w:rPr>
  </w:style>
  <w:style w:type="paragraph" w:customStyle="1" w:styleId="en0">
    <w:name w:val="款（en）"/>
    <w:basedOn w:val="ja0"/>
    <w:rsid w:val="00476FA7"/>
    <w:rPr>
      <w:rFonts w:ascii="Century" w:eastAsia="Century" w:hAnsi="Century" w:cs="Century"/>
    </w:rPr>
  </w:style>
  <w:style w:type="paragraph" w:customStyle="1" w:styleId="ja1">
    <w:name w:val="前文（ja）"/>
    <w:basedOn w:val="a"/>
    <w:rsid w:val="00476FA7"/>
    <w:pPr>
      <w:widowControl w:val="0"/>
      <w:ind w:firstLine="219"/>
    </w:pPr>
    <w:rPr>
      <w:rFonts w:ascii="ＭＳ 明朝" w:eastAsia="ＭＳ 明朝" w:hAnsi="ＭＳ 明朝" w:cs="ＭＳ 明朝"/>
    </w:rPr>
  </w:style>
  <w:style w:type="paragraph" w:customStyle="1" w:styleId="en1">
    <w:name w:val="前文（en）"/>
    <w:basedOn w:val="ja1"/>
    <w:rsid w:val="00476FA7"/>
    <w:rPr>
      <w:rFonts w:ascii="Century" w:eastAsia="Century" w:hAnsi="Century" w:cs="Century"/>
    </w:rPr>
  </w:style>
  <w:style w:type="paragraph" w:customStyle="1" w:styleId="ja2">
    <w:name w:val="附則（ja）"/>
    <w:basedOn w:val="a"/>
    <w:rsid w:val="00476FA7"/>
    <w:pPr>
      <w:widowControl w:val="0"/>
      <w:ind w:left="881" w:hanging="221"/>
    </w:pPr>
    <w:rPr>
      <w:rFonts w:ascii="ＭＳ 明朝" w:eastAsia="ＭＳ 明朝" w:hAnsi="ＭＳ 明朝" w:cs="ＭＳ 明朝"/>
      <w:b/>
    </w:rPr>
  </w:style>
  <w:style w:type="paragraph" w:customStyle="1" w:styleId="en2">
    <w:name w:val="附則（en）"/>
    <w:basedOn w:val="ja2"/>
    <w:rsid w:val="00476FA7"/>
    <w:rPr>
      <w:rFonts w:ascii="Century" w:hAnsi="Century" w:cs="Century"/>
    </w:rPr>
  </w:style>
  <w:style w:type="paragraph" w:customStyle="1" w:styleId="ja3">
    <w:name w:val="章（ja）"/>
    <w:basedOn w:val="a"/>
    <w:rsid w:val="00476FA7"/>
    <w:pPr>
      <w:widowControl w:val="0"/>
      <w:ind w:left="881" w:hanging="221"/>
    </w:pPr>
    <w:rPr>
      <w:rFonts w:ascii="ＭＳ 明朝" w:eastAsia="ＭＳ 明朝" w:hAnsi="ＭＳ 明朝" w:cs="ＭＳ 明朝"/>
      <w:b/>
    </w:rPr>
  </w:style>
  <w:style w:type="paragraph" w:customStyle="1" w:styleId="en3">
    <w:name w:val="章（en）"/>
    <w:basedOn w:val="ja3"/>
    <w:rsid w:val="00476FA7"/>
    <w:rPr>
      <w:rFonts w:ascii="Century" w:eastAsia="Century" w:hAnsi="Century" w:cs="Century"/>
    </w:rPr>
  </w:style>
  <w:style w:type="paragraph" w:customStyle="1" w:styleId="ja4">
    <w:name w:val="目次編（ja）"/>
    <w:basedOn w:val="a"/>
    <w:rsid w:val="00476FA7"/>
    <w:pPr>
      <w:widowControl w:val="0"/>
      <w:ind w:left="219" w:hanging="219"/>
    </w:pPr>
    <w:rPr>
      <w:rFonts w:ascii="ＭＳ 明朝" w:eastAsia="ＭＳ 明朝" w:hAnsi="ＭＳ 明朝"/>
    </w:rPr>
  </w:style>
  <w:style w:type="paragraph" w:customStyle="1" w:styleId="en4">
    <w:name w:val="目次編（en）"/>
    <w:basedOn w:val="ja4"/>
    <w:rsid w:val="00476FA7"/>
    <w:rPr>
      <w:rFonts w:ascii="Century" w:eastAsia="Century" w:hAnsi="Century"/>
    </w:rPr>
  </w:style>
  <w:style w:type="paragraph" w:customStyle="1" w:styleId="ja5">
    <w:name w:val="目次章（ja）"/>
    <w:basedOn w:val="a"/>
    <w:rsid w:val="00476FA7"/>
    <w:pPr>
      <w:widowControl w:val="0"/>
      <w:ind w:left="439" w:hanging="219"/>
    </w:pPr>
    <w:rPr>
      <w:rFonts w:ascii="ＭＳ 明朝" w:eastAsia="ＭＳ 明朝" w:hAnsi="ＭＳ 明朝"/>
    </w:rPr>
  </w:style>
  <w:style w:type="paragraph" w:customStyle="1" w:styleId="en5">
    <w:name w:val="目次章（en）"/>
    <w:basedOn w:val="ja5"/>
    <w:rsid w:val="00476FA7"/>
    <w:rPr>
      <w:rFonts w:ascii="Century" w:eastAsia="Century" w:hAnsi="Century"/>
    </w:rPr>
  </w:style>
  <w:style w:type="paragraph" w:customStyle="1" w:styleId="ja6">
    <w:name w:val="目次節（ja）"/>
    <w:basedOn w:val="a"/>
    <w:rsid w:val="00476FA7"/>
    <w:pPr>
      <w:widowControl w:val="0"/>
      <w:ind w:left="659" w:hanging="219"/>
    </w:pPr>
    <w:rPr>
      <w:rFonts w:ascii="ＭＳ 明朝" w:eastAsia="ＭＳ 明朝" w:hAnsi="ＭＳ 明朝"/>
    </w:rPr>
  </w:style>
  <w:style w:type="paragraph" w:customStyle="1" w:styleId="en6">
    <w:name w:val="目次節（en）"/>
    <w:basedOn w:val="ja6"/>
    <w:rsid w:val="00476FA7"/>
    <w:rPr>
      <w:rFonts w:ascii="Century" w:eastAsia="Century" w:hAnsi="Century"/>
    </w:rPr>
  </w:style>
  <w:style w:type="paragraph" w:customStyle="1" w:styleId="ja7">
    <w:name w:val="目次款（ja）"/>
    <w:basedOn w:val="a"/>
    <w:rsid w:val="00476FA7"/>
    <w:pPr>
      <w:widowControl w:val="0"/>
      <w:ind w:left="879" w:hanging="219"/>
    </w:pPr>
    <w:rPr>
      <w:rFonts w:ascii="ＭＳ 明朝" w:eastAsia="ＭＳ 明朝" w:hAnsi="ＭＳ 明朝" w:cs="Kochi Mincho"/>
    </w:rPr>
  </w:style>
  <w:style w:type="paragraph" w:customStyle="1" w:styleId="en7">
    <w:name w:val="目次款（en）"/>
    <w:basedOn w:val="ja7"/>
    <w:rsid w:val="00476FA7"/>
    <w:rPr>
      <w:rFonts w:ascii="Century" w:eastAsia="Century" w:hAnsi="Century"/>
    </w:rPr>
  </w:style>
  <w:style w:type="paragraph" w:customStyle="1" w:styleId="ja8">
    <w:name w:val="別表名（ja）"/>
    <w:basedOn w:val="a"/>
    <w:rsid w:val="00476F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6FA7"/>
    <w:rPr>
      <w:rFonts w:ascii="Century" w:eastAsia="Century" w:hAnsi="Century" w:cs="Century"/>
    </w:rPr>
  </w:style>
  <w:style w:type="paragraph" w:customStyle="1" w:styleId="ja9">
    <w:name w:val="目（ja）"/>
    <w:basedOn w:val="a"/>
    <w:rsid w:val="00476FA7"/>
    <w:pPr>
      <w:widowControl w:val="0"/>
      <w:ind w:left="1541" w:hanging="221"/>
    </w:pPr>
    <w:rPr>
      <w:rFonts w:ascii="ＭＳ 明朝" w:eastAsia="ＭＳ 明朝" w:hAnsi="ＭＳ 明朝" w:cs="ＭＳ 明朝"/>
      <w:b/>
    </w:rPr>
  </w:style>
  <w:style w:type="paragraph" w:customStyle="1" w:styleId="en9">
    <w:name w:val="目（en）"/>
    <w:basedOn w:val="ja9"/>
    <w:rsid w:val="00476FA7"/>
    <w:rPr>
      <w:rFonts w:ascii="Century" w:eastAsia="Century" w:hAnsi="Century" w:cs="Century"/>
    </w:rPr>
  </w:style>
  <w:style w:type="paragraph" w:customStyle="1" w:styleId="jaa">
    <w:name w:val="見出し（ja）"/>
    <w:basedOn w:val="a"/>
    <w:rsid w:val="00476FA7"/>
    <w:pPr>
      <w:widowControl w:val="0"/>
      <w:ind w:left="439" w:hanging="219"/>
    </w:pPr>
    <w:rPr>
      <w:rFonts w:ascii="ＭＳ 明朝" w:eastAsia="ＭＳ 明朝" w:hAnsi="ＭＳ 明朝" w:cs="ＭＳ 明朝"/>
    </w:rPr>
  </w:style>
  <w:style w:type="paragraph" w:customStyle="1" w:styleId="ena">
    <w:name w:val="見出し（en）"/>
    <w:basedOn w:val="jaa"/>
    <w:rsid w:val="00476FA7"/>
    <w:rPr>
      <w:rFonts w:ascii="Century" w:eastAsia="Century" w:hAnsi="Century" w:cs="Century"/>
    </w:rPr>
  </w:style>
  <w:style w:type="paragraph" w:styleId="a3">
    <w:name w:val="footer"/>
    <w:basedOn w:val="a"/>
    <w:rsid w:val="00476F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6FA7"/>
    <w:pPr>
      <w:widowControl w:val="0"/>
      <w:ind w:left="1099" w:hanging="219"/>
    </w:pPr>
    <w:rPr>
      <w:rFonts w:ascii="ＭＳ 明朝" w:eastAsia="ＭＳ 明朝" w:hAnsi="ＭＳ 明朝" w:cs="Kochi Mincho"/>
    </w:rPr>
  </w:style>
  <w:style w:type="paragraph" w:customStyle="1" w:styleId="enb">
    <w:name w:val="目次目（en）"/>
    <w:basedOn w:val="jab"/>
    <w:rsid w:val="00476FA7"/>
    <w:rPr>
      <w:rFonts w:ascii="Century" w:eastAsia="Century" w:hAnsi="Century"/>
    </w:rPr>
  </w:style>
  <w:style w:type="paragraph" w:customStyle="1" w:styleId="jac">
    <w:name w:val="目次附則（ja）"/>
    <w:basedOn w:val="a"/>
    <w:rsid w:val="00476FA7"/>
    <w:pPr>
      <w:widowControl w:val="0"/>
      <w:ind w:left="439" w:hanging="219"/>
    </w:pPr>
    <w:rPr>
      <w:rFonts w:ascii="ＭＳ 明朝" w:eastAsia="ＭＳ 明朝" w:hAnsi="ＭＳ 明朝" w:cs="Kochi Mincho"/>
    </w:rPr>
  </w:style>
  <w:style w:type="paragraph" w:customStyle="1" w:styleId="enc">
    <w:name w:val="目次附則（en）"/>
    <w:basedOn w:val="jac"/>
    <w:rsid w:val="00476FA7"/>
    <w:rPr>
      <w:rFonts w:ascii="Century" w:eastAsia="Century" w:hAnsi="Century" w:cs="Century"/>
    </w:rPr>
  </w:style>
  <w:style w:type="paragraph" w:customStyle="1" w:styleId="jad">
    <w:name w:val="目次前文（ja）"/>
    <w:basedOn w:val="jac"/>
    <w:rsid w:val="00476FA7"/>
  </w:style>
  <w:style w:type="paragraph" w:customStyle="1" w:styleId="end">
    <w:name w:val="目次前文（en）"/>
    <w:basedOn w:val="enc"/>
    <w:rsid w:val="00476FA7"/>
  </w:style>
  <w:style w:type="paragraph" w:customStyle="1" w:styleId="jae">
    <w:name w:val="制定文（ja）"/>
    <w:basedOn w:val="a"/>
    <w:rsid w:val="00476FA7"/>
    <w:pPr>
      <w:widowControl w:val="0"/>
      <w:ind w:firstLine="219"/>
    </w:pPr>
    <w:rPr>
      <w:rFonts w:ascii="ＭＳ 明朝" w:eastAsia="ＭＳ 明朝" w:hAnsi="ＭＳ 明朝" w:cs="ＭＳ 明朝"/>
    </w:rPr>
  </w:style>
  <w:style w:type="paragraph" w:customStyle="1" w:styleId="ene">
    <w:name w:val="制定文（en）"/>
    <w:basedOn w:val="jae"/>
    <w:rsid w:val="00476FA7"/>
    <w:rPr>
      <w:rFonts w:ascii="Century" w:eastAsia="Century" w:hAnsi="Century" w:cs="Century"/>
    </w:rPr>
  </w:style>
  <w:style w:type="paragraph" w:customStyle="1" w:styleId="jaf">
    <w:name w:val="法令番号（ja）"/>
    <w:basedOn w:val="a"/>
    <w:rsid w:val="00476FA7"/>
    <w:pPr>
      <w:widowControl w:val="0"/>
      <w:jc w:val="right"/>
    </w:pPr>
    <w:rPr>
      <w:rFonts w:ascii="ＭＳ 明朝" w:eastAsia="ＭＳ 明朝" w:hAnsi="ＭＳ 明朝" w:cs="Kochi Mincho"/>
    </w:rPr>
  </w:style>
  <w:style w:type="paragraph" w:customStyle="1" w:styleId="enf">
    <w:name w:val="法令番号（en）"/>
    <w:basedOn w:val="jaf"/>
    <w:rsid w:val="00476FA7"/>
    <w:rPr>
      <w:rFonts w:ascii="Century" w:eastAsia="Century" w:hAnsi="Century" w:cs="Century"/>
    </w:rPr>
  </w:style>
  <w:style w:type="paragraph" w:customStyle="1" w:styleId="jaf0">
    <w:name w:val="目次（ja）"/>
    <w:basedOn w:val="a"/>
    <w:rsid w:val="00476FA7"/>
    <w:rPr>
      <w:rFonts w:ascii="ＭＳ 明朝" w:eastAsia="ＭＳ 明朝" w:hAnsi="ＭＳ 明朝"/>
    </w:rPr>
  </w:style>
  <w:style w:type="paragraph" w:customStyle="1" w:styleId="enf0">
    <w:name w:val="目次（en）"/>
    <w:basedOn w:val="jaf0"/>
    <w:rsid w:val="00476FA7"/>
    <w:rPr>
      <w:rFonts w:ascii="Century" w:eastAsia="Century" w:hAnsi="Century"/>
    </w:rPr>
  </w:style>
  <w:style w:type="paragraph" w:customStyle="1" w:styleId="jaf1">
    <w:name w:val="編（ja）"/>
    <w:basedOn w:val="a"/>
    <w:rsid w:val="00476FA7"/>
    <w:pPr>
      <w:widowControl w:val="0"/>
      <w:ind w:left="661" w:hanging="221"/>
    </w:pPr>
    <w:rPr>
      <w:rFonts w:ascii="ＭＳ 明朝" w:eastAsia="ＭＳ 明朝" w:hAnsi="ＭＳ 明朝" w:cs="ＭＳ 明朝"/>
      <w:b/>
    </w:rPr>
  </w:style>
  <w:style w:type="paragraph" w:customStyle="1" w:styleId="enf1">
    <w:name w:val="編（en）"/>
    <w:basedOn w:val="jaf1"/>
    <w:rsid w:val="00476FA7"/>
    <w:rPr>
      <w:rFonts w:ascii="Century" w:eastAsia="Century" w:hAnsi="Century" w:cs="Century"/>
    </w:rPr>
  </w:style>
  <w:style w:type="paragraph" w:customStyle="1" w:styleId="jaf2">
    <w:name w:val="節（ja）"/>
    <w:basedOn w:val="a"/>
    <w:rsid w:val="00476FA7"/>
    <w:pPr>
      <w:widowControl w:val="0"/>
      <w:ind w:left="1101" w:hanging="221"/>
    </w:pPr>
    <w:rPr>
      <w:rFonts w:ascii="ＭＳ 明朝" w:eastAsia="ＭＳ 明朝" w:hAnsi="ＭＳ 明朝" w:cs="ＭＳ 明朝"/>
      <w:b/>
    </w:rPr>
  </w:style>
  <w:style w:type="paragraph" w:customStyle="1" w:styleId="enf2">
    <w:name w:val="節（en）"/>
    <w:basedOn w:val="jaf2"/>
    <w:rsid w:val="00476FA7"/>
    <w:rPr>
      <w:rFonts w:ascii="Century" w:eastAsia="Century" w:hAnsi="Century" w:cs="Century"/>
    </w:rPr>
  </w:style>
  <w:style w:type="paragraph" w:customStyle="1" w:styleId="jaf3">
    <w:name w:val="条（ja）"/>
    <w:basedOn w:val="a"/>
    <w:rsid w:val="00476FA7"/>
    <w:pPr>
      <w:widowControl w:val="0"/>
      <w:ind w:left="219" w:hanging="219"/>
    </w:pPr>
    <w:rPr>
      <w:rFonts w:ascii="ＭＳ 明朝" w:eastAsia="ＭＳ 明朝" w:hAnsi="ＭＳ 明朝" w:cs="ＭＳ 明朝"/>
    </w:rPr>
  </w:style>
  <w:style w:type="paragraph" w:customStyle="1" w:styleId="enf3">
    <w:name w:val="条（en）"/>
    <w:basedOn w:val="jaf3"/>
    <w:rsid w:val="00476FA7"/>
    <w:rPr>
      <w:rFonts w:ascii="Century" w:eastAsia="Century" w:hAnsi="Century" w:cs="Century"/>
    </w:rPr>
  </w:style>
  <w:style w:type="paragraph" w:customStyle="1" w:styleId="jaf4">
    <w:name w:val="項（ja）"/>
    <w:basedOn w:val="a"/>
    <w:rsid w:val="00476FA7"/>
    <w:pPr>
      <w:widowControl w:val="0"/>
      <w:ind w:left="219" w:hanging="219"/>
    </w:pPr>
    <w:rPr>
      <w:rFonts w:ascii="ＭＳ 明朝" w:eastAsia="ＭＳ 明朝" w:hAnsi="ＭＳ 明朝" w:cs="ＭＳ 明朝"/>
    </w:rPr>
  </w:style>
  <w:style w:type="paragraph" w:customStyle="1" w:styleId="enf4">
    <w:name w:val="項（en）"/>
    <w:basedOn w:val="jaf4"/>
    <w:rsid w:val="00476FA7"/>
    <w:rPr>
      <w:rFonts w:ascii="Century" w:eastAsia="Century" w:hAnsi="Century" w:cs="Century"/>
    </w:rPr>
  </w:style>
  <w:style w:type="paragraph" w:customStyle="1" w:styleId="jaf5">
    <w:name w:val="項　番号なし（ja）"/>
    <w:basedOn w:val="a"/>
    <w:rsid w:val="00476FA7"/>
    <w:pPr>
      <w:widowControl w:val="0"/>
      <w:ind w:firstLine="221"/>
    </w:pPr>
    <w:rPr>
      <w:rFonts w:ascii="ＭＳ 明朝" w:eastAsia="ＭＳ 明朝" w:hAnsi="ＭＳ 明朝" w:cs="ＭＳ 明朝"/>
    </w:rPr>
  </w:style>
  <w:style w:type="paragraph" w:customStyle="1" w:styleId="enf5">
    <w:name w:val="項　番号なし（en）"/>
    <w:basedOn w:val="jaf5"/>
    <w:rsid w:val="00476FA7"/>
    <w:rPr>
      <w:rFonts w:ascii="Century" w:eastAsia="Century" w:hAnsi="Century" w:cs="Century"/>
    </w:rPr>
  </w:style>
  <w:style w:type="paragraph" w:customStyle="1" w:styleId="jaf6">
    <w:name w:val="号（ja）"/>
    <w:basedOn w:val="a"/>
    <w:rsid w:val="00476FA7"/>
    <w:pPr>
      <w:widowControl w:val="0"/>
      <w:ind w:left="439" w:hanging="219"/>
    </w:pPr>
    <w:rPr>
      <w:rFonts w:ascii="ＭＳ 明朝" w:eastAsia="ＭＳ 明朝" w:hAnsi="ＭＳ 明朝" w:cs="ＭＳ 明朝"/>
    </w:rPr>
  </w:style>
  <w:style w:type="paragraph" w:customStyle="1" w:styleId="enf6">
    <w:name w:val="号（en）"/>
    <w:basedOn w:val="jaf6"/>
    <w:rsid w:val="00476FA7"/>
    <w:rPr>
      <w:rFonts w:ascii="Century" w:eastAsia="Century" w:hAnsi="Century" w:cs="Century"/>
    </w:rPr>
  </w:style>
  <w:style w:type="paragraph" w:customStyle="1" w:styleId="jaf7">
    <w:name w:val="号　番号なし（ja）"/>
    <w:basedOn w:val="a"/>
    <w:rsid w:val="00476FA7"/>
    <w:pPr>
      <w:widowControl w:val="0"/>
      <w:ind w:left="221" w:firstLine="221"/>
    </w:pPr>
    <w:rPr>
      <w:rFonts w:ascii="ＭＳ 明朝" w:eastAsia="ＭＳ 明朝" w:hAnsi="ＭＳ 明朝" w:cs="ＭＳ 明朝"/>
    </w:rPr>
  </w:style>
  <w:style w:type="paragraph" w:customStyle="1" w:styleId="enf7">
    <w:name w:val="号　番号なし（en）"/>
    <w:basedOn w:val="jaf7"/>
    <w:rsid w:val="00476FA7"/>
    <w:rPr>
      <w:rFonts w:ascii="Century" w:eastAsia="Century" w:hAnsi="Century" w:cs="Century"/>
    </w:rPr>
  </w:style>
  <w:style w:type="paragraph" w:customStyle="1" w:styleId="jaf8">
    <w:name w:val="備考号（ja）"/>
    <w:basedOn w:val="a"/>
    <w:rsid w:val="00476FA7"/>
    <w:pPr>
      <w:widowControl w:val="0"/>
      <w:ind w:left="659" w:hanging="219"/>
    </w:pPr>
    <w:rPr>
      <w:rFonts w:ascii="ＭＳ 明朝" w:eastAsia="ＭＳ 明朝" w:hAnsi="ＭＳ 明朝" w:cs="ＭＳ 明朝"/>
    </w:rPr>
  </w:style>
  <w:style w:type="paragraph" w:customStyle="1" w:styleId="enf8">
    <w:name w:val="備考号（en）"/>
    <w:basedOn w:val="jaf8"/>
    <w:rsid w:val="00476FA7"/>
    <w:rPr>
      <w:rFonts w:ascii="Century" w:eastAsia="Century" w:hAnsi="Century" w:cs="Century"/>
    </w:rPr>
  </w:style>
  <w:style w:type="paragraph" w:customStyle="1" w:styleId="jaf9">
    <w:name w:val="号細分（ja）"/>
    <w:basedOn w:val="a"/>
    <w:rsid w:val="00476FA7"/>
    <w:pPr>
      <w:widowControl w:val="0"/>
      <w:ind w:left="659" w:hanging="219"/>
    </w:pPr>
    <w:rPr>
      <w:rFonts w:ascii="ＭＳ 明朝" w:eastAsia="ＭＳ 明朝" w:hAnsi="ＭＳ 明朝" w:cs="ＭＳ 明朝"/>
    </w:rPr>
  </w:style>
  <w:style w:type="paragraph" w:customStyle="1" w:styleId="enf9">
    <w:name w:val="号細分（en）"/>
    <w:basedOn w:val="jaf9"/>
    <w:rsid w:val="00476FA7"/>
    <w:rPr>
      <w:rFonts w:ascii="Century" w:eastAsia="Century" w:hAnsi="Century" w:cs="Century"/>
    </w:rPr>
  </w:style>
  <w:style w:type="paragraph" w:customStyle="1" w:styleId="jafa">
    <w:name w:val="号細分　番号なし（ja）"/>
    <w:basedOn w:val="a"/>
    <w:rsid w:val="00476FA7"/>
    <w:pPr>
      <w:widowControl w:val="0"/>
      <w:ind w:left="439"/>
    </w:pPr>
    <w:rPr>
      <w:rFonts w:ascii="ＭＳ 明朝" w:eastAsia="ＭＳ 明朝" w:hAnsi="ＭＳ 明朝" w:cs="ＭＳ 明朝"/>
    </w:rPr>
  </w:style>
  <w:style w:type="paragraph" w:customStyle="1" w:styleId="enfa">
    <w:name w:val="号細分　番号なし（en）"/>
    <w:basedOn w:val="jafa"/>
    <w:rsid w:val="00476FA7"/>
    <w:rPr>
      <w:rFonts w:ascii="Century" w:eastAsia="Century" w:hAnsi="Century" w:cs="Century"/>
    </w:rPr>
  </w:style>
  <w:style w:type="paragraph" w:customStyle="1" w:styleId="jafb">
    <w:name w:val="備考号細分（ja）"/>
    <w:basedOn w:val="a"/>
    <w:rsid w:val="00476FA7"/>
    <w:pPr>
      <w:widowControl w:val="0"/>
      <w:ind w:left="1099" w:hanging="439"/>
    </w:pPr>
    <w:rPr>
      <w:rFonts w:ascii="ＭＳ 明朝" w:eastAsia="ＭＳ 明朝" w:hAnsi="ＭＳ 明朝" w:cs="ＭＳ 明朝"/>
    </w:rPr>
  </w:style>
  <w:style w:type="paragraph" w:customStyle="1" w:styleId="enfb">
    <w:name w:val="備考号細分（en）"/>
    <w:basedOn w:val="jafb"/>
    <w:rsid w:val="00476FA7"/>
    <w:rPr>
      <w:rFonts w:ascii="Century" w:eastAsia="Century" w:hAnsi="Century" w:cs="Century"/>
    </w:rPr>
  </w:style>
  <w:style w:type="paragraph" w:customStyle="1" w:styleId="jafc">
    <w:name w:val="号細細分（ja）"/>
    <w:basedOn w:val="a"/>
    <w:rsid w:val="00476FA7"/>
    <w:pPr>
      <w:widowControl w:val="0"/>
      <w:ind w:left="1099" w:hanging="439"/>
    </w:pPr>
    <w:rPr>
      <w:rFonts w:ascii="ＭＳ 明朝" w:eastAsia="ＭＳ 明朝" w:hAnsi="ＭＳ 明朝" w:cs="ＭＳ 明朝"/>
    </w:rPr>
  </w:style>
  <w:style w:type="paragraph" w:customStyle="1" w:styleId="enfc">
    <w:name w:val="号細細分（en）"/>
    <w:basedOn w:val="jafc"/>
    <w:rsid w:val="00476FA7"/>
    <w:rPr>
      <w:rFonts w:ascii="Century" w:eastAsia="Century" w:hAnsi="Century" w:cs="Century"/>
    </w:rPr>
  </w:style>
  <w:style w:type="paragraph" w:customStyle="1" w:styleId="jafd">
    <w:name w:val="号細細分　番号なし（ja）"/>
    <w:basedOn w:val="a"/>
    <w:rsid w:val="00476FA7"/>
    <w:pPr>
      <w:widowControl w:val="0"/>
      <w:ind w:left="659"/>
    </w:pPr>
    <w:rPr>
      <w:rFonts w:ascii="ＭＳ 明朝" w:eastAsia="ＭＳ 明朝" w:hAnsi="ＭＳ 明朝" w:cs="ＭＳ 明朝"/>
    </w:rPr>
  </w:style>
  <w:style w:type="paragraph" w:customStyle="1" w:styleId="enfd">
    <w:name w:val="号細細分　番号なし（en）"/>
    <w:basedOn w:val="jafd"/>
    <w:rsid w:val="00476FA7"/>
    <w:rPr>
      <w:rFonts w:ascii="Century" w:eastAsia="Century" w:hAnsi="Century" w:cs="Century"/>
    </w:rPr>
  </w:style>
  <w:style w:type="paragraph" w:customStyle="1" w:styleId="jafe">
    <w:name w:val="備考号細細分（ja）"/>
    <w:basedOn w:val="a"/>
    <w:rsid w:val="00476FA7"/>
    <w:pPr>
      <w:widowControl w:val="0"/>
      <w:ind w:left="1319" w:hanging="439"/>
    </w:pPr>
    <w:rPr>
      <w:rFonts w:ascii="ＭＳ 明朝" w:eastAsia="ＭＳ 明朝" w:hAnsi="ＭＳ 明朝" w:cs="ＭＳ 明朝"/>
    </w:rPr>
  </w:style>
  <w:style w:type="paragraph" w:customStyle="1" w:styleId="enfe">
    <w:name w:val="備考号細細分（en）"/>
    <w:basedOn w:val="jafe"/>
    <w:rsid w:val="00476FA7"/>
    <w:rPr>
      <w:rFonts w:ascii="Century" w:eastAsia="Century" w:hAnsi="Century" w:cs="Century"/>
    </w:rPr>
  </w:style>
  <w:style w:type="paragraph" w:customStyle="1" w:styleId="jaff">
    <w:name w:val="号細細細分（ja）"/>
    <w:basedOn w:val="a"/>
    <w:rsid w:val="00476FA7"/>
    <w:pPr>
      <w:widowControl w:val="0"/>
      <w:ind w:left="1319" w:hanging="439"/>
    </w:pPr>
    <w:rPr>
      <w:rFonts w:ascii="ＭＳ 明朝" w:eastAsia="ＭＳ 明朝" w:hAnsi="ＭＳ 明朝" w:cs="ＭＳ 明朝"/>
    </w:rPr>
  </w:style>
  <w:style w:type="paragraph" w:customStyle="1" w:styleId="enff">
    <w:name w:val="号細細細分（en）"/>
    <w:basedOn w:val="jaff"/>
    <w:rsid w:val="00476FA7"/>
    <w:rPr>
      <w:rFonts w:ascii="Century" w:eastAsia="Century" w:hAnsi="Century" w:cs="Century"/>
    </w:rPr>
  </w:style>
  <w:style w:type="paragraph" w:customStyle="1" w:styleId="jaff0">
    <w:name w:val="号細細細分　番号なし（ja）"/>
    <w:basedOn w:val="a"/>
    <w:rsid w:val="00476FA7"/>
    <w:pPr>
      <w:widowControl w:val="0"/>
      <w:ind w:left="879"/>
    </w:pPr>
    <w:rPr>
      <w:rFonts w:ascii="ＭＳ 明朝" w:eastAsia="ＭＳ 明朝" w:hAnsi="ＭＳ 明朝" w:cs="ＭＳ 明朝"/>
    </w:rPr>
  </w:style>
  <w:style w:type="paragraph" w:customStyle="1" w:styleId="enff0">
    <w:name w:val="号細細細分　番号なし（en）"/>
    <w:basedOn w:val="jaff0"/>
    <w:rsid w:val="00476FA7"/>
    <w:rPr>
      <w:rFonts w:ascii="Century" w:eastAsia="Century" w:hAnsi="Century" w:cs="Century"/>
    </w:rPr>
  </w:style>
  <w:style w:type="paragraph" w:customStyle="1" w:styleId="jaff1">
    <w:name w:val="備考号細細細分（ja）"/>
    <w:basedOn w:val="a"/>
    <w:rsid w:val="00476F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6FA7"/>
    <w:rPr>
      <w:rFonts w:ascii="Century" w:eastAsia="Century" w:hAnsi="Century" w:cs="Century"/>
    </w:rPr>
  </w:style>
  <w:style w:type="paragraph" w:customStyle="1" w:styleId="jaff2">
    <w:name w:val="類（ja）"/>
    <w:basedOn w:val="a"/>
    <w:rsid w:val="00476FA7"/>
    <w:pPr>
      <w:widowControl w:val="0"/>
      <w:ind w:left="439" w:hanging="219"/>
    </w:pPr>
    <w:rPr>
      <w:rFonts w:ascii="ＭＳ 明朝" w:eastAsia="ＭＳ 明朝" w:hAnsi="ＭＳ 明朝" w:cs="ＭＳ 明朝"/>
    </w:rPr>
  </w:style>
  <w:style w:type="paragraph" w:customStyle="1" w:styleId="enff2">
    <w:name w:val="類（en）"/>
    <w:basedOn w:val="jaff2"/>
    <w:rsid w:val="00476FA7"/>
    <w:rPr>
      <w:rFonts w:ascii="Century" w:eastAsia="Century" w:hAnsi="Century" w:cs="Century"/>
    </w:rPr>
  </w:style>
  <w:style w:type="paragraph" w:customStyle="1" w:styleId="jaff3">
    <w:name w:val="公布文（ja）"/>
    <w:basedOn w:val="a"/>
    <w:rsid w:val="00476FA7"/>
    <w:pPr>
      <w:widowControl w:val="0"/>
      <w:ind w:firstLine="219"/>
    </w:pPr>
    <w:rPr>
      <w:rFonts w:ascii="ＭＳ 明朝" w:eastAsia="ＭＳ 明朝" w:hAnsi="ＭＳ 明朝" w:cs="ＭＳ 明朝"/>
    </w:rPr>
  </w:style>
  <w:style w:type="paragraph" w:customStyle="1" w:styleId="enff3">
    <w:name w:val="公布文（en）"/>
    <w:basedOn w:val="jaff3"/>
    <w:rsid w:val="00476FA7"/>
    <w:rPr>
      <w:rFonts w:ascii="Century" w:eastAsia="Century" w:hAnsi="Century" w:cs="Century"/>
    </w:rPr>
  </w:style>
  <w:style w:type="paragraph" w:customStyle="1" w:styleId="jaen">
    <w:name w:val="表（ja：en）"/>
    <w:basedOn w:val="a"/>
    <w:rsid w:val="00476FA7"/>
    <w:pPr>
      <w:widowControl w:val="0"/>
      <w:snapToGrid w:val="0"/>
    </w:pPr>
    <w:rPr>
      <w:rFonts w:ascii="Century" w:eastAsia="ＭＳ 明朝" w:hAnsi="Century"/>
    </w:rPr>
  </w:style>
  <w:style w:type="paragraph" w:customStyle="1" w:styleId="jaff4">
    <w:name w:val="備考（ja）"/>
    <w:basedOn w:val="a"/>
    <w:rsid w:val="00476FA7"/>
    <w:pPr>
      <w:widowControl w:val="0"/>
      <w:ind w:left="439" w:hanging="219"/>
    </w:pPr>
    <w:rPr>
      <w:rFonts w:ascii="ＭＳ 明朝" w:eastAsia="ＭＳ 明朝" w:hAnsi="ＭＳ 明朝" w:cs="ＭＳ 明朝"/>
    </w:rPr>
  </w:style>
  <w:style w:type="paragraph" w:customStyle="1" w:styleId="enff4">
    <w:name w:val="備考（en）"/>
    <w:basedOn w:val="jaff4"/>
    <w:rsid w:val="00476FA7"/>
    <w:rPr>
      <w:rFonts w:ascii="Century" w:eastAsia="Century" w:hAnsi="Century" w:cs="Century"/>
    </w:rPr>
  </w:style>
  <w:style w:type="paragraph" w:customStyle="1" w:styleId="jaff5">
    <w:name w:val="表タイトル（ja）"/>
    <w:basedOn w:val="a"/>
    <w:rsid w:val="00476FA7"/>
    <w:pPr>
      <w:widowControl w:val="0"/>
      <w:ind w:left="219"/>
    </w:pPr>
    <w:rPr>
      <w:rFonts w:ascii="ＭＳ 明朝" w:eastAsia="ＭＳ 明朝" w:hAnsi="ＭＳ 明朝" w:cs="ＭＳ 明朝"/>
    </w:rPr>
  </w:style>
  <w:style w:type="paragraph" w:customStyle="1" w:styleId="enff5">
    <w:name w:val="表タイトル（en）"/>
    <w:basedOn w:val="jaff5"/>
    <w:rsid w:val="00476FA7"/>
    <w:rPr>
      <w:rFonts w:ascii="Century" w:eastAsia="Century" w:hAnsi="Century" w:cs="Century"/>
    </w:rPr>
  </w:style>
  <w:style w:type="paragraph" w:customStyle="1" w:styleId="jaff6">
    <w:name w:val="改正規定文（ja）"/>
    <w:basedOn w:val="a"/>
    <w:rsid w:val="00476FA7"/>
    <w:pPr>
      <w:widowControl w:val="0"/>
      <w:ind w:left="219" w:firstLine="219"/>
    </w:pPr>
    <w:rPr>
      <w:rFonts w:ascii="ＭＳ 明朝" w:eastAsia="ＭＳ 明朝" w:hAnsi="ＭＳ 明朝" w:cs="ＭＳ 明朝"/>
    </w:rPr>
  </w:style>
  <w:style w:type="paragraph" w:customStyle="1" w:styleId="enff6">
    <w:name w:val="改正規定文（en）"/>
    <w:basedOn w:val="jaff6"/>
    <w:rsid w:val="00476FA7"/>
    <w:rPr>
      <w:rFonts w:ascii="Century" w:eastAsia="Century" w:hAnsi="Century" w:cs="Century"/>
    </w:rPr>
  </w:style>
  <w:style w:type="paragraph" w:customStyle="1" w:styleId="jaff7">
    <w:name w:val="付記（ja）"/>
    <w:basedOn w:val="a"/>
    <w:rsid w:val="00476FA7"/>
    <w:pPr>
      <w:widowControl w:val="0"/>
      <w:ind w:left="219" w:firstLine="219"/>
    </w:pPr>
    <w:rPr>
      <w:rFonts w:ascii="ＭＳ 明朝" w:eastAsia="ＭＳ 明朝" w:hAnsi="ＭＳ 明朝" w:cs="ＭＳ 明朝"/>
    </w:rPr>
  </w:style>
  <w:style w:type="paragraph" w:customStyle="1" w:styleId="enff7">
    <w:name w:val="付記（en）"/>
    <w:basedOn w:val="jaff7"/>
    <w:rsid w:val="00476FA7"/>
    <w:rPr>
      <w:rFonts w:ascii="Century" w:eastAsia="Century" w:hAnsi="Century" w:cs="Century"/>
    </w:rPr>
  </w:style>
  <w:style w:type="paragraph" w:customStyle="1" w:styleId="jaff8">
    <w:name w:val="様式名（ja）"/>
    <w:basedOn w:val="a"/>
    <w:rsid w:val="00476FA7"/>
    <w:pPr>
      <w:widowControl w:val="0"/>
      <w:ind w:left="439" w:hanging="219"/>
    </w:pPr>
    <w:rPr>
      <w:rFonts w:ascii="ＭＳ 明朝" w:eastAsia="ＭＳ 明朝" w:hAnsi="ＭＳ 明朝" w:cs="ＭＳ 明朝"/>
    </w:rPr>
  </w:style>
  <w:style w:type="paragraph" w:customStyle="1" w:styleId="enff8">
    <w:name w:val="様式名（en）"/>
    <w:basedOn w:val="jaff8"/>
    <w:rsid w:val="00476FA7"/>
    <w:rPr>
      <w:rFonts w:ascii="Century" w:eastAsia="Century" w:hAnsi="Century" w:cs="Century"/>
    </w:rPr>
  </w:style>
  <w:style w:type="paragraph" w:customStyle="1" w:styleId="jaff9">
    <w:name w:val="様式項目（ja）"/>
    <w:basedOn w:val="a"/>
    <w:rsid w:val="00476FA7"/>
    <w:pPr>
      <w:widowControl w:val="0"/>
      <w:ind w:left="221" w:firstLine="221"/>
    </w:pPr>
    <w:rPr>
      <w:rFonts w:ascii="ＭＳ 明朝" w:eastAsia="ＭＳ 明朝" w:hAnsi="ＭＳ 明朝" w:cs="ＭＳ 明朝"/>
    </w:rPr>
  </w:style>
  <w:style w:type="paragraph" w:customStyle="1" w:styleId="enff9">
    <w:name w:val="様式項目（en）"/>
    <w:basedOn w:val="jaff9"/>
    <w:rsid w:val="00476FA7"/>
    <w:rPr>
      <w:rFonts w:ascii="Century" w:eastAsia="Century" w:hAnsi="Century" w:cs="Century"/>
    </w:rPr>
  </w:style>
  <w:style w:type="table" w:customStyle="1" w:styleId="1">
    <w:name w:val="表1"/>
    <w:rsid w:val="00476FA7"/>
    <w:tblPr>
      <w:tblInd w:w="340" w:type="dxa"/>
      <w:tblCellMar>
        <w:top w:w="0" w:type="dxa"/>
        <w:left w:w="0" w:type="dxa"/>
        <w:bottom w:w="0" w:type="dxa"/>
        <w:right w:w="0" w:type="dxa"/>
      </w:tblCellMar>
    </w:tblPr>
  </w:style>
  <w:style w:type="numbering" w:customStyle="1" w:styleId="WW8Num1">
    <w:name w:val="WW8Num1"/>
    <w:rsid w:val="00476FA7"/>
    <w:pPr>
      <w:numPr>
        <w:numId w:val="2"/>
      </w:numPr>
    </w:pPr>
  </w:style>
  <w:style w:type="numbering" w:customStyle="1" w:styleId="WW8Num2">
    <w:name w:val="WW8Num2"/>
    <w:rsid w:val="00476FA7"/>
    <w:pPr>
      <w:numPr>
        <w:numId w:val="3"/>
      </w:numPr>
    </w:pPr>
  </w:style>
  <w:style w:type="numbering" w:customStyle="1" w:styleId="WW8Num3">
    <w:name w:val="WW8Num3"/>
    <w:rsid w:val="00476FA7"/>
    <w:pPr>
      <w:numPr>
        <w:numId w:val="4"/>
      </w:numPr>
    </w:pPr>
  </w:style>
  <w:style w:type="numbering" w:customStyle="1" w:styleId="WW8Num4">
    <w:name w:val="WW8Num4"/>
    <w:rsid w:val="00476FA7"/>
    <w:pPr>
      <w:numPr>
        <w:numId w:val="5"/>
      </w:numPr>
    </w:pPr>
  </w:style>
  <w:style w:type="numbering" w:customStyle="1" w:styleId="WW8Num5">
    <w:name w:val="WW8Num5"/>
    <w:rsid w:val="00476FA7"/>
    <w:pPr>
      <w:numPr>
        <w:numId w:val="6"/>
      </w:numPr>
    </w:pPr>
  </w:style>
  <w:style w:type="numbering" w:customStyle="1" w:styleId="WW8Num6">
    <w:name w:val="WW8Num6"/>
    <w:rsid w:val="00476FA7"/>
    <w:pPr>
      <w:numPr>
        <w:numId w:val="7"/>
      </w:numPr>
    </w:pPr>
  </w:style>
  <w:style w:type="numbering" w:customStyle="1" w:styleId="WW8Num7">
    <w:name w:val="WW8Num7"/>
    <w:rsid w:val="00476FA7"/>
    <w:pPr>
      <w:numPr>
        <w:numId w:val="8"/>
      </w:numPr>
    </w:pPr>
  </w:style>
  <w:style w:type="numbering" w:customStyle="1" w:styleId="WW8Num8">
    <w:name w:val="WW8Num8"/>
    <w:rsid w:val="00476FA7"/>
    <w:pPr>
      <w:numPr>
        <w:numId w:val="9"/>
      </w:numPr>
    </w:pPr>
  </w:style>
  <w:style w:type="numbering" w:customStyle="1" w:styleId="WW8Num9">
    <w:name w:val="WW8Num9"/>
    <w:rsid w:val="00476FA7"/>
    <w:pPr>
      <w:numPr>
        <w:numId w:val="10"/>
      </w:numPr>
    </w:pPr>
  </w:style>
  <w:style w:type="numbering" w:customStyle="1" w:styleId="WW8Num10">
    <w:name w:val="WW8Num10"/>
    <w:rsid w:val="00476FA7"/>
    <w:pPr>
      <w:numPr>
        <w:numId w:val="11"/>
      </w:numPr>
    </w:pPr>
  </w:style>
  <w:style w:type="numbering" w:customStyle="1" w:styleId="WW8Num11">
    <w:name w:val="WW8Num11"/>
    <w:rsid w:val="00476FA7"/>
    <w:pPr>
      <w:numPr>
        <w:numId w:val="12"/>
      </w:numPr>
    </w:pPr>
  </w:style>
  <w:style w:type="numbering" w:customStyle="1" w:styleId="WW8Num12">
    <w:name w:val="WW8Num12"/>
    <w:rsid w:val="00476FA7"/>
    <w:pPr>
      <w:numPr>
        <w:numId w:val="13"/>
      </w:numPr>
    </w:pPr>
  </w:style>
  <w:style w:type="paragraph" w:styleId="a4">
    <w:name w:val="header"/>
    <w:basedOn w:val="a"/>
    <w:link w:val="a5"/>
    <w:uiPriority w:val="99"/>
    <w:unhideWhenUsed/>
    <w:rsid w:val="00570D54"/>
    <w:pPr>
      <w:tabs>
        <w:tab w:val="center" w:pos="4252"/>
        <w:tab w:val="right" w:pos="8504"/>
      </w:tabs>
      <w:snapToGrid w:val="0"/>
    </w:pPr>
  </w:style>
  <w:style w:type="character" w:customStyle="1" w:styleId="a5">
    <w:name w:val="ヘッダー (文字)"/>
    <w:basedOn w:val="a0"/>
    <w:link w:val="a4"/>
    <w:uiPriority w:val="99"/>
    <w:rsid w:val="00570D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5043</Words>
  <Characters>28746</Characters>
  <Application>Microsoft Office Word</Application>
  <DocSecurity>0</DocSecurity>
  <Lines>239</Lines>
  <Paragraphs>67</Paragraphs>
  <ScaleCrop>false</ScaleCrop>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2023-04-26T02:26:00Z</dcterms:created>
  <dcterms:modified xsi:type="dcterms:W3CDTF">2023-04-26T02:26:00Z</dcterms:modified>
</cp:coreProperties>
</file>