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EC3" w:rsidRDefault="009C3028">
      <w:pPr>
        <w:pStyle w:val="ja"/>
      </w:pPr>
      <w:r>
        <w:t>宇宙資源の探査及び開発に関する事業活動の促進に関する法律（暫定版）</w:t>
      </w:r>
    </w:p>
    <w:p w:rsidR="00226EC3" w:rsidRDefault="00226EC3"/>
    <w:p w:rsidR="00226EC3" w:rsidRDefault="009C3028">
      <w:pPr>
        <w:pStyle w:val="jaf"/>
      </w:pPr>
      <w:r>
        <w:t>（令和三年十二月二十三日法律第八十三号）</w:t>
      </w:r>
    </w:p>
    <w:p w:rsidR="00226EC3" w:rsidRDefault="00226EC3"/>
    <w:p w:rsidR="00226EC3" w:rsidRDefault="009C3028">
      <w:pPr>
        <w:pStyle w:val="jaa"/>
      </w:pPr>
      <w:r>
        <w:t>（目的）</w:t>
      </w:r>
    </w:p>
    <w:p w:rsidR="00226EC3" w:rsidRDefault="009C3028">
      <w:pPr>
        <w:pStyle w:val="jaf3"/>
      </w:pPr>
      <w:r>
        <w:t>第一条　この法律は、宇宙基本法（平成二十年法律第四十三号）の基本理念にのっとり、宇宙資源の探査及び開発に関し、同法第三十五条第一項に基づき宇宙活動に係る規制等について定める人工衛星等の打上げ及び人工衛星の管理に関する法律（平成二十八年法律第七十六号。以下「宇宙活動法」という。）の規定による許可の特例を設けるとともに、宇宙資源の所有権の取得その他必要な事項を定めることにより、宇宙活動法第二条第一号に規定する宇宙の開発及び利用に関する諸条約（第三条第二項第一号において単に「宇宙の開発及び利用に関する諸条約」とい</w:t>
      </w:r>
      <w:r>
        <w:t>う。）の的確かつ円滑な実施を図りつつ、民間事業者による宇宙資源の探査及び開発に関する事業活動を促進することを目的とする。</w:t>
      </w:r>
    </w:p>
    <w:p w:rsidR="00226EC3" w:rsidRDefault="00226EC3"/>
    <w:p w:rsidR="00226EC3" w:rsidRDefault="009C3028">
      <w:pPr>
        <w:pStyle w:val="jaa"/>
      </w:pPr>
      <w:r>
        <w:t>（定義）</w:t>
      </w:r>
    </w:p>
    <w:p w:rsidR="00226EC3" w:rsidRDefault="009C3028">
      <w:pPr>
        <w:pStyle w:val="jaf3"/>
      </w:pPr>
      <w:r>
        <w:t>第二条　この法律において、次の各号に掲げる用語の意義は、それぞれ当該各号に定めるところによる。</w:t>
      </w:r>
    </w:p>
    <w:p w:rsidR="00226EC3" w:rsidRDefault="009C3028">
      <w:pPr>
        <w:pStyle w:val="jaf6"/>
      </w:pPr>
      <w:r>
        <w:t>一　宇宙資源　月その他の天体を含む宇宙空間に存在する水、鉱物その他の天然資源をいう。</w:t>
      </w:r>
    </w:p>
    <w:p w:rsidR="00226EC3" w:rsidRDefault="009C3028">
      <w:pPr>
        <w:pStyle w:val="jaf6"/>
      </w:pPr>
      <w:r>
        <w:t>二　宇宙資源の探査及び開発　次のいずれかに掲げる活動（専ら科学的調査として又は科学的調査のために行うものを除く。）をいう。</w:t>
      </w:r>
    </w:p>
    <w:p w:rsidR="00226EC3" w:rsidRDefault="009C3028">
      <w:pPr>
        <w:pStyle w:val="jaf9"/>
      </w:pPr>
      <w:r>
        <w:t>イ　宇宙資源の採掘、採取その他これに類するものとして内閣府令で定める活動</w:t>
      </w:r>
      <w:r>
        <w:t>（ロ及び第五条において「採掘等」という。）に資する宇宙資源の存在状況の調査</w:t>
      </w:r>
    </w:p>
    <w:p w:rsidR="00226EC3" w:rsidRDefault="009C3028">
      <w:pPr>
        <w:pStyle w:val="jaf9"/>
      </w:pPr>
      <w:r>
        <w:t>ロ　宇宙資源の採掘等及びこれに付随する加工、保管その他内閣府令で定める行為</w:t>
      </w:r>
    </w:p>
    <w:p w:rsidR="00226EC3" w:rsidRDefault="00226EC3"/>
    <w:p w:rsidR="00226EC3" w:rsidRDefault="009C3028">
      <w:pPr>
        <w:pStyle w:val="jaa"/>
      </w:pPr>
      <w:r>
        <w:t>（人工衛星の管理に係る許可の特例）</w:t>
      </w:r>
    </w:p>
    <w:p w:rsidR="00226EC3" w:rsidRDefault="009C3028">
      <w:pPr>
        <w:pStyle w:val="jaf3"/>
      </w:pPr>
      <w:r>
        <w:t>第三条　宇宙資源の探査及び開発を人工衛星（宇宙活動法第二条第二号に規定する人工衛星をいう。第一号及び第四項において同じ。）の利用の目的として行う人工衛星の管理（同条第七号に規定する人工衛星の管理をいう。）に係る宇宙活動法第二十条第一項の許可（以下この条において「宇宙資源の探査及び開発の許可」という。）を受けようとする者は</w:t>
      </w:r>
      <w:r>
        <w:t>、宇宙活動法第二十条第二項各号に掲げる事項のほか、内閣府令で定めるところにより、同項の申請書に次に掲げる事項を定めた計画（以下「事業活動計画」という。）を併せて記載しなければならない。</w:t>
      </w:r>
    </w:p>
    <w:p w:rsidR="00226EC3" w:rsidRDefault="009C3028">
      <w:pPr>
        <w:pStyle w:val="jaf6"/>
      </w:pPr>
      <w:r>
        <w:t>一　当該宇宙資源の探査及び開発の許可の申請に係る人工衛星を利用して行おうとする宇宙資源の探査及び開発に関する事業活動（以下この項において単に「宇宙資源の探査及び開発に関する事業活動」という。）の目的</w:t>
      </w:r>
    </w:p>
    <w:p w:rsidR="00226EC3" w:rsidRDefault="009C3028">
      <w:pPr>
        <w:pStyle w:val="jaf6"/>
      </w:pPr>
      <w:r>
        <w:t>二　宇宙資源の探査及び開発に関する事業活動の期間</w:t>
      </w:r>
    </w:p>
    <w:p w:rsidR="00226EC3" w:rsidRDefault="009C3028">
      <w:pPr>
        <w:pStyle w:val="jaf6"/>
      </w:pPr>
      <w:r>
        <w:lastRenderedPageBreak/>
        <w:t>三　第一号に規定する宇宙資源の探査及び開発を行おうとする場所</w:t>
      </w:r>
    </w:p>
    <w:p w:rsidR="00226EC3" w:rsidRDefault="009C3028">
      <w:pPr>
        <w:pStyle w:val="jaf6"/>
      </w:pPr>
      <w:r>
        <w:t>四　第一号に規</w:t>
      </w:r>
      <w:r>
        <w:t>定する宇宙資源の探査及び開発の方法</w:t>
      </w:r>
    </w:p>
    <w:p w:rsidR="00226EC3" w:rsidRDefault="009C3028">
      <w:pPr>
        <w:pStyle w:val="jaf6"/>
      </w:pPr>
      <w:r>
        <w:t>五　前三号に掲げるもののほか、宇宙資源の探査及び開発に関する事業活動の内容</w:t>
      </w:r>
    </w:p>
    <w:p w:rsidR="00226EC3" w:rsidRDefault="009C3028">
      <w:pPr>
        <w:pStyle w:val="jaf6"/>
      </w:pPr>
      <w:r>
        <w:t>六　その他内閣府令で定める事項</w:t>
      </w:r>
    </w:p>
    <w:p w:rsidR="00226EC3" w:rsidRDefault="009C3028">
      <w:pPr>
        <w:pStyle w:val="jaf4"/>
      </w:pPr>
      <w:r>
        <w:t>２　宇宙資源の探査及び開発の許可の申請については、内閣総理大臣は、当該申請が、宇宙活動法第二十二条各号に掲げるもののほか、次の各号のいずれにも適合していると認めるときでなければ、当該宇宙資源の探査及び開発の許可をしてはならない。</w:t>
      </w:r>
    </w:p>
    <w:p w:rsidR="00226EC3" w:rsidRDefault="009C3028">
      <w:pPr>
        <w:pStyle w:val="jaf6"/>
      </w:pPr>
      <w:r>
        <w:t>一　事業活動計画が、宇宙基本法の基本理念に則したものであり、かつ、宇宙の開発及び利用に関する諸条約の的確かつ円滑な実施及び公共の安全の確保</w:t>
      </w:r>
      <w:r>
        <w:t>に支障を及ぼすおそれがないものであること。</w:t>
      </w:r>
    </w:p>
    <w:p w:rsidR="00226EC3" w:rsidRDefault="009C3028">
      <w:pPr>
        <w:pStyle w:val="jaf6"/>
      </w:pPr>
      <w:r>
        <w:t>二　申請者（個人にあっては、宇宙活動法第二十条第二項第八号の死亡時代理人を含む。）が事業活動計画を実行する十分な能力を有すること。</w:t>
      </w:r>
    </w:p>
    <w:p w:rsidR="00226EC3" w:rsidRDefault="009C3028">
      <w:pPr>
        <w:pStyle w:val="jaf4"/>
      </w:pPr>
      <w:r>
        <w:t>３　内閣総理大臣は、宇宙資源の探査及び開発の許可をしようとするときは、当該宇宙資源の探査及び開発の許可の申請が前項各号に適合していると認めることについて、あらかじめ、経済産業大臣に協議しなければならない。</w:t>
      </w:r>
    </w:p>
    <w:p w:rsidR="00226EC3" w:rsidRDefault="009C3028">
      <w:pPr>
        <w:pStyle w:val="jaf4"/>
      </w:pPr>
      <w:r>
        <w:t>４　第一項及び宇宙活動法第二十条第二項の規定は同条第一項の許可に係る人工衛星の利用の目的を変更して宇宙資源の探査及び開発をその利用</w:t>
      </w:r>
      <w:r>
        <w:t>の目的とするための宇宙活動法第二十三条第一項の許可を受けようとする者について、前二項の規定は当該許可をしようとするときについて、それぞれ準用する。</w:t>
      </w:r>
    </w:p>
    <w:p w:rsidR="00226EC3" w:rsidRDefault="009C3028">
      <w:pPr>
        <w:pStyle w:val="jaf4"/>
      </w:pPr>
      <w:r>
        <w:t>５　宇宙資源の探査及び開発の許可又は前項に規定する宇宙活動法第二十三条第一項の許可（次条及び第五条において「宇宙資源の探査及び開発の許可等」という。）を受けた者に対する宇宙活動法の規定の適用については、宇宙活動法第二十三条第一項中「事項」とあるのは「事項又は宇宙資源の探査及び開発に関する事業活動の促進に関する法律（令和三年法律第８３号）第三条第一項に規定する事業</w:t>
      </w:r>
      <w:r>
        <w:t>活動計画（以下単に「事業活動計画」という。）」と、宇宙活動法第二十四条中「管理計画」とあるのは「管理計画及び事業活動計画」と、宇宙活動法第二十六条第一項、第三項及び第四項並びに第三十一条第一項中「この法律」とあるのは「この法律及び宇宙資源の探査及び開発に関する事業活動の促進に関する法律」と、宇宙活動法第二十六条第五項中「の規定」とあるのは「並びに宇宙資源の探査及び開発に関する事業活動の促進に関する法律第三条第二項（第二号に係る部分に限る。）の規定」と、第六十条第五号中「事項」とあるのは「事項又は事業活動計画</w:t>
      </w:r>
      <w:r>
        <w:t>」とするほか、必要な技術的読替えは、内閣府令で定める。</w:t>
      </w:r>
    </w:p>
    <w:p w:rsidR="00226EC3" w:rsidRDefault="00226EC3"/>
    <w:p w:rsidR="00226EC3" w:rsidRDefault="009C3028">
      <w:pPr>
        <w:pStyle w:val="jaa"/>
      </w:pPr>
      <w:r>
        <w:t>（公表）</w:t>
      </w:r>
    </w:p>
    <w:p w:rsidR="00226EC3" w:rsidRDefault="009C3028">
      <w:pPr>
        <w:pStyle w:val="jaf3"/>
      </w:pPr>
      <w:r>
        <w:t>第四条　内閣総理大臣は、宇宙資源の探査及び開発に関する事業活動を国際的協調の下で促進するとともに、宇宙資源の探査及び開発に関する紛争の防止に資するため、宇宙資源の探査及び開発の許可等をしたときは、その旨及び次に掲げる事項（これらの事項に変更があった場合には、変更後の当該事項）をインターネットの利用その他適切な方法により、遅滞なく、公表するものとする。ただし、公表することにより、当該宇宙資源の探査及び開発の許可等を受けて宇宙資源の探査及び開発に関する事業活動を行う者の当該事業活動に係る利益が不当に害されるおそ</w:t>
      </w:r>
      <w:r>
        <w:t>れがある場合として内閣</w:t>
      </w:r>
      <w:r>
        <w:lastRenderedPageBreak/>
        <w:t>府令で定める場合は、その全部又は一部を公表しないことができる。</w:t>
      </w:r>
    </w:p>
    <w:p w:rsidR="00226EC3" w:rsidRDefault="009C3028">
      <w:pPr>
        <w:pStyle w:val="jaf6"/>
      </w:pPr>
      <w:r>
        <w:t>一　当該宇宙資源の探査及び開発の許可等を受けた者の氏名又は名称</w:t>
      </w:r>
    </w:p>
    <w:p w:rsidR="00226EC3" w:rsidRDefault="009C3028">
      <w:pPr>
        <w:pStyle w:val="jaf6"/>
      </w:pPr>
      <w:r>
        <w:t>二　前条第一項各号（第六号を除く。）に掲げる事項</w:t>
      </w:r>
    </w:p>
    <w:p w:rsidR="00226EC3" w:rsidRDefault="009C3028">
      <w:pPr>
        <w:pStyle w:val="jaf6"/>
      </w:pPr>
      <w:r>
        <w:t>三　その他内閣府令で定める事項</w:t>
      </w:r>
    </w:p>
    <w:p w:rsidR="00226EC3" w:rsidRDefault="00226EC3"/>
    <w:p w:rsidR="00226EC3" w:rsidRDefault="009C3028">
      <w:pPr>
        <w:pStyle w:val="jaa"/>
      </w:pPr>
      <w:r>
        <w:t>（宇宙資源の所有権の取得）</w:t>
      </w:r>
    </w:p>
    <w:p w:rsidR="00226EC3" w:rsidRDefault="009C3028">
      <w:pPr>
        <w:pStyle w:val="jaf3"/>
      </w:pPr>
      <w:r>
        <w:t>第五条　宇宙資源の探査及び開発に関する事業活動を行う者が宇宙資源の探査及び開発の許可等に係る事業活動計画の定めるところに従って採掘等をした宇宙資源については、当該採掘等をした者が所有の意思をもって占有することによって、その所有権を取得する。</w:t>
      </w:r>
    </w:p>
    <w:p w:rsidR="00226EC3" w:rsidRDefault="00226EC3"/>
    <w:p w:rsidR="00226EC3" w:rsidRDefault="009C3028">
      <w:pPr>
        <w:pStyle w:val="jaa"/>
      </w:pPr>
      <w:r>
        <w:t>（国際</w:t>
      </w:r>
      <w:r>
        <w:t>約束の誠実な履行等）</w:t>
      </w:r>
    </w:p>
    <w:p w:rsidR="00226EC3" w:rsidRDefault="009C3028">
      <w:pPr>
        <w:pStyle w:val="jaf3"/>
      </w:pPr>
      <w:r>
        <w:t>第六条　この法律の施行に当たっては、我が国が締結した条約その他の国際約束の誠実な履行を妨げることがないよう留意しなければならない。</w:t>
      </w:r>
    </w:p>
    <w:p w:rsidR="00226EC3" w:rsidRDefault="009C3028">
      <w:pPr>
        <w:pStyle w:val="jaf4"/>
      </w:pPr>
      <w:r>
        <w:t>２　この法律のいかなる規定も、月その他の天体を含む宇宙空間の探査及び利用の自由を行使する他国の利益を不当に害するものではない。</w:t>
      </w:r>
    </w:p>
    <w:p w:rsidR="00226EC3" w:rsidRDefault="00226EC3"/>
    <w:p w:rsidR="00226EC3" w:rsidRDefault="009C3028">
      <w:pPr>
        <w:pStyle w:val="jaa"/>
      </w:pPr>
      <w:r>
        <w:t>（国際的な制度の構築及び連携の確保等）</w:t>
      </w:r>
    </w:p>
    <w:p w:rsidR="00226EC3" w:rsidRDefault="009C3028">
      <w:pPr>
        <w:pStyle w:val="jaf3"/>
      </w:pPr>
      <w:r>
        <w:t>第七条　国は、国際機関その他の国際的な枠組みへの協力を通じて、各国政府と共同して国際的に整合のとれた宇宙資源の探査及び開発に係る制度の構築に努めるものとする。</w:t>
      </w:r>
    </w:p>
    <w:p w:rsidR="00226EC3" w:rsidRDefault="009C3028">
      <w:pPr>
        <w:pStyle w:val="jaf4"/>
      </w:pPr>
      <w:r>
        <w:t>２　国は、民間事業者による宇</w:t>
      </w:r>
      <w:r>
        <w:t>宙資源の探査及び開発に関する事業活動に関し、国際間における情報の共有の推進、国際的な調整を図るための措置その他の国際的な連携の確保のために必要な施策を講ずるものとする。</w:t>
      </w:r>
    </w:p>
    <w:p w:rsidR="00226EC3" w:rsidRDefault="009C3028">
      <w:pPr>
        <w:pStyle w:val="jaf4"/>
      </w:pPr>
      <w:r>
        <w:t>３　国は、前二項の施策を講ずるに当たっては、我が国の宇宙資源の探査及び開発に関係する産業の健全な発展及び国際競争力の強化について適切な配慮をするものとする。</w:t>
      </w:r>
    </w:p>
    <w:p w:rsidR="00226EC3" w:rsidRDefault="00226EC3"/>
    <w:p w:rsidR="00226EC3" w:rsidRDefault="009C3028">
      <w:pPr>
        <w:pStyle w:val="jaa"/>
      </w:pPr>
      <w:r>
        <w:t>（技術的助言等）</w:t>
      </w:r>
    </w:p>
    <w:p w:rsidR="00226EC3" w:rsidRDefault="009C3028">
      <w:pPr>
        <w:pStyle w:val="jaf3"/>
      </w:pPr>
      <w:r>
        <w:t>第八条　国は、宇宙基本法第十六条に規定する民間事業者による宇宙開発利用の促進に関する施策の一環として、宇宙資源の探査及び開発に関する事業活動を行う民間事業者に対し、</w:t>
      </w:r>
      <w:r>
        <w:t>当該事業活動に関する技術的助言、情報の提供その他の援助を行うものとする。</w:t>
      </w:r>
    </w:p>
    <w:p w:rsidR="00226EC3" w:rsidRDefault="00226EC3"/>
    <w:p w:rsidR="00226EC3" w:rsidRDefault="009C3028">
      <w:pPr>
        <w:pStyle w:val="ja2"/>
      </w:pPr>
      <w:r>
        <w:t>附　則</w:t>
      </w:r>
    </w:p>
    <w:p w:rsidR="00226EC3" w:rsidRDefault="00226EC3"/>
    <w:p w:rsidR="00226EC3" w:rsidRDefault="009C3028">
      <w:pPr>
        <w:pStyle w:val="jaa"/>
      </w:pPr>
      <w:r>
        <w:t>（施行期日）</w:t>
      </w:r>
    </w:p>
    <w:p w:rsidR="00226EC3" w:rsidRDefault="009C3028">
      <w:pPr>
        <w:pStyle w:val="jaf3"/>
      </w:pPr>
      <w:r>
        <w:t>第一条　この法律は、公布の日から起算して六月を経過した日から施行する。ただし、附則第三条及び第四条の規定は、公布の日から施行する。</w:t>
      </w:r>
    </w:p>
    <w:p w:rsidR="00226EC3" w:rsidRDefault="00226EC3"/>
    <w:p w:rsidR="00226EC3" w:rsidRDefault="009C3028">
      <w:pPr>
        <w:pStyle w:val="jaa"/>
      </w:pPr>
      <w:r>
        <w:t>（経過措置）</w:t>
      </w:r>
    </w:p>
    <w:p w:rsidR="00226EC3" w:rsidRDefault="009C3028">
      <w:pPr>
        <w:pStyle w:val="jaf3"/>
      </w:pPr>
      <w:r>
        <w:t>第二条　第三条及び第四条の規定は、この法律の施行後に宇宙活動法第二十条第一項又は第二十三条第一項の許可の申請があった場合について適用し、この法律の施行前に宇宙活動法第二十条第一項又は第二十三条第一項の許可の申請があった場合については、なお従前の例による。</w:t>
      </w:r>
    </w:p>
    <w:p w:rsidR="00226EC3" w:rsidRDefault="00226EC3"/>
    <w:p w:rsidR="00226EC3" w:rsidRDefault="009C3028">
      <w:pPr>
        <w:pStyle w:val="jaa"/>
      </w:pPr>
      <w:r>
        <w:t>（政令への委任）</w:t>
      </w:r>
    </w:p>
    <w:p w:rsidR="00226EC3" w:rsidRDefault="009C3028">
      <w:pPr>
        <w:pStyle w:val="jaf3"/>
      </w:pPr>
      <w:r>
        <w:t>第三条　前条に定めるもののほか、この法律の施行に関し必要な経過措置は、政令で定める。</w:t>
      </w:r>
    </w:p>
    <w:p w:rsidR="00226EC3" w:rsidRDefault="00226EC3"/>
    <w:p w:rsidR="00226EC3" w:rsidRDefault="009C3028">
      <w:pPr>
        <w:pStyle w:val="jaa"/>
      </w:pPr>
      <w:r>
        <w:t>（検討）</w:t>
      </w:r>
    </w:p>
    <w:p w:rsidR="00226EC3" w:rsidRDefault="009C3028">
      <w:pPr>
        <w:pStyle w:val="jaf3"/>
      </w:pPr>
      <w:r>
        <w:t>第四条　政府は、この法律の施行の状況、科学技術の進展の状況、第七条第一項に規定する制度の構築に向けた取組の状況等を勘案して、民間事業者によ</w:t>
      </w:r>
      <w:r>
        <w:t>る宇宙資源の探査及び開発に関する事業活動に関する法制度の在り方について抜本的な見直しを含め検討を行い、その結果に基づき、法制の整備その他の所要の措置を講ずるものとする。</w:t>
      </w:r>
    </w:p>
    <w:p w:rsidR="00226EC3" w:rsidRDefault="00226EC3"/>
    <w:p w:rsidR="00226EC3" w:rsidRDefault="009C3028">
      <w:pPr>
        <w:pStyle w:val="jaa"/>
      </w:pPr>
      <w:r>
        <w:t>（人工衛星等の打上げ及び人工衛星の管理に関する法律の一部改正）</w:t>
      </w:r>
    </w:p>
    <w:p w:rsidR="00226EC3" w:rsidRDefault="009C3028">
      <w:pPr>
        <w:pStyle w:val="jaf3"/>
      </w:pPr>
      <w:r>
        <w:t>第五条　人工衛星等の打上げ及び人工衛星の管理に関する法律の一部を次のように改正する。</w:t>
      </w:r>
    </w:p>
    <w:p w:rsidR="00226EC3" w:rsidRDefault="009C3028">
      <w:pPr>
        <w:pStyle w:val="jaff6"/>
      </w:pPr>
      <w:r>
        <w:t>第二十条第一項中「所在する人工衛星管理設備」を「所在し、又は日本国籍を有する船舶若しくは航空機若しくは我が国が管轄権を有する人工衛星として内閣府令で定めるものに搭載された人工衛星管理設備（以下「国内等の人工衛星管理設備」という。）」に改め、同条第二項第二号中「場所」の下に「（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を加える。</w:t>
      </w:r>
    </w:p>
    <w:p w:rsidR="00226EC3" w:rsidRDefault="009C3028">
      <w:pPr>
        <w:pStyle w:val="jaff6"/>
      </w:pPr>
      <w:r>
        <w:t>第二十六</w:t>
      </w:r>
      <w:r>
        <w:t>条第一項及び第二項並びに第五十三条中「国内に所在する人工衛星管理設備」を「国内等の人工衛星管理設備」に改める。</w:t>
      </w:r>
    </w:p>
    <w:sectPr w:rsidR="00226EC3" w:rsidSect="00226E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6EC3" w:rsidRDefault="00226EC3" w:rsidP="00226EC3">
      <w:r>
        <w:separator/>
      </w:r>
    </w:p>
  </w:endnote>
  <w:endnote w:type="continuationSeparator" w:id="0">
    <w:p w:rsidR="00226EC3" w:rsidRDefault="00226EC3" w:rsidP="0022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EC3" w:rsidRDefault="00226EC3">
    <w:pPr>
      <w:pStyle w:val="a3"/>
    </w:pPr>
    <w:r>
      <w:fldChar w:fldCharType="begin"/>
    </w:r>
    <w:r>
      <w:instrText xml:space="preserve"> PAGE  \* MERGEFORMAT </w:instrText>
    </w:r>
    <w:r>
      <w:fldChar w:fldCharType="separate"/>
    </w:r>
    <w:r w:rsidR="009C30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6EC3" w:rsidRDefault="00226EC3" w:rsidP="00226EC3">
      <w:r>
        <w:separator/>
      </w:r>
    </w:p>
  </w:footnote>
  <w:footnote w:type="continuationSeparator" w:id="0">
    <w:p w:rsidR="00226EC3" w:rsidRDefault="00226EC3" w:rsidP="0022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817"/>
    <w:multiLevelType w:val="multilevel"/>
    <w:tmpl w:val="2E2A8D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4F2812"/>
    <w:multiLevelType w:val="multilevel"/>
    <w:tmpl w:val="011627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024B03"/>
    <w:multiLevelType w:val="multilevel"/>
    <w:tmpl w:val="DA6056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9A2FF1"/>
    <w:multiLevelType w:val="multilevel"/>
    <w:tmpl w:val="E99800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F03652"/>
    <w:multiLevelType w:val="multilevel"/>
    <w:tmpl w:val="57B4F1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8A6184"/>
    <w:multiLevelType w:val="multilevel"/>
    <w:tmpl w:val="81EA4C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1555ED"/>
    <w:multiLevelType w:val="multilevel"/>
    <w:tmpl w:val="70EEC0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75F28"/>
    <w:multiLevelType w:val="multilevel"/>
    <w:tmpl w:val="7CFC68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952C06"/>
    <w:multiLevelType w:val="multilevel"/>
    <w:tmpl w:val="3A808A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131DB2"/>
    <w:multiLevelType w:val="multilevel"/>
    <w:tmpl w:val="BB1CAB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56D48"/>
    <w:multiLevelType w:val="multilevel"/>
    <w:tmpl w:val="804EB6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6348A"/>
    <w:multiLevelType w:val="multilevel"/>
    <w:tmpl w:val="A89276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533FF"/>
    <w:multiLevelType w:val="multilevel"/>
    <w:tmpl w:val="0F80F8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1722362">
    <w:abstractNumId w:val="0"/>
  </w:num>
  <w:num w:numId="2" w16cid:durableId="920525956">
    <w:abstractNumId w:val="1"/>
  </w:num>
  <w:num w:numId="3" w16cid:durableId="576475276">
    <w:abstractNumId w:val="2"/>
  </w:num>
  <w:num w:numId="4" w16cid:durableId="441535901">
    <w:abstractNumId w:val="4"/>
  </w:num>
  <w:num w:numId="5" w16cid:durableId="1070226607">
    <w:abstractNumId w:val="7"/>
  </w:num>
  <w:num w:numId="6" w16cid:durableId="851840002">
    <w:abstractNumId w:val="3"/>
  </w:num>
  <w:num w:numId="7" w16cid:durableId="1232808435">
    <w:abstractNumId w:val="10"/>
  </w:num>
  <w:num w:numId="8" w16cid:durableId="1185241699">
    <w:abstractNumId w:val="5"/>
  </w:num>
  <w:num w:numId="9" w16cid:durableId="292368051">
    <w:abstractNumId w:val="9"/>
  </w:num>
  <w:num w:numId="10" w16cid:durableId="182286548">
    <w:abstractNumId w:val="12"/>
  </w:num>
  <w:num w:numId="11" w16cid:durableId="1034767690">
    <w:abstractNumId w:val="11"/>
  </w:num>
  <w:num w:numId="12" w16cid:durableId="10690076">
    <w:abstractNumId w:val="8"/>
  </w:num>
  <w:num w:numId="13" w16cid:durableId="1576544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6EC3"/>
    <w:rsid w:val="00226EC3"/>
    <w:rsid w:val="009C30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E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6E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6EC3"/>
    <w:rPr>
      <w:rFonts w:ascii="Century" w:eastAsia="Century" w:hAnsi="Century"/>
    </w:rPr>
  </w:style>
  <w:style w:type="paragraph" w:customStyle="1" w:styleId="ja0">
    <w:name w:val="款（ja）"/>
    <w:basedOn w:val="a"/>
    <w:rsid w:val="00226EC3"/>
    <w:pPr>
      <w:widowControl w:val="0"/>
      <w:ind w:left="1321" w:hanging="221"/>
    </w:pPr>
    <w:rPr>
      <w:rFonts w:ascii="ＭＳ 明朝" w:eastAsia="ＭＳ 明朝" w:hAnsi="ＭＳ 明朝" w:cs="ＭＳ 明朝"/>
      <w:b/>
    </w:rPr>
  </w:style>
  <w:style w:type="paragraph" w:customStyle="1" w:styleId="en0">
    <w:name w:val="款（en）"/>
    <w:basedOn w:val="ja0"/>
    <w:rsid w:val="00226EC3"/>
    <w:rPr>
      <w:rFonts w:ascii="Century" w:eastAsia="Century" w:hAnsi="Century" w:cs="Century"/>
    </w:rPr>
  </w:style>
  <w:style w:type="paragraph" w:customStyle="1" w:styleId="ja1">
    <w:name w:val="前文（ja）"/>
    <w:basedOn w:val="a"/>
    <w:rsid w:val="00226EC3"/>
    <w:pPr>
      <w:widowControl w:val="0"/>
      <w:ind w:firstLine="219"/>
    </w:pPr>
    <w:rPr>
      <w:rFonts w:ascii="ＭＳ 明朝" w:eastAsia="ＭＳ 明朝" w:hAnsi="ＭＳ 明朝" w:cs="ＭＳ 明朝"/>
    </w:rPr>
  </w:style>
  <w:style w:type="paragraph" w:customStyle="1" w:styleId="en1">
    <w:name w:val="前文（en）"/>
    <w:basedOn w:val="ja1"/>
    <w:rsid w:val="00226EC3"/>
    <w:rPr>
      <w:rFonts w:ascii="Century" w:eastAsia="Century" w:hAnsi="Century" w:cs="Century"/>
    </w:rPr>
  </w:style>
  <w:style w:type="paragraph" w:customStyle="1" w:styleId="ja2">
    <w:name w:val="附則（ja）"/>
    <w:basedOn w:val="a"/>
    <w:rsid w:val="00226EC3"/>
    <w:pPr>
      <w:widowControl w:val="0"/>
      <w:ind w:left="881" w:hanging="221"/>
    </w:pPr>
    <w:rPr>
      <w:rFonts w:ascii="ＭＳ 明朝" w:eastAsia="ＭＳ 明朝" w:hAnsi="ＭＳ 明朝" w:cs="ＭＳ 明朝"/>
      <w:b/>
    </w:rPr>
  </w:style>
  <w:style w:type="paragraph" w:customStyle="1" w:styleId="en2">
    <w:name w:val="附則（en）"/>
    <w:basedOn w:val="ja2"/>
    <w:rsid w:val="00226EC3"/>
    <w:rPr>
      <w:rFonts w:ascii="Century" w:hAnsi="Century" w:cs="Century"/>
    </w:rPr>
  </w:style>
  <w:style w:type="paragraph" w:customStyle="1" w:styleId="ja3">
    <w:name w:val="章（ja）"/>
    <w:basedOn w:val="a"/>
    <w:rsid w:val="00226EC3"/>
    <w:pPr>
      <w:widowControl w:val="0"/>
      <w:ind w:left="881" w:hanging="221"/>
    </w:pPr>
    <w:rPr>
      <w:rFonts w:ascii="ＭＳ 明朝" w:eastAsia="ＭＳ 明朝" w:hAnsi="ＭＳ 明朝" w:cs="ＭＳ 明朝"/>
      <w:b/>
    </w:rPr>
  </w:style>
  <w:style w:type="paragraph" w:customStyle="1" w:styleId="en3">
    <w:name w:val="章（en）"/>
    <w:basedOn w:val="ja3"/>
    <w:rsid w:val="00226EC3"/>
    <w:rPr>
      <w:rFonts w:ascii="Century" w:eastAsia="Century" w:hAnsi="Century" w:cs="Century"/>
    </w:rPr>
  </w:style>
  <w:style w:type="paragraph" w:customStyle="1" w:styleId="ja4">
    <w:name w:val="目次編（ja）"/>
    <w:basedOn w:val="a"/>
    <w:rsid w:val="00226EC3"/>
    <w:pPr>
      <w:widowControl w:val="0"/>
      <w:ind w:left="219" w:hanging="219"/>
    </w:pPr>
    <w:rPr>
      <w:rFonts w:ascii="ＭＳ 明朝" w:eastAsia="ＭＳ 明朝" w:hAnsi="ＭＳ 明朝"/>
    </w:rPr>
  </w:style>
  <w:style w:type="paragraph" w:customStyle="1" w:styleId="en4">
    <w:name w:val="目次編（en）"/>
    <w:basedOn w:val="ja4"/>
    <w:rsid w:val="00226EC3"/>
    <w:rPr>
      <w:rFonts w:ascii="Century" w:eastAsia="Century" w:hAnsi="Century"/>
    </w:rPr>
  </w:style>
  <w:style w:type="paragraph" w:customStyle="1" w:styleId="ja5">
    <w:name w:val="目次章（ja）"/>
    <w:basedOn w:val="a"/>
    <w:rsid w:val="00226EC3"/>
    <w:pPr>
      <w:widowControl w:val="0"/>
      <w:ind w:left="439" w:hanging="219"/>
    </w:pPr>
    <w:rPr>
      <w:rFonts w:ascii="ＭＳ 明朝" w:eastAsia="ＭＳ 明朝" w:hAnsi="ＭＳ 明朝"/>
    </w:rPr>
  </w:style>
  <w:style w:type="paragraph" w:customStyle="1" w:styleId="en5">
    <w:name w:val="目次章（en）"/>
    <w:basedOn w:val="ja5"/>
    <w:rsid w:val="00226EC3"/>
    <w:rPr>
      <w:rFonts w:ascii="Century" w:eastAsia="Century" w:hAnsi="Century"/>
    </w:rPr>
  </w:style>
  <w:style w:type="paragraph" w:customStyle="1" w:styleId="ja6">
    <w:name w:val="目次節（ja）"/>
    <w:basedOn w:val="a"/>
    <w:rsid w:val="00226EC3"/>
    <w:pPr>
      <w:widowControl w:val="0"/>
      <w:ind w:left="659" w:hanging="219"/>
    </w:pPr>
    <w:rPr>
      <w:rFonts w:ascii="ＭＳ 明朝" w:eastAsia="ＭＳ 明朝" w:hAnsi="ＭＳ 明朝"/>
    </w:rPr>
  </w:style>
  <w:style w:type="paragraph" w:customStyle="1" w:styleId="en6">
    <w:name w:val="目次節（en）"/>
    <w:basedOn w:val="ja6"/>
    <w:rsid w:val="00226EC3"/>
    <w:rPr>
      <w:rFonts w:ascii="Century" w:eastAsia="Century" w:hAnsi="Century"/>
    </w:rPr>
  </w:style>
  <w:style w:type="paragraph" w:customStyle="1" w:styleId="ja7">
    <w:name w:val="目次款（ja）"/>
    <w:basedOn w:val="a"/>
    <w:rsid w:val="00226EC3"/>
    <w:pPr>
      <w:widowControl w:val="0"/>
      <w:ind w:left="879" w:hanging="219"/>
    </w:pPr>
    <w:rPr>
      <w:rFonts w:ascii="ＭＳ 明朝" w:eastAsia="ＭＳ 明朝" w:hAnsi="ＭＳ 明朝" w:cs="Kochi Mincho"/>
    </w:rPr>
  </w:style>
  <w:style w:type="paragraph" w:customStyle="1" w:styleId="en7">
    <w:name w:val="目次款（en）"/>
    <w:basedOn w:val="ja7"/>
    <w:rsid w:val="00226EC3"/>
    <w:rPr>
      <w:rFonts w:ascii="Century" w:eastAsia="Century" w:hAnsi="Century"/>
    </w:rPr>
  </w:style>
  <w:style w:type="paragraph" w:customStyle="1" w:styleId="ja8">
    <w:name w:val="別表名（ja）"/>
    <w:basedOn w:val="a"/>
    <w:rsid w:val="00226E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6EC3"/>
    <w:rPr>
      <w:rFonts w:ascii="Century" w:eastAsia="Century" w:hAnsi="Century" w:cs="Century"/>
    </w:rPr>
  </w:style>
  <w:style w:type="paragraph" w:customStyle="1" w:styleId="ja9">
    <w:name w:val="目（ja）"/>
    <w:basedOn w:val="a"/>
    <w:rsid w:val="00226EC3"/>
    <w:pPr>
      <w:widowControl w:val="0"/>
      <w:ind w:left="1541" w:hanging="221"/>
    </w:pPr>
    <w:rPr>
      <w:rFonts w:ascii="ＭＳ 明朝" w:eastAsia="ＭＳ 明朝" w:hAnsi="ＭＳ 明朝" w:cs="ＭＳ 明朝"/>
      <w:b/>
    </w:rPr>
  </w:style>
  <w:style w:type="paragraph" w:customStyle="1" w:styleId="en9">
    <w:name w:val="目（en）"/>
    <w:basedOn w:val="ja9"/>
    <w:rsid w:val="00226EC3"/>
    <w:rPr>
      <w:rFonts w:ascii="Century" w:eastAsia="Century" w:hAnsi="Century" w:cs="Century"/>
    </w:rPr>
  </w:style>
  <w:style w:type="paragraph" w:customStyle="1" w:styleId="jaa">
    <w:name w:val="見出し（ja）"/>
    <w:basedOn w:val="a"/>
    <w:rsid w:val="00226EC3"/>
    <w:pPr>
      <w:widowControl w:val="0"/>
      <w:ind w:left="439" w:hanging="219"/>
    </w:pPr>
    <w:rPr>
      <w:rFonts w:ascii="ＭＳ 明朝" w:eastAsia="ＭＳ 明朝" w:hAnsi="ＭＳ 明朝" w:cs="ＭＳ 明朝"/>
    </w:rPr>
  </w:style>
  <w:style w:type="paragraph" w:customStyle="1" w:styleId="ena">
    <w:name w:val="見出し（en）"/>
    <w:basedOn w:val="jaa"/>
    <w:rsid w:val="00226EC3"/>
    <w:rPr>
      <w:rFonts w:ascii="Century" w:eastAsia="Century" w:hAnsi="Century" w:cs="Century"/>
    </w:rPr>
  </w:style>
  <w:style w:type="paragraph" w:styleId="a3">
    <w:name w:val="footer"/>
    <w:basedOn w:val="a"/>
    <w:rsid w:val="00226E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6EC3"/>
    <w:pPr>
      <w:widowControl w:val="0"/>
      <w:ind w:left="1099" w:hanging="219"/>
    </w:pPr>
    <w:rPr>
      <w:rFonts w:ascii="ＭＳ 明朝" w:eastAsia="ＭＳ 明朝" w:hAnsi="ＭＳ 明朝" w:cs="Kochi Mincho"/>
    </w:rPr>
  </w:style>
  <w:style w:type="paragraph" w:customStyle="1" w:styleId="enb">
    <w:name w:val="目次目（en）"/>
    <w:basedOn w:val="jab"/>
    <w:rsid w:val="00226EC3"/>
    <w:rPr>
      <w:rFonts w:ascii="Century" w:eastAsia="Century" w:hAnsi="Century"/>
    </w:rPr>
  </w:style>
  <w:style w:type="paragraph" w:customStyle="1" w:styleId="jac">
    <w:name w:val="目次附則（ja）"/>
    <w:basedOn w:val="a"/>
    <w:rsid w:val="00226EC3"/>
    <w:pPr>
      <w:widowControl w:val="0"/>
      <w:ind w:left="439" w:hanging="219"/>
    </w:pPr>
    <w:rPr>
      <w:rFonts w:ascii="ＭＳ 明朝" w:eastAsia="ＭＳ 明朝" w:hAnsi="ＭＳ 明朝" w:cs="Kochi Mincho"/>
    </w:rPr>
  </w:style>
  <w:style w:type="paragraph" w:customStyle="1" w:styleId="enc">
    <w:name w:val="目次附則（en）"/>
    <w:basedOn w:val="jac"/>
    <w:rsid w:val="00226EC3"/>
    <w:rPr>
      <w:rFonts w:ascii="Century" w:eastAsia="Century" w:hAnsi="Century" w:cs="Century"/>
    </w:rPr>
  </w:style>
  <w:style w:type="paragraph" w:customStyle="1" w:styleId="jad">
    <w:name w:val="目次前文（ja）"/>
    <w:basedOn w:val="jac"/>
    <w:rsid w:val="00226EC3"/>
  </w:style>
  <w:style w:type="paragraph" w:customStyle="1" w:styleId="end">
    <w:name w:val="目次前文（en）"/>
    <w:basedOn w:val="enc"/>
    <w:rsid w:val="00226EC3"/>
  </w:style>
  <w:style w:type="paragraph" w:customStyle="1" w:styleId="jae">
    <w:name w:val="制定文（ja）"/>
    <w:basedOn w:val="a"/>
    <w:rsid w:val="00226EC3"/>
    <w:pPr>
      <w:widowControl w:val="0"/>
      <w:ind w:firstLine="219"/>
    </w:pPr>
    <w:rPr>
      <w:rFonts w:ascii="ＭＳ 明朝" w:eastAsia="ＭＳ 明朝" w:hAnsi="ＭＳ 明朝" w:cs="ＭＳ 明朝"/>
    </w:rPr>
  </w:style>
  <w:style w:type="paragraph" w:customStyle="1" w:styleId="ene">
    <w:name w:val="制定文（en）"/>
    <w:basedOn w:val="jae"/>
    <w:rsid w:val="00226EC3"/>
    <w:rPr>
      <w:rFonts w:ascii="Century" w:eastAsia="Century" w:hAnsi="Century" w:cs="Century"/>
    </w:rPr>
  </w:style>
  <w:style w:type="paragraph" w:customStyle="1" w:styleId="jaf">
    <w:name w:val="法令番号（ja）"/>
    <w:basedOn w:val="a"/>
    <w:rsid w:val="00226EC3"/>
    <w:pPr>
      <w:widowControl w:val="0"/>
      <w:jc w:val="right"/>
    </w:pPr>
    <w:rPr>
      <w:rFonts w:ascii="ＭＳ 明朝" w:eastAsia="ＭＳ 明朝" w:hAnsi="ＭＳ 明朝" w:cs="Kochi Mincho"/>
    </w:rPr>
  </w:style>
  <w:style w:type="paragraph" w:customStyle="1" w:styleId="enf">
    <w:name w:val="法令番号（en）"/>
    <w:basedOn w:val="jaf"/>
    <w:rsid w:val="00226EC3"/>
    <w:rPr>
      <w:rFonts w:ascii="Century" w:eastAsia="Century" w:hAnsi="Century" w:cs="Century"/>
    </w:rPr>
  </w:style>
  <w:style w:type="paragraph" w:customStyle="1" w:styleId="jaf0">
    <w:name w:val="目次（ja）"/>
    <w:basedOn w:val="a"/>
    <w:rsid w:val="00226EC3"/>
    <w:rPr>
      <w:rFonts w:ascii="ＭＳ 明朝" w:eastAsia="ＭＳ 明朝" w:hAnsi="ＭＳ 明朝"/>
    </w:rPr>
  </w:style>
  <w:style w:type="paragraph" w:customStyle="1" w:styleId="enf0">
    <w:name w:val="目次（en）"/>
    <w:basedOn w:val="jaf0"/>
    <w:rsid w:val="00226EC3"/>
    <w:rPr>
      <w:rFonts w:ascii="Century" w:eastAsia="Century" w:hAnsi="Century"/>
    </w:rPr>
  </w:style>
  <w:style w:type="paragraph" w:customStyle="1" w:styleId="jaf1">
    <w:name w:val="編（ja）"/>
    <w:basedOn w:val="a"/>
    <w:rsid w:val="00226EC3"/>
    <w:pPr>
      <w:widowControl w:val="0"/>
      <w:ind w:left="661" w:hanging="221"/>
    </w:pPr>
    <w:rPr>
      <w:rFonts w:ascii="ＭＳ 明朝" w:eastAsia="ＭＳ 明朝" w:hAnsi="ＭＳ 明朝" w:cs="ＭＳ 明朝"/>
      <w:b/>
    </w:rPr>
  </w:style>
  <w:style w:type="paragraph" w:customStyle="1" w:styleId="enf1">
    <w:name w:val="編（en）"/>
    <w:basedOn w:val="jaf1"/>
    <w:rsid w:val="00226EC3"/>
    <w:rPr>
      <w:rFonts w:ascii="Century" w:eastAsia="Century" w:hAnsi="Century" w:cs="Century"/>
    </w:rPr>
  </w:style>
  <w:style w:type="paragraph" w:customStyle="1" w:styleId="jaf2">
    <w:name w:val="節（ja）"/>
    <w:basedOn w:val="a"/>
    <w:rsid w:val="00226EC3"/>
    <w:pPr>
      <w:widowControl w:val="0"/>
      <w:ind w:left="1101" w:hanging="221"/>
    </w:pPr>
    <w:rPr>
      <w:rFonts w:ascii="ＭＳ 明朝" w:eastAsia="ＭＳ 明朝" w:hAnsi="ＭＳ 明朝" w:cs="ＭＳ 明朝"/>
      <w:b/>
    </w:rPr>
  </w:style>
  <w:style w:type="paragraph" w:customStyle="1" w:styleId="enf2">
    <w:name w:val="節（en）"/>
    <w:basedOn w:val="jaf2"/>
    <w:rsid w:val="00226EC3"/>
    <w:rPr>
      <w:rFonts w:ascii="Century" w:eastAsia="Century" w:hAnsi="Century" w:cs="Century"/>
    </w:rPr>
  </w:style>
  <w:style w:type="paragraph" w:customStyle="1" w:styleId="jaf3">
    <w:name w:val="条（ja）"/>
    <w:basedOn w:val="a"/>
    <w:rsid w:val="00226EC3"/>
    <w:pPr>
      <w:widowControl w:val="0"/>
      <w:ind w:left="219" w:hanging="219"/>
    </w:pPr>
    <w:rPr>
      <w:rFonts w:ascii="ＭＳ 明朝" w:eastAsia="ＭＳ 明朝" w:hAnsi="ＭＳ 明朝" w:cs="ＭＳ 明朝"/>
    </w:rPr>
  </w:style>
  <w:style w:type="paragraph" w:customStyle="1" w:styleId="enf3">
    <w:name w:val="条（en）"/>
    <w:basedOn w:val="jaf3"/>
    <w:rsid w:val="00226EC3"/>
    <w:rPr>
      <w:rFonts w:ascii="Century" w:eastAsia="Century" w:hAnsi="Century" w:cs="Century"/>
    </w:rPr>
  </w:style>
  <w:style w:type="paragraph" w:customStyle="1" w:styleId="jaf4">
    <w:name w:val="項（ja）"/>
    <w:basedOn w:val="a"/>
    <w:rsid w:val="00226EC3"/>
    <w:pPr>
      <w:widowControl w:val="0"/>
      <w:ind w:left="219" w:hanging="219"/>
    </w:pPr>
    <w:rPr>
      <w:rFonts w:ascii="ＭＳ 明朝" w:eastAsia="ＭＳ 明朝" w:hAnsi="ＭＳ 明朝" w:cs="ＭＳ 明朝"/>
    </w:rPr>
  </w:style>
  <w:style w:type="paragraph" w:customStyle="1" w:styleId="enf4">
    <w:name w:val="項（en）"/>
    <w:basedOn w:val="jaf4"/>
    <w:rsid w:val="00226EC3"/>
    <w:rPr>
      <w:rFonts w:ascii="Century" w:eastAsia="Century" w:hAnsi="Century" w:cs="Century"/>
    </w:rPr>
  </w:style>
  <w:style w:type="paragraph" w:customStyle="1" w:styleId="jaf5">
    <w:name w:val="項　番号なし（ja）"/>
    <w:basedOn w:val="a"/>
    <w:rsid w:val="00226EC3"/>
    <w:pPr>
      <w:widowControl w:val="0"/>
      <w:ind w:firstLine="221"/>
    </w:pPr>
    <w:rPr>
      <w:rFonts w:ascii="ＭＳ 明朝" w:eastAsia="ＭＳ 明朝" w:hAnsi="ＭＳ 明朝" w:cs="ＭＳ 明朝"/>
    </w:rPr>
  </w:style>
  <w:style w:type="paragraph" w:customStyle="1" w:styleId="enf5">
    <w:name w:val="項　番号なし（en）"/>
    <w:basedOn w:val="jaf5"/>
    <w:rsid w:val="00226EC3"/>
    <w:rPr>
      <w:rFonts w:ascii="Century" w:eastAsia="Century" w:hAnsi="Century" w:cs="Century"/>
    </w:rPr>
  </w:style>
  <w:style w:type="paragraph" w:customStyle="1" w:styleId="jaf6">
    <w:name w:val="号（ja）"/>
    <w:basedOn w:val="a"/>
    <w:rsid w:val="00226EC3"/>
    <w:pPr>
      <w:widowControl w:val="0"/>
      <w:ind w:left="439" w:hanging="219"/>
    </w:pPr>
    <w:rPr>
      <w:rFonts w:ascii="ＭＳ 明朝" w:eastAsia="ＭＳ 明朝" w:hAnsi="ＭＳ 明朝" w:cs="ＭＳ 明朝"/>
    </w:rPr>
  </w:style>
  <w:style w:type="paragraph" w:customStyle="1" w:styleId="enf6">
    <w:name w:val="号（en）"/>
    <w:basedOn w:val="jaf6"/>
    <w:rsid w:val="00226EC3"/>
    <w:rPr>
      <w:rFonts w:ascii="Century" w:eastAsia="Century" w:hAnsi="Century" w:cs="Century"/>
    </w:rPr>
  </w:style>
  <w:style w:type="paragraph" w:customStyle="1" w:styleId="jaf7">
    <w:name w:val="号　番号なし（ja）"/>
    <w:basedOn w:val="a"/>
    <w:rsid w:val="00226EC3"/>
    <w:pPr>
      <w:widowControl w:val="0"/>
      <w:ind w:left="221" w:firstLine="221"/>
    </w:pPr>
    <w:rPr>
      <w:rFonts w:ascii="ＭＳ 明朝" w:eastAsia="ＭＳ 明朝" w:hAnsi="ＭＳ 明朝" w:cs="ＭＳ 明朝"/>
    </w:rPr>
  </w:style>
  <w:style w:type="paragraph" w:customStyle="1" w:styleId="enf7">
    <w:name w:val="号　番号なし（en）"/>
    <w:basedOn w:val="jaf7"/>
    <w:rsid w:val="00226EC3"/>
    <w:rPr>
      <w:rFonts w:ascii="Century" w:eastAsia="Century" w:hAnsi="Century" w:cs="Century"/>
    </w:rPr>
  </w:style>
  <w:style w:type="paragraph" w:customStyle="1" w:styleId="jaf8">
    <w:name w:val="備考号（ja）"/>
    <w:basedOn w:val="a"/>
    <w:rsid w:val="00226EC3"/>
    <w:pPr>
      <w:widowControl w:val="0"/>
      <w:ind w:left="659" w:hanging="219"/>
    </w:pPr>
    <w:rPr>
      <w:rFonts w:ascii="ＭＳ 明朝" w:eastAsia="ＭＳ 明朝" w:hAnsi="ＭＳ 明朝" w:cs="ＭＳ 明朝"/>
    </w:rPr>
  </w:style>
  <w:style w:type="paragraph" w:customStyle="1" w:styleId="enf8">
    <w:name w:val="備考号（en）"/>
    <w:basedOn w:val="jaf8"/>
    <w:rsid w:val="00226EC3"/>
    <w:rPr>
      <w:rFonts w:ascii="Century" w:eastAsia="Century" w:hAnsi="Century" w:cs="Century"/>
    </w:rPr>
  </w:style>
  <w:style w:type="paragraph" w:customStyle="1" w:styleId="jaf9">
    <w:name w:val="号細分（ja）"/>
    <w:basedOn w:val="a"/>
    <w:rsid w:val="00226EC3"/>
    <w:pPr>
      <w:widowControl w:val="0"/>
      <w:ind w:left="659" w:hanging="219"/>
    </w:pPr>
    <w:rPr>
      <w:rFonts w:ascii="ＭＳ 明朝" w:eastAsia="ＭＳ 明朝" w:hAnsi="ＭＳ 明朝" w:cs="ＭＳ 明朝"/>
    </w:rPr>
  </w:style>
  <w:style w:type="paragraph" w:customStyle="1" w:styleId="enf9">
    <w:name w:val="号細分（en）"/>
    <w:basedOn w:val="jaf9"/>
    <w:rsid w:val="00226EC3"/>
    <w:rPr>
      <w:rFonts w:ascii="Century" w:eastAsia="Century" w:hAnsi="Century" w:cs="Century"/>
    </w:rPr>
  </w:style>
  <w:style w:type="paragraph" w:customStyle="1" w:styleId="jafa">
    <w:name w:val="号細分　番号なし（ja）"/>
    <w:basedOn w:val="a"/>
    <w:rsid w:val="00226EC3"/>
    <w:pPr>
      <w:widowControl w:val="0"/>
      <w:ind w:left="439"/>
    </w:pPr>
    <w:rPr>
      <w:rFonts w:ascii="ＭＳ 明朝" w:eastAsia="ＭＳ 明朝" w:hAnsi="ＭＳ 明朝" w:cs="ＭＳ 明朝"/>
    </w:rPr>
  </w:style>
  <w:style w:type="paragraph" w:customStyle="1" w:styleId="enfa">
    <w:name w:val="号細分　番号なし（en）"/>
    <w:basedOn w:val="jafa"/>
    <w:rsid w:val="00226EC3"/>
    <w:rPr>
      <w:rFonts w:ascii="Century" w:eastAsia="Century" w:hAnsi="Century" w:cs="Century"/>
    </w:rPr>
  </w:style>
  <w:style w:type="paragraph" w:customStyle="1" w:styleId="jafb">
    <w:name w:val="備考号細分（ja）"/>
    <w:basedOn w:val="a"/>
    <w:rsid w:val="00226EC3"/>
    <w:pPr>
      <w:widowControl w:val="0"/>
      <w:ind w:left="1099" w:hanging="439"/>
    </w:pPr>
    <w:rPr>
      <w:rFonts w:ascii="ＭＳ 明朝" w:eastAsia="ＭＳ 明朝" w:hAnsi="ＭＳ 明朝" w:cs="ＭＳ 明朝"/>
    </w:rPr>
  </w:style>
  <w:style w:type="paragraph" w:customStyle="1" w:styleId="enfb">
    <w:name w:val="備考号細分（en）"/>
    <w:basedOn w:val="jafb"/>
    <w:rsid w:val="00226EC3"/>
    <w:rPr>
      <w:rFonts w:ascii="Century" w:eastAsia="Century" w:hAnsi="Century" w:cs="Century"/>
    </w:rPr>
  </w:style>
  <w:style w:type="paragraph" w:customStyle="1" w:styleId="jafc">
    <w:name w:val="号細細分（ja）"/>
    <w:basedOn w:val="a"/>
    <w:rsid w:val="00226EC3"/>
    <w:pPr>
      <w:widowControl w:val="0"/>
      <w:ind w:left="1099" w:hanging="439"/>
    </w:pPr>
    <w:rPr>
      <w:rFonts w:ascii="ＭＳ 明朝" w:eastAsia="ＭＳ 明朝" w:hAnsi="ＭＳ 明朝" w:cs="ＭＳ 明朝"/>
    </w:rPr>
  </w:style>
  <w:style w:type="paragraph" w:customStyle="1" w:styleId="enfc">
    <w:name w:val="号細細分（en）"/>
    <w:basedOn w:val="jafc"/>
    <w:rsid w:val="00226EC3"/>
    <w:rPr>
      <w:rFonts w:ascii="Century" w:eastAsia="Century" w:hAnsi="Century" w:cs="Century"/>
    </w:rPr>
  </w:style>
  <w:style w:type="paragraph" w:customStyle="1" w:styleId="jafd">
    <w:name w:val="号細細分　番号なし（ja）"/>
    <w:basedOn w:val="a"/>
    <w:rsid w:val="00226EC3"/>
    <w:pPr>
      <w:widowControl w:val="0"/>
      <w:ind w:left="659"/>
    </w:pPr>
    <w:rPr>
      <w:rFonts w:ascii="ＭＳ 明朝" w:eastAsia="ＭＳ 明朝" w:hAnsi="ＭＳ 明朝" w:cs="ＭＳ 明朝"/>
    </w:rPr>
  </w:style>
  <w:style w:type="paragraph" w:customStyle="1" w:styleId="enfd">
    <w:name w:val="号細細分　番号なし（en）"/>
    <w:basedOn w:val="jafd"/>
    <w:rsid w:val="00226EC3"/>
    <w:rPr>
      <w:rFonts w:ascii="Century" w:eastAsia="Century" w:hAnsi="Century" w:cs="Century"/>
    </w:rPr>
  </w:style>
  <w:style w:type="paragraph" w:customStyle="1" w:styleId="jafe">
    <w:name w:val="備考号細細分（ja）"/>
    <w:basedOn w:val="a"/>
    <w:rsid w:val="00226EC3"/>
    <w:pPr>
      <w:widowControl w:val="0"/>
      <w:ind w:left="1319" w:hanging="439"/>
    </w:pPr>
    <w:rPr>
      <w:rFonts w:ascii="ＭＳ 明朝" w:eastAsia="ＭＳ 明朝" w:hAnsi="ＭＳ 明朝" w:cs="ＭＳ 明朝"/>
    </w:rPr>
  </w:style>
  <w:style w:type="paragraph" w:customStyle="1" w:styleId="enfe">
    <w:name w:val="備考号細細分（en）"/>
    <w:basedOn w:val="jafe"/>
    <w:rsid w:val="00226EC3"/>
    <w:rPr>
      <w:rFonts w:ascii="Century" w:eastAsia="Century" w:hAnsi="Century" w:cs="Century"/>
    </w:rPr>
  </w:style>
  <w:style w:type="paragraph" w:customStyle="1" w:styleId="jaff">
    <w:name w:val="号細細細分（ja）"/>
    <w:basedOn w:val="a"/>
    <w:rsid w:val="00226EC3"/>
    <w:pPr>
      <w:widowControl w:val="0"/>
      <w:ind w:left="1319" w:hanging="439"/>
    </w:pPr>
    <w:rPr>
      <w:rFonts w:ascii="ＭＳ 明朝" w:eastAsia="ＭＳ 明朝" w:hAnsi="ＭＳ 明朝" w:cs="ＭＳ 明朝"/>
    </w:rPr>
  </w:style>
  <w:style w:type="paragraph" w:customStyle="1" w:styleId="enff">
    <w:name w:val="号細細細分（en）"/>
    <w:basedOn w:val="jaff"/>
    <w:rsid w:val="00226EC3"/>
    <w:rPr>
      <w:rFonts w:ascii="Century" w:eastAsia="Century" w:hAnsi="Century" w:cs="Century"/>
    </w:rPr>
  </w:style>
  <w:style w:type="paragraph" w:customStyle="1" w:styleId="jaff0">
    <w:name w:val="号細細細分　番号なし（ja）"/>
    <w:basedOn w:val="a"/>
    <w:rsid w:val="00226EC3"/>
    <w:pPr>
      <w:widowControl w:val="0"/>
      <w:ind w:left="879"/>
    </w:pPr>
    <w:rPr>
      <w:rFonts w:ascii="ＭＳ 明朝" w:eastAsia="ＭＳ 明朝" w:hAnsi="ＭＳ 明朝" w:cs="ＭＳ 明朝"/>
    </w:rPr>
  </w:style>
  <w:style w:type="paragraph" w:customStyle="1" w:styleId="enff0">
    <w:name w:val="号細細細分　番号なし（en）"/>
    <w:basedOn w:val="jaff0"/>
    <w:rsid w:val="00226EC3"/>
    <w:rPr>
      <w:rFonts w:ascii="Century" w:eastAsia="Century" w:hAnsi="Century" w:cs="Century"/>
    </w:rPr>
  </w:style>
  <w:style w:type="paragraph" w:customStyle="1" w:styleId="jaff1">
    <w:name w:val="備考号細細細分（ja）"/>
    <w:basedOn w:val="a"/>
    <w:rsid w:val="00226E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6EC3"/>
    <w:rPr>
      <w:rFonts w:ascii="Century" w:eastAsia="Century" w:hAnsi="Century" w:cs="Century"/>
    </w:rPr>
  </w:style>
  <w:style w:type="paragraph" w:customStyle="1" w:styleId="jaff2">
    <w:name w:val="類（ja）"/>
    <w:basedOn w:val="a"/>
    <w:rsid w:val="00226EC3"/>
    <w:pPr>
      <w:widowControl w:val="0"/>
      <w:ind w:left="439" w:hanging="219"/>
    </w:pPr>
    <w:rPr>
      <w:rFonts w:ascii="ＭＳ 明朝" w:eastAsia="ＭＳ 明朝" w:hAnsi="ＭＳ 明朝" w:cs="ＭＳ 明朝"/>
    </w:rPr>
  </w:style>
  <w:style w:type="paragraph" w:customStyle="1" w:styleId="enff2">
    <w:name w:val="類（en）"/>
    <w:basedOn w:val="jaff2"/>
    <w:rsid w:val="00226EC3"/>
    <w:rPr>
      <w:rFonts w:ascii="Century" w:eastAsia="Century" w:hAnsi="Century" w:cs="Century"/>
    </w:rPr>
  </w:style>
  <w:style w:type="paragraph" w:customStyle="1" w:styleId="jaff3">
    <w:name w:val="公布文（ja）"/>
    <w:basedOn w:val="a"/>
    <w:rsid w:val="00226EC3"/>
    <w:pPr>
      <w:widowControl w:val="0"/>
      <w:ind w:firstLine="219"/>
    </w:pPr>
    <w:rPr>
      <w:rFonts w:ascii="ＭＳ 明朝" w:eastAsia="ＭＳ 明朝" w:hAnsi="ＭＳ 明朝" w:cs="ＭＳ 明朝"/>
    </w:rPr>
  </w:style>
  <w:style w:type="paragraph" w:customStyle="1" w:styleId="enff3">
    <w:name w:val="公布文（en）"/>
    <w:basedOn w:val="jaff3"/>
    <w:rsid w:val="00226EC3"/>
    <w:rPr>
      <w:rFonts w:ascii="Century" w:eastAsia="Century" w:hAnsi="Century" w:cs="Century"/>
    </w:rPr>
  </w:style>
  <w:style w:type="paragraph" w:customStyle="1" w:styleId="jaen">
    <w:name w:val="表（ja：en）"/>
    <w:basedOn w:val="a"/>
    <w:rsid w:val="00226EC3"/>
    <w:pPr>
      <w:widowControl w:val="0"/>
      <w:snapToGrid w:val="0"/>
    </w:pPr>
    <w:rPr>
      <w:rFonts w:ascii="Century" w:eastAsia="ＭＳ 明朝" w:hAnsi="Century"/>
    </w:rPr>
  </w:style>
  <w:style w:type="paragraph" w:customStyle="1" w:styleId="jaff4">
    <w:name w:val="備考（ja）"/>
    <w:basedOn w:val="a"/>
    <w:rsid w:val="00226EC3"/>
    <w:pPr>
      <w:widowControl w:val="0"/>
      <w:ind w:left="439" w:hanging="219"/>
    </w:pPr>
    <w:rPr>
      <w:rFonts w:ascii="ＭＳ 明朝" w:eastAsia="ＭＳ 明朝" w:hAnsi="ＭＳ 明朝" w:cs="ＭＳ 明朝"/>
    </w:rPr>
  </w:style>
  <w:style w:type="paragraph" w:customStyle="1" w:styleId="enff4">
    <w:name w:val="備考（en）"/>
    <w:basedOn w:val="jaff4"/>
    <w:rsid w:val="00226EC3"/>
    <w:rPr>
      <w:rFonts w:ascii="Century" w:eastAsia="Century" w:hAnsi="Century" w:cs="Century"/>
    </w:rPr>
  </w:style>
  <w:style w:type="paragraph" w:customStyle="1" w:styleId="jaff5">
    <w:name w:val="表タイトル（ja）"/>
    <w:basedOn w:val="a"/>
    <w:rsid w:val="00226EC3"/>
    <w:pPr>
      <w:widowControl w:val="0"/>
      <w:ind w:left="219"/>
    </w:pPr>
    <w:rPr>
      <w:rFonts w:ascii="ＭＳ 明朝" w:eastAsia="ＭＳ 明朝" w:hAnsi="ＭＳ 明朝" w:cs="ＭＳ 明朝"/>
    </w:rPr>
  </w:style>
  <w:style w:type="paragraph" w:customStyle="1" w:styleId="enff5">
    <w:name w:val="表タイトル（en）"/>
    <w:basedOn w:val="jaff5"/>
    <w:rsid w:val="00226EC3"/>
    <w:rPr>
      <w:rFonts w:ascii="Century" w:eastAsia="Century" w:hAnsi="Century" w:cs="Century"/>
    </w:rPr>
  </w:style>
  <w:style w:type="paragraph" w:customStyle="1" w:styleId="jaff6">
    <w:name w:val="改正規定文（ja）"/>
    <w:basedOn w:val="a"/>
    <w:rsid w:val="00226EC3"/>
    <w:pPr>
      <w:widowControl w:val="0"/>
      <w:ind w:left="219" w:firstLine="219"/>
    </w:pPr>
    <w:rPr>
      <w:rFonts w:ascii="ＭＳ 明朝" w:eastAsia="ＭＳ 明朝" w:hAnsi="ＭＳ 明朝" w:cs="ＭＳ 明朝"/>
    </w:rPr>
  </w:style>
  <w:style w:type="paragraph" w:customStyle="1" w:styleId="enff6">
    <w:name w:val="改正規定文（en）"/>
    <w:basedOn w:val="jaff6"/>
    <w:rsid w:val="00226EC3"/>
    <w:rPr>
      <w:rFonts w:ascii="Century" w:eastAsia="Century" w:hAnsi="Century" w:cs="Century"/>
    </w:rPr>
  </w:style>
  <w:style w:type="paragraph" w:customStyle="1" w:styleId="jaff7">
    <w:name w:val="付記（ja）"/>
    <w:basedOn w:val="a"/>
    <w:rsid w:val="00226EC3"/>
    <w:pPr>
      <w:widowControl w:val="0"/>
      <w:ind w:left="219" w:firstLine="219"/>
    </w:pPr>
    <w:rPr>
      <w:rFonts w:ascii="ＭＳ 明朝" w:eastAsia="ＭＳ 明朝" w:hAnsi="ＭＳ 明朝" w:cs="ＭＳ 明朝"/>
    </w:rPr>
  </w:style>
  <w:style w:type="paragraph" w:customStyle="1" w:styleId="enff7">
    <w:name w:val="付記（en）"/>
    <w:basedOn w:val="jaff7"/>
    <w:rsid w:val="00226EC3"/>
    <w:rPr>
      <w:rFonts w:ascii="Century" w:eastAsia="Century" w:hAnsi="Century" w:cs="Century"/>
    </w:rPr>
  </w:style>
  <w:style w:type="paragraph" w:customStyle="1" w:styleId="jaff8">
    <w:name w:val="様式名（ja）"/>
    <w:basedOn w:val="a"/>
    <w:rsid w:val="00226EC3"/>
    <w:pPr>
      <w:widowControl w:val="0"/>
      <w:ind w:left="439" w:hanging="219"/>
    </w:pPr>
    <w:rPr>
      <w:rFonts w:ascii="ＭＳ 明朝" w:eastAsia="ＭＳ 明朝" w:hAnsi="ＭＳ 明朝" w:cs="ＭＳ 明朝"/>
    </w:rPr>
  </w:style>
  <w:style w:type="paragraph" w:customStyle="1" w:styleId="enff8">
    <w:name w:val="様式名（en）"/>
    <w:basedOn w:val="jaff8"/>
    <w:rsid w:val="00226EC3"/>
    <w:rPr>
      <w:rFonts w:ascii="Century" w:eastAsia="Century" w:hAnsi="Century" w:cs="Century"/>
    </w:rPr>
  </w:style>
  <w:style w:type="paragraph" w:customStyle="1" w:styleId="jaff9">
    <w:name w:val="様式項目（ja）"/>
    <w:basedOn w:val="a"/>
    <w:rsid w:val="00226EC3"/>
    <w:pPr>
      <w:widowControl w:val="0"/>
      <w:ind w:left="221" w:firstLine="221"/>
    </w:pPr>
    <w:rPr>
      <w:rFonts w:ascii="ＭＳ 明朝" w:eastAsia="ＭＳ 明朝" w:hAnsi="ＭＳ 明朝" w:cs="ＭＳ 明朝"/>
    </w:rPr>
  </w:style>
  <w:style w:type="paragraph" w:customStyle="1" w:styleId="enff9">
    <w:name w:val="様式項目（en）"/>
    <w:basedOn w:val="jaff9"/>
    <w:rsid w:val="00226EC3"/>
    <w:rPr>
      <w:rFonts w:ascii="Century" w:eastAsia="Century" w:hAnsi="Century" w:cs="Century"/>
    </w:rPr>
  </w:style>
  <w:style w:type="table" w:customStyle="1" w:styleId="1">
    <w:name w:val="表1"/>
    <w:rsid w:val="00226EC3"/>
    <w:tblPr>
      <w:tblInd w:w="340" w:type="dxa"/>
      <w:tblCellMar>
        <w:top w:w="0" w:type="dxa"/>
        <w:left w:w="0" w:type="dxa"/>
        <w:bottom w:w="0" w:type="dxa"/>
        <w:right w:w="0" w:type="dxa"/>
      </w:tblCellMar>
    </w:tblPr>
  </w:style>
  <w:style w:type="numbering" w:customStyle="1" w:styleId="WW8Num1">
    <w:name w:val="WW8Num1"/>
    <w:rsid w:val="00226EC3"/>
    <w:pPr>
      <w:numPr>
        <w:numId w:val="2"/>
      </w:numPr>
    </w:pPr>
  </w:style>
  <w:style w:type="numbering" w:customStyle="1" w:styleId="WW8Num2">
    <w:name w:val="WW8Num2"/>
    <w:rsid w:val="00226EC3"/>
    <w:pPr>
      <w:numPr>
        <w:numId w:val="3"/>
      </w:numPr>
    </w:pPr>
  </w:style>
  <w:style w:type="numbering" w:customStyle="1" w:styleId="WW8Num3">
    <w:name w:val="WW8Num3"/>
    <w:rsid w:val="00226EC3"/>
    <w:pPr>
      <w:numPr>
        <w:numId w:val="4"/>
      </w:numPr>
    </w:pPr>
  </w:style>
  <w:style w:type="numbering" w:customStyle="1" w:styleId="WW8Num4">
    <w:name w:val="WW8Num4"/>
    <w:rsid w:val="00226EC3"/>
    <w:pPr>
      <w:numPr>
        <w:numId w:val="5"/>
      </w:numPr>
    </w:pPr>
  </w:style>
  <w:style w:type="numbering" w:customStyle="1" w:styleId="WW8Num5">
    <w:name w:val="WW8Num5"/>
    <w:rsid w:val="00226EC3"/>
    <w:pPr>
      <w:numPr>
        <w:numId w:val="6"/>
      </w:numPr>
    </w:pPr>
  </w:style>
  <w:style w:type="numbering" w:customStyle="1" w:styleId="WW8Num6">
    <w:name w:val="WW8Num6"/>
    <w:rsid w:val="00226EC3"/>
    <w:pPr>
      <w:numPr>
        <w:numId w:val="7"/>
      </w:numPr>
    </w:pPr>
  </w:style>
  <w:style w:type="numbering" w:customStyle="1" w:styleId="WW8Num7">
    <w:name w:val="WW8Num7"/>
    <w:rsid w:val="00226EC3"/>
    <w:pPr>
      <w:numPr>
        <w:numId w:val="8"/>
      </w:numPr>
    </w:pPr>
  </w:style>
  <w:style w:type="numbering" w:customStyle="1" w:styleId="WW8Num8">
    <w:name w:val="WW8Num8"/>
    <w:rsid w:val="00226EC3"/>
    <w:pPr>
      <w:numPr>
        <w:numId w:val="9"/>
      </w:numPr>
    </w:pPr>
  </w:style>
  <w:style w:type="numbering" w:customStyle="1" w:styleId="WW8Num9">
    <w:name w:val="WW8Num9"/>
    <w:rsid w:val="00226EC3"/>
    <w:pPr>
      <w:numPr>
        <w:numId w:val="10"/>
      </w:numPr>
    </w:pPr>
  </w:style>
  <w:style w:type="numbering" w:customStyle="1" w:styleId="WW8Num10">
    <w:name w:val="WW8Num10"/>
    <w:rsid w:val="00226EC3"/>
    <w:pPr>
      <w:numPr>
        <w:numId w:val="11"/>
      </w:numPr>
    </w:pPr>
  </w:style>
  <w:style w:type="numbering" w:customStyle="1" w:styleId="WW8Num11">
    <w:name w:val="WW8Num11"/>
    <w:rsid w:val="00226EC3"/>
    <w:pPr>
      <w:numPr>
        <w:numId w:val="12"/>
      </w:numPr>
    </w:pPr>
  </w:style>
  <w:style w:type="numbering" w:customStyle="1" w:styleId="WW8Num12">
    <w:name w:val="WW8Num12"/>
    <w:rsid w:val="00226EC3"/>
    <w:pPr>
      <w:numPr>
        <w:numId w:val="13"/>
      </w:numPr>
    </w:pPr>
  </w:style>
  <w:style w:type="paragraph" w:styleId="a4">
    <w:name w:val="header"/>
    <w:basedOn w:val="a"/>
    <w:link w:val="a5"/>
    <w:uiPriority w:val="99"/>
    <w:unhideWhenUsed/>
    <w:rsid w:val="009C3028"/>
    <w:pPr>
      <w:tabs>
        <w:tab w:val="center" w:pos="4252"/>
        <w:tab w:val="right" w:pos="8504"/>
      </w:tabs>
      <w:snapToGrid w:val="0"/>
    </w:pPr>
  </w:style>
  <w:style w:type="character" w:customStyle="1" w:styleId="a5">
    <w:name w:val="ヘッダー (文字)"/>
    <w:basedOn w:val="a0"/>
    <w:link w:val="a4"/>
    <w:uiPriority w:val="99"/>
    <w:rsid w:val="009C30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2023-05-12T06:08:00Z</dcterms:created>
  <dcterms:modified xsi:type="dcterms:W3CDTF">2023-05-12T06:08:00Z</dcterms:modified>
</cp:coreProperties>
</file>