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28C3" w:rsidRDefault="009F16AB">
      <w:pPr>
        <w:pStyle w:val="ja"/>
      </w:pPr>
      <w:r>
        <w:t>公衆等脅迫目的の犯罪行為等のための資金等の提供等の処罰に関する法律</w:t>
      </w:r>
    </w:p>
    <w:p w:rsidR="00B028C3" w:rsidRDefault="00B028C3"/>
    <w:p w:rsidR="00B028C3" w:rsidRDefault="009F16AB">
      <w:pPr>
        <w:pStyle w:val="jaf"/>
      </w:pPr>
      <w:r>
        <w:t>（平成十四年六月十二日法律第六十七号）</w:t>
      </w:r>
    </w:p>
    <w:p w:rsidR="00B028C3" w:rsidRDefault="00B028C3"/>
    <w:p w:rsidR="00B028C3" w:rsidRDefault="009F16AB">
      <w:pPr>
        <w:pStyle w:val="jaa"/>
      </w:pPr>
      <w:r>
        <w:t>（定義）</w:t>
      </w:r>
    </w:p>
    <w:p w:rsidR="00B028C3" w:rsidRDefault="009F16AB">
      <w:pPr>
        <w:pStyle w:val="jaf3"/>
      </w:pPr>
      <w:r>
        <w:t>第一条　この法律において「公衆等脅迫目的の犯罪行為」とは、公衆又は国若しくは地方公共団体若しくは外国政府等（外国の政府若しくは地方公共団体又は条約その他の国際約束により設立された国際機関をいう。）を脅迫する目的をもって行われる犯罪行為であって、次の各号のいずれかに該当するものをいう。</w:t>
      </w:r>
    </w:p>
    <w:p w:rsidR="00B028C3" w:rsidRDefault="009F16AB">
      <w:pPr>
        <w:pStyle w:val="jaf6"/>
      </w:pPr>
      <w:r>
        <w:t>一　人を殺害し、若しくは凶器の使用その他人の身体に重大な危害を及ぼす方法によりその身体を傷害し、又は人を略取し、若しくは誘拐し、若しくは人質にする行為</w:t>
      </w:r>
    </w:p>
    <w:p w:rsidR="00B028C3" w:rsidRDefault="009F16AB">
      <w:pPr>
        <w:pStyle w:val="jaf6"/>
      </w:pPr>
      <w:r>
        <w:t>二　航空機又は船舶に係る次に掲げる行為</w:t>
      </w:r>
    </w:p>
    <w:p w:rsidR="00B028C3" w:rsidRDefault="009F16AB">
      <w:pPr>
        <w:pStyle w:val="jaf9"/>
      </w:pPr>
      <w:r>
        <w:t>イ　航行中の航空機を墜落させ、転覆</w:t>
      </w:r>
      <w:r>
        <w:t>させ、若しくは覆没させ、又はその航行に危険を生じさせる行為</w:t>
      </w:r>
    </w:p>
    <w:p w:rsidR="00B028C3" w:rsidRDefault="009F16AB">
      <w:pPr>
        <w:pStyle w:val="jaf9"/>
      </w:pPr>
      <w:r>
        <w:t>ロ　航行中の船舶を沈没させ、若しくは転覆させ、又はその航行に危険を生じさせる行為</w:t>
      </w:r>
    </w:p>
    <w:p w:rsidR="00B028C3" w:rsidRDefault="009F16AB">
      <w:pPr>
        <w:pStyle w:val="jaf9"/>
      </w:pPr>
      <w:r>
        <w:t>ハ　暴行若しくは脅迫を用い、又はその他の方法により人を抵抗不能の状態に陥れて、航行中の航空機若しくは船舶を強取し、又はほしいままにその運航を支配する行為</w:t>
      </w:r>
    </w:p>
    <w:p w:rsidR="00B028C3" w:rsidRDefault="009F16AB">
      <w:pPr>
        <w:pStyle w:val="jaf9"/>
      </w:pPr>
      <w:r>
        <w:t>ニ　爆発物を爆発させ、放火し、又はその他の方法により、航空機若しくは船舶を破壊し、その他これに重大な損傷を与える行為</w:t>
      </w:r>
    </w:p>
    <w:p w:rsidR="00B028C3" w:rsidRDefault="009F16AB">
      <w:pPr>
        <w:pStyle w:val="jaf6"/>
      </w:pPr>
      <w:r>
        <w:t>三　爆発物を爆発させ、放火し、又はその他次に掲げるものに重大な危害を及ぼす方法により、これを破壊し</w:t>
      </w:r>
      <w:r>
        <w:t>、その他これに重大な損傷を与える行為</w:t>
      </w:r>
    </w:p>
    <w:p w:rsidR="00B028C3" w:rsidRDefault="009F16AB">
      <w:pPr>
        <w:pStyle w:val="jaf9"/>
      </w:pPr>
      <w:r>
        <w:t>イ　電車、自動車その他の人若しくは物の運送に用いる車両であって、公用若しくは公衆の利用に供するもの又はその運行の用に供する施設（ロに該当するものを除く。）</w:t>
      </w:r>
    </w:p>
    <w:p w:rsidR="00B028C3" w:rsidRDefault="009F16AB">
      <w:pPr>
        <w:pStyle w:val="jaf9"/>
      </w:pPr>
      <w:r>
        <w:t>ロ　道路、公園、駅その他の公衆の利用に供する施設</w:t>
      </w:r>
    </w:p>
    <w:p w:rsidR="00B028C3" w:rsidRDefault="009F16AB">
      <w:pPr>
        <w:pStyle w:val="jaf9"/>
      </w:pPr>
      <w:r>
        <w:t>ハ　電気若しくはガスを供給するための施設、水道施設若しくは下水道施設又は電気通信を行うための施設であって、公用又は公衆の利用に供するもの</w:t>
      </w:r>
    </w:p>
    <w:p w:rsidR="00B028C3" w:rsidRDefault="009F16AB">
      <w:pPr>
        <w:pStyle w:val="jaf9"/>
      </w:pPr>
      <w:r>
        <w:t>ニ　石油、可燃性天然ガス、石炭又は核燃料である物質若しくはその原料となる物質を生産し、精製その他の燃料とするための処理をし、輸送し</w:t>
      </w:r>
      <w:r>
        <w:t>、又は貯蔵するための施設</w:t>
      </w:r>
    </w:p>
    <w:p w:rsidR="00B028C3" w:rsidRDefault="009F16AB">
      <w:pPr>
        <w:pStyle w:val="jaf9"/>
      </w:pPr>
      <w:r>
        <w:t>ホ　建造物（イからニまでに該当するものを除く。）</w:t>
      </w:r>
    </w:p>
    <w:p w:rsidR="00B028C3" w:rsidRDefault="009F16AB">
      <w:pPr>
        <w:pStyle w:val="jaf4"/>
      </w:pPr>
      <w:r>
        <w:t>２　この法律において「特定犯罪行為」とは、次の各号のいずれかに該当する犯罪行為をいう。</w:t>
      </w:r>
    </w:p>
    <w:p w:rsidR="00B028C3" w:rsidRDefault="009F16AB">
      <w:pPr>
        <w:pStyle w:val="jaf6"/>
      </w:pPr>
      <w:r>
        <w:t>一　国際的に保護される者（国際的に保護される者（外交官を含む。）に対する犯罪の防止及び処罰に関する条約第一条１に規定する国際的に保護される者をいう。第五号において同じ。）を殺害し、若しくは凶器の使用その他その身体に重大な危害を及ぼす方法によりその身体を傷害し、又はその者を略取し、若しくは誘拐し、若</w:t>
      </w:r>
      <w:r>
        <w:lastRenderedPageBreak/>
        <w:t>しくは人質にする行為</w:t>
      </w:r>
    </w:p>
    <w:p w:rsidR="00B028C3" w:rsidRDefault="009F16AB">
      <w:pPr>
        <w:pStyle w:val="jaf6"/>
      </w:pPr>
      <w:r>
        <w:t>二　人を殺害し、又は凶器の使</w:t>
      </w:r>
      <w:r>
        <w:t>用その他人の身体に重大な危害を及ぼす方法によりその身体を傷害する行為であって、次のいずれかに該当するもの（前号に該当するものを除く。）</w:t>
      </w:r>
    </w:p>
    <w:p w:rsidR="00B028C3" w:rsidRDefault="009F16AB">
      <w:pPr>
        <w:pStyle w:val="jaf9"/>
      </w:pPr>
      <w:r>
        <w:t>イ　航行中の民間航空機（民間航空の用に供する航空機をいう。以下この項において同じ。）内の人に対して行われるもの（当該民間航空機の安全な航行を損なうおそれがあるものに限る。）</w:t>
      </w:r>
    </w:p>
    <w:p w:rsidR="00B028C3" w:rsidRDefault="009F16AB">
      <w:pPr>
        <w:pStyle w:val="jaf9"/>
      </w:pPr>
      <w:r>
        <w:t>ロ　航行中の民間船舶（公用に供する船舶以外の船舶をいう。以下この項において同じ。）内の人に対して行われるもの（当該民間船舶の安全な航行を損なうおそれがあるものに限る。）</w:t>
      </w:r>
    </w:p>
    <w:p w:rsidR="00B028C3" w:rsidRDefault="009F16AB">
      <w:pPr>
        <w:pStyle w:val="jaf9"/>
      </w:pPr>
      <w:r>
        <w:t>ハ　国際空港（航空法（昭和二十七</w:t>
      </w:r>
      <w:r>
        <w:t>年法律第二百三十一号）第二条第十九項に規定する国際航空運送事業の用に供される飛行場又はこれに相当する外国の飛行場をいう。以下このハ及び第八号ロにおいて同じ。）において行われるもの（当該国際空港における安全を損なうおそれがあるものに限る。）</w:t>
      </w:r>
    </w:p>
    <w:p w:rsidR="00B028C3" w:rsidRDefault="009F16AB">
      <w:pPr>
        <w:pStyle w:val="jaf9"/>
      </w:pPr>
      <w:r>
        <w:t>ニ　固定プラットフォーム（大陸棚に所在する固定プラットフォームの安全に対する不法な行為の防止に関する議定書第一条３に規定する固定プラットフォームをいう。以下このニ及び第十号ハにおいて同じ。）において行われるもの（当該固定プラットフォームの安全を損なうおそれがあるものに限る</w:t>
      </w:r>
      <w:r>
        <w:t>。）</w:t>
      </w:r>
    </w:p>
    <w:p w:rsidR="00B028C3" w:rsidRDefault="009F16AB">
      <w:pPr>
        <w:pStyle w:val="jaf6"/>
      </w:pPr>
      <w:r>
        <w:t>三　公共施設等（前項第三号イからニまでに掲げるもの、同号ホに掲げるもの（公用又は公衆の利用に供するものに限る。）又は人若しくは物の運送に用いる航空機若しくは船舶であって公用若しくは公衆の利用に供するものをいう。）において、次に掲げる方法のいずれかにより、人を殺害し、又は人の身体を傷害する行為（前二号に該当するものを除く。）</w:t>
      </w:r>
    </w:p>
    <w:p w:rsidR="00B028C3" w:rsidRDefault="009F16AB">
      <w:pPr>
        <w:pStyle w:val="jaf9"/>
      </w:pPr>
      <w:r>
        <w:t>イ　爆発物を爆発させる方法</w:t>
      </w:r>
    </w:p>
    <w:p w:rsidR="00B028C3" w:rsidRDefault="009F16AB">
      <w:pPr>
        <w:pStyle w:val="jaf9"/>
      </w:pPr>
      <w:r>
        <w:t>ロ　火炎びんの使用等の処罰に関する法律（昭和四十七年法律第十七号）第一条に規定する火炎びんを使用する方法</w:t>
      </w:r>
    </w:p>
    <w:p w:rsidR="00B028C3" w:rsidRDefault="009F16AB">
      <w:pPr>
        <w:pStyle w:val="jaf9"/>
      </w:pPr>
      <w:r>
        <w:t>ハ　細菌兵器（生物兵器）及び毒素兵器の開発、生産及び貯蔵の禁止並びに廃棄に関する条約等の実施に関する法律（昭和五十七年法律第六十一号）第二条第三項に規定する生物兵器又は同条第四項に規定する毒素兵器を使用して、当該生物兵器又は当該毒素兵器に充填された同条第一項に規定する生物剤又は同条第二項に規定する毒素を発散させる方法</w:t>
      </w:r>
    </w:p>
    <w:p w:rsidR="00B028C3" w:rsidRDefault="009F16AB">
      <w:pPr>
        <w:pStyle w:val="jaf9"/>
      </w:pPr>
      <w:r>
        <w:t>ニ　化学兵器の禁止及び特定物質の規制等に関する法律（平成七年法律第六十五号）第二条第二項に規定する化学兵器を使用して、当該化学兵器に充填され、又は当該化学兵器の内部で生成された同条第一項に規定</w:t>
      </w:r>
      <w:r>
        <w:t>する毒性物質又はこれと同等の毒性を有する物質を発散させる方法</w:t>
      </w:r>
    </w:p>
    <w:p w:rsidR="00B028C3" w:rsidRDefault="009F16AB">
      <w:pPr>
        <w:pStyle w:val="jaf9"/>
      </w:pPr>
      <w:r>
        <w:t>ホ　サリン等による人身被害の防止に関する法律（平成七年法律第七十八号）第二条に規定するサリン等を発散させる方法</w:t>
      </w:r>
    </w:p>
    <w:p w:rsidR="00B028C3" w:rsidRDefault="009F16AB">
      <w:pPr>
        <w:pStyle w:val="jaf6"/>
      </w:pPr>
      <w:r>
        <w:t>四　放射線を発散させる等の方法（放射性物質（放射線を発散させて人の生命等に危険を生じさせる行為等の処罰に関する法律（平成十九年法律第三十八号）第二条第三項に規定する放射性物質をいう。）をみだりに取り扱うこと若しくは原子核分裂等装置（同条第四項に規定する原子核分裂等装置をいう。）をみだりに操作するこ</w:t>
      </w:r>
      <w:r>
        <w:lastRenderedPageBreak/>
        <w:t>とにより、又はその他不当な方法で、核燃料</w:t>
      </w:r>
      <w:r>
        <w:t>物質（同条第一項に規定する核燃料物質をいう。）の原子核分裂の連鎖反応を引き起こし、又は放射線（同条第二項に規定する放射線をいう。）を発散させる方法をいう。第九号において同じ。）により、人を殺害し、又は人の身体を傷害する行為（第一号及び第二号に該当するものを除く。）</w:t>
      </w:r>
    </w:p>
    <w:p w:rsidR="00B028C3" w:rsidRDefault="009F16AB">
      <w:pPr>
        <w:pStyle w:val="jaf6"/>
      </w:pPr>
      <w:r>
        <w:t>五　次のイからホまでに掲げる行為であって、国際的に保護される者の用に供する当該イからホまでに定めるものに関して行われ、当該国際的に保護される者の身体又は自由を害するおそれがあるもの</w:t>
      </w:r>
    </w:p>
    <w:p w:rsidR="00B028C3" w:rsidRDefault="009F16AB">
      <w:pPr>
        <w:pStyle w:val="jaf9"/>
      </w:pPr>
      <w:r>
        <w:t>イ　前項第二号イに掲げる行為　同号イに規定する航空機</w:t>
      </w:r>
    </w:p>
    <w:p w:rsidR="00B028C3" w:rsidRDefault="009F16AB">
      <w:pPr>
        <w:pStyle w:val="jaf9"/>
      </w:pPr>
      <w:r>
        <w:t>ロ　前項第</w:t>
      </w:r>
      <w:r>
        <w:t>二号ロに掲げる行為　同号ロに規定する船舶</w:t>
      </w:r>
    </w:p>
    <w:p w:rsidR="00B028C3" w:rsidRDefault="009F16AB">
      <w:pPr>
        <w:pStyle w:val="jaf9"/>
      </w:pPr>
      <w:r>
        <w:t>ハ　前項第二号ハに掲げる行為　同号ハに規定する航空機又は船舶</w:t>
      </w:r>
    </w:p>
    <w:p w:rsidR="00B028C3" w:rsidRDefault="009F16AB">
      <w:pPr>
        <w:pStyle w:val="jaf9"/>
      </w:pPr>
      <w:r>
        <w:t>ニ　前項第二号ニに掲げる行為　同号ニに規定する航空機又は船舶</w:t>
      </w:r>
    </w:p>
    <w:p w:rsidR="00B028C3" w:rsidRDefault="009F16AB">
      <w:pPr>
        <w:pStyle w:val="jaf9"/>
      </w:pPr>
      <w:r>
        <w:t>ホ　前項第三号に掲げる行為（同号イ、ロ又はホに係る部分に限る。）　同号イ、ロ又はホに掲げるもの</w:t>
      </w:r>
    </w:p>
    <w:p w:rsidR="00B028C3" w:rsidRDefault="009F16AB">
      <w:pPr>
        <w:pStyle w:val="jaf6"/>
      </w:pPr>
      <w:r>
        <w:t>六　前項第二号イ又はハに掲げる行為であって、民間航空機に関して行われるもの（前号（同号イ及びハに係る部分に限る。）に該当するものを除く。）</w:t>
      </w:r>
    </w:p>
    <w:p w:rsidR="00B028C3" w:rsidRDefault="009F16AB">
      <w:pPr>
        <w:pStyle w:val="jaf6"/>
      </w:pPr>
      <w:r>
        <w:t>七　前項第二号ロ又はハに掲げる行為であって、民間船舶に関して行われるもの（第五号（同号ロ及びハに係る部分に限る</w:t>
      </w:r>
      <w:r>
        <w:t>。）に該当するものを除く。）</w:t>
      </w:r>
    </w:p>
    <w:p w:rsidR="00B028C3" w:rsidRDefault="009F16AB">
      <w:pPr>
        <w:pStyle w:val="jaf6"/>
      </w:pPr>
      <w:r>
        <w:t>八　前項第二号ニに掲げる行為であって、次のいずれかに該当するもの（第五号（同号ニに係る部分に限る。）に該当するものを除く。）</w:t>
      </w:r>
    </w:p>
    <w:p w:rsidR="00B028C3" w:rsidRDefault="009F16AB">
      <w:pPr>
        <w:pStyle w:val="jaf9"/>
      </w:pPr>
      <w:r>
        <w:t>イ　民間航空の安全に対する不法な行為の防止に関する条約第二条（ｂ）の規定により業務中の民間航空機とみなされる民間航空機（ロにおいて「業務中の民間航空機」という。）に関して行われるもの</w:t>
      </w:r>
    </w:p>
    <w:p w:rsidR="00B028C3" w:rsidRDefault="009F16AB">
      <w:pPr>
        <w:pStyle w:val="jaf9"/>
      </w:pPr>
      <w:r>
        <w:t>ロ　国際空港にある民間航空機（業務中の民間航空機に該当するものを除く。）に関して行われるもの（当該国際空港における安全を損なうおそれがあるものに限る。）</w:t>
      </w:r>
    </w:p>
    <w:p w:rsidR="00B028C3" w:rsidRDefault="009F16AB">
      <w:pPr>
        <w:pStyle w:val="jaf9"/>
      </w:pPr>
      <w:r>
        <w:t>ハ　航行中の民間船</w:t>
      </w:r>
      <w:r>
        <w:t>舶に関して行われるもの</w:t>
      </w:r>
    </w:p>
    <w:p w:rsidR="00B028C3" w:rsidRDefault="009F16AB">
      <w:pPr>
        <w:pStyle w:val="jaf6"/>
      </w:pPr>
      <w:r>
        <w:t>九　前項第二号ニ又は同項第三号に掲げる行為であって、放射線を発散させる等の方法により行われるもの（第五号（同号ニ及びホに係る部分に限る。）及び前号に該当するものを除く。）</w:t>
      </w:r>
    </w:p>
    <w:p w:rsidR="00B028C3" w:rsidRDefault="009F16AB">
      <w:pPr>
        <w:pStyle w:val="jaf6"/>
      </w:pPr>
      <w:r>
        <w:t>十　爆発物を爆発させ、放火し、又はその他次のイからハまでに掲げるものに重大な危害を及ぼす方法により、これを破壊し、その他これに重大な損傷を与える行為のうち、当該イからハまでに定めるおそれがあるもの</w:t>
      </w:r>
    </w:p>
    <w:p w:rsidR="00B028C3" w:rsidRDefault="009F16AB">
      <w:pPr>
        <w:pStyle w:val="jaf9"/>
      </w:pPr>
      <w:r>
        <w:t>イ　民間航空機の運航の用に供する飛行場の設備又は航空保安施設　民間航空機の安全な航行を損なうおそれ</w:t>
      </w:r>
    </w:p>
    <w:p w:rsidR="00B028C3" w:rsidRDefault="009F16AB">
      <w:pPr>
        <w:pStyle w:val="jaf9"/>
      </w:pPr>
      <w:r>
        <w:t>ロ　民間船舶の運航</w:t>
      </w:r>
      <w:r>
        <w:t>の用に供する航路標識（航路標識法（昭和二十四年法律第九十九号）第一条第二項に規定する航路標識をいう。）　民間船舶の安全な航行を損なうおそれ</w:t>
      </w:r>
    </w:p>
    <w:p w:rsidR="00B028C3" w:rsidRDefault="009F16AB">
      <w:pPr>
        <w:pStyle w:val="jaf9"/>
      </w:pPr>
      <w:r>
        <w:t>ハ　固定プラットフォーム　当該固定プラットフォームの安全を損なうおそれ</w:t>
      </w:r>
    </w:p>
    <w:p w:rsidR="00B028C3" w:rsidRDefault="00B028C3"/>
    <w:p w:rsidR="00B028C3" w:rsidRDefault="009F16AB">
      <w:pPr>
        <w:pStyle w:val="jaa"/>
      </w:pPr>
      <w:r>
        <w:t>（公衆等脅迫目的の犯罪行為等を実行しようとする者による資金等を提供させる行</w:t>
      </w:r>
      <w:r>
        <w:lastRenderedPageBreak/>
        <w:t>為）</w:t>
      </w:r>
    </w:p>
    <w:p w:rsidR="00B028C3" w:rsidRDefault="009F16AB">
      <w:pPr>
        <w:pStyle w:val="jaf3"/>
      </w:pPr>
      <w:r>
        <w:t>第二条　公衆等脅迫目的の犯罪行為又は特定犯罪行為（以下「公衆等脅迫目的の犯罪行為等」という。）を実行しようとする者が、その実行のために利用する目的で、資金若しくはその実行に資するその他利益（資金以外の土地、建物、物品、</w:t>
      </w:r>
      <w:r>
        <w:t>役務その他の利益をいう。以下同じ。）の提供を勧誘し、若しくは要請し、又はその他の方法により、これらの資金又はその他利益を提供させたときは、十二年以下の懲役若しくは千二百万円以下の罰金に処し、又はこれを併科する。</w:t>
      </w:r>
    </w:p>
    <w:p w:rsidR="00B028C3" w:rsidRDefault="009F16AB">
      <w:pPr>
        <w:pStyle w:val="jaf4"/>
      </w:pPr>
      <w:r>
        <w:t>２　前項の罪の未遂は、罰する。</w:t>
      </w:r>
    </w:p>
    <w:p w:rsidR="00B028C3" w:rsidRDefault="00B028C3"/>
    <w:p w:rsidR="00B028C3" w:rsidRDefault="009F16AB">
      <w:pPr>
        <w:pStyle w:val="jaa"/>
      </w:pPr>
      <w:r>
        <w:t>（公衆等脅迫目的の犯罪行為等を実行しようとする者以外の者による資金等の提供等）</w:t>
      </w:r>
    </w:p>
    <w:p w:rsidR="00B028C3" w:rsidRDefault="009F16AB">
      <w:pPr>
        <w:pStyle w:val="jaf3"/>
      </w:pPr>
      <w:r>
        <w:t>第三条　公衆等脅迫目的の犯罪行為等の実行を容易にする目的で、これを実行しようとする者に対し、資金又はその実行に資するその他利益を提供した者は、十二年以下の懲役又は千二百万円以下の罰金に処する。</w:t>
      </w:r>
    </w:p>
    <w:p w:rsidR="00B028C3" w:rsidRDefault="009F16AB">
      <w:pPr>
        <w:pStyle w:val="jaf4"/>
      </w:pPr>
      <w:r>
        <w:t>２　公衆等脅迫目的の犯罪行為等の実行を容易にする目的で、当該公衆等脅迫目的の犯罪行為等に係る前項の罪を実行しようとする者に対し、資金又は当該公衆等脅迫目的の犯罪行為等の実行に資するその他利益を提供した者は、十年以下の懲役又は千万円以下の罰金に処する。当該公衆等脅迫目的の犯罪行為等に係る同項の罪を実行しようとする者が、その罪の実行のために利用する目的で、その提供を受けたときは、十年以下の拘禁刑若しくは千万円以下の罰金に処し、又はこれを併科する。</w:t>
      </w:r>
    </w:p>
    <w:p w:rsidR="00B028C3" w:rsidRDefault="009F16AB">
      <w:pPr>
        <w:pStyle w:val="jaf4"/>
      </w:pPr>
      <w:r>
        <w:t>３　前項後段に規定するもののほか、第一項の罪を実行しようとする者</w:t>
      </w:r>
      <w:r>
        <w:t>が、その実行のために利用する目的で、資金若しくはその実行に資するその他利益の提供を勧誘し、若しくは要請し、又はその他の方法により、これらの資金又はその他利益を提供させたときは、七年以下の懲役若しくは七百万円以下の罰金に処し、又はこれを併科する。</w:t>
      </w:r>
    </w:p>
    <w:p w:rsidR="00B028C3" w:rsidRDefault="009F16AB">
      <w:pPr>
        <w:pStyle w:val="jaf4"/>
      </w:pPr>
      <w:r>
        <w:t>４　前三項の罪の未遂は、罰する。</w:t>
      </w:r>
    </w:p>
    <w:p w:rsidR="00B028C3" w:rsidRDefault="00B028C3"/>
    <w:p w:rsidR="00B028C3" w:rsidRDefault="009F16AB">
      <w:pPr>
        <w:pStyle w:val="jaf3"/>
      </w:pPr>
      <w:r>
        <w:t>第四条　前条第一項の罪の実行を容易にする目的で、これを実行しようとする者に対し、資金又はその実行に資するその他利益を提供した者は、七年以下の懲役又は七百万円以下の罰金に処する。</w:t>
      </w:r>
    </w:p>
    <w:p w:rsidR="00B028C3" w:rsidRDefault="009F16AB">
      <w:pPr>
        <w:pStyle w:val="jaf4"/>
      </w:pPr>
      <w:r>
        <w:t>２　前項の罪の未遂は、罰する。</w:t>
      </w:r>
    </w:p>
    <w:p w:rsidR="00B028C3" w:rsidRDefault="00B028C3"/>
    <w:p w:rsidR="00B028C3" w:rsidRDefault="009F16AB">
      <w:pPr>
        <w:pStyle w:val="jaf3"/>
      </w:pPr>
      <w:r>
        <w:t>第五条　前二条に規</w:t>
      </w:r>
      <w:r>
        <w:t>定するもののほか、公衆等脅迫目的の犯罪行為等の実行のために利用されるものとして、資金又はその他利益を提供した者は、五年以下の懲役又は五百万円以下の罰金に処する。</w:t>
      </w:r>
    </w:p>
    <w:p w:rsidR="00B028C3" w:rsidRDefault="009F16AB">
      <w:pPr>
        <w:pStyle w:val="jaf4"/>
      </w:pPr>
      <w:r>
        <w:t>２　第三条に規定するもののほか、公衆等脅迫目的の犯罪行為等の実行のために利用されるものとして、資金若しくはその他利益の提供を勧誘し、若しくは要請し、又はその他の方法により、これらの資金又はその他利益を提供させた者は、五年以下の拘禁刑若しくは五百万円以下の罰金に処し、又はこれを併科する。</w:t>
      </w:r>
    </w:p>
    <w:p w:rsidR="00B028C3" w:rsidRDefault="009F16AB">
      <w:pPr>
        <w:pStyle w:val="jaf4"/>
      </w:pPr>
      <w:r>
        <w:t>３　前二項の罪の未遂は、罰する。</w:t>
      </w:r>
    </w:p>
    <w:p w:rsidR="00B028C3" w:rsidRDefault="00B028C3"/>
    <w:p w:rsidR="00B028C3" w:rsidRDefault="009F16AB">
      <w:pPr>
        <w:pStyle w:val="jaa"/>
      </w:pPr>
      <w:r>
        <w:t>（自首）</w:t>
      </w:r>
    </w:p>
    <w:p w:rsidR="00B028C3" w:rsidRDefault="009F16AB">
      <w:pPr>
        <w:pStyle w:val="jaf3"/>
      </w:pPr>
      <w:r>
        <w:lastRenderedPageBreak/>
        <w:t>第六条　第二条か</w:t>
      </w:r>
      <w:r>
        <w:t>ら前条までの罪を犯した者が当該罪に係る公衆等脅迫目的の犯罪行為等の実行の着手前に自首したときは、その刑を減軽し、又は免除する。</w:t>
      </w:r>
    </w:p>
    <w:p w:rsidR="00B028C3" w:rsidRDefault="00B028C3"/>
    <w:p w:rsidR="00B028C3" w:rsidRDefault="009F16AB">
      <w:pPr>
        <w:pStyle w:val="jaa"/>
      </w:pPr>
      <w:r>
        <w:t>（国外犯）</w:t>
      </w:r>
    </w:p>
    <w:p w:rsidR="00B028C3" w:rsidRDefault="009F16AB">
      <w:pPr>
        <w:pStyle w:val="jaf3"/>
      </w:pPr>
      <w:r>
        <w:t>第七条　第二条から第五条までの罪は、刑法（明治四十年法律第四十五号）第三条及び第四条の二の例に従う。</w:t>
      </w:r>
    </w:p>
    <w:p w:rsidR="00B028C3" w:rsidRDefault="00B028C3"/>
    <w:p w:rsidR="00B028C3" w:rsidRDefault="009F16AB">
      <w:pPr>
        <w:pStyle w:val="jaa"/>
      </w:pPr>
      <w:r>
        <w:t>（両罰規定）</w:t>
      </w:r>
    </w:p>
    <w:p w:rsidR="00B028C3" w:rsidRDefault="009F16AB">
      <w:pPr>
        <w:pStyle w:val="jaf3"/>
      </w:pPr>
      <w:r>
        <w:t>第八条　法人の代表者又は法人若しくは人の代理人、使用人その他の従業者が、その法人又は人の業務に関して第二条から第五条までの罪を犯したときは、行為者を罰するほか、その法人又は人に対しても各本条の罰金刑を科する。</w:t>
      </w:r>
    </w:p>
    <w:sectPr w:rsidR="00B028C3" w:rsidSect="00B028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28C3" w:rsidRDefault="00B028C3" w:rsidP="00B028C3">
      <w:r>
        <w:separator/>
      </w:r>
    </w:p>
  </w:endnote>
  <w:endnote w:type="continuationSeparator" w:id="0">
    <w:p w:rsidR="00B028C3" w:rsidRDefault="00B028C3" w:rsidP="00B0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8C3" w:rsidRDefault="00B028C3">
    <w:pPr>
      <w:pStyle w:val="a3"/>
    </w:pPr>
    <w:r>
      <w:fldChar w:fldCharType="begin"/>
    </w:r>
    <w:r>
      <w:instrText xml:space="preserve"> PAGE  \* MERGEFORMAT </w:instrText>
    </w:r>
    <w:r>
      <w:fldChar w:fldCharType="separate"/>
    </w:r>
    <w:r w:rsidR="009F16A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28C3" w:rsidRDefault="00B028C3" w:rsidP="00B028C3">
      <w:r>
        <w:separator/>
      </w:r>
    </w:p>
  </w:footnote>
  <w:footnote w:type="continuationSeparator" w:id="0">
    <w:p w:rsidR="00B028C3" w:rsidRDefault="00B028C3" w:rsidP="00B02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E58"/>
    <w:multiLevelType w:val="multilevel"/>
    <w:tmpl w:val="ECC4DC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764DA3"/>
    <w:multiLevelType w:val="multilevel"/>
    <w:tmpl w:val="780CF4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496A7C"/>
    <w:multiLevelType w:val="multilevel"/>
    <w:tmpl w:val="C5D410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C3457E"/>
    <w:multiLevelType w:val="multilevel"/>
    <w:tmpl w:val="590461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F535C2"/>
    <w:multiLevelType w:val="multilevel"/>
    <w:tmpl w:val="3EEAE5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FF7F4E"/>
    <w:multiLevelType w:val="multilevel"/>
    <w:tmpl w:val="4A4250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577625"/>
    <w:multiLevelType w:val="multilevel"/>
    <w:tmpl w:val="8EC24C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88497F"/>
    <w:multiLevelType w:val="multilevel"/>
    <w:tmpl w:val="D1EA7A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3B102F9"/>
    <w:multiLevelType w:val="multilevel"/>
    <w:tmpl w:val="8A685B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0C6A66"/>
    <w:multiLevelType w:val="multilevel"/>
    <w:tmpl w:val="209A0C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05420D"/>
    <w:multiLevelType w:val="multilevel"/>
    <w:tmpl w:val="473C29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104F13"/>
    <w:multiLevelType w:val="multilevel"/>
    <w:tmpl w:val="9FEEDD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3C2C69"/>
    <w:multiLevelType w:val="multilevel"/>
    <w:tmpl w:val="FB30FE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40071196">
    <w:abstractNumId w:val="7"/>
  </w:num>
  <w:num w:numId="2" w16cid:durableId="661396472">
    <w:abstractNumId w:val="10"/>
  </w:num>
  <w:num w:numId="3" w16cid:durableId="646666153">
    <w:abstractNumId w:val="6"/>
  </w:num>
  <w:num w:numId="4" w16cid:durableId="2082676921">
    <w:abstractNumId w:val="12"/>
  </w:num>
  <w:num w:numId="5" w16cid:durableId="1017583078">
    <w:abstractNumId w:val="4"/>
  </w:num>
  <w:num w:numId="6" w16cid:durableId="1848865530">
    <w:abstractNumId w:val="8"/>
  </w:num>
  <w:num w:numId="7" w16cid:durableId="1861354740">
    <w:abstractNumId w:val="9"/>
  </w:num>
  <w:num w:numId="8" w16cid:durableId="483206675">
    <w:abstractNumId w:val="3"/>
  </w:num>
  <w:num w:numId="9" w16cid:durableId="1329165605">
    <w:abstractNumId w:val="2"/>
  </w:num>
  <w:num w:numId="10" w16cid:durableId="800339651">
    <w:abstractNumId w:val="1"/>
  </w:num>
  <w:num w:numId="11" w16cid:durableId="758867410">
    <w:abstractNumId w:val="5"/>
  </w:num>
  <w:num w:numId="12" w16cid:durableId="1882129644">
    <w:abstractNumId w:val="11"/>
  </w:num>
  <w:num w:numId="13" w16cid:durableId="203780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28C3"/>
    <w:rsid w:val="009F16AB"/>
    <w:rsid w:val="00B028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8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028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028C3"/>
    <w:rPr>
      <w:rFonts w:ascii="Century" w:eastAsia="Century" w:hAnsi="Century"/>
    </w:rPr>
  </w:style>
  <w:style w:type="paragraph" w:customStyle="1" w:styleId="ja0">
    <w:name w:val="款（ja）"/>
    <w:basedOn w:val="a"/>
    <w:rsid w:val="00B028C3"/>
    <w:pPr>
      <w:widowControl w:val="0"/>
      <w:ind w:left="1321" w:hanging="221"/>
    </w:pPr>
    <w:rPr>
      <w:rFonts w:ascii="ＭＳ 明朝" w:eastAsia="ＭＳ 明朝" w:hAnsi="ＭＳ 明朝" w:cs="ＭＳ 明朝"/>
      <w:b/>
    </w:rPr>
  </w:style>
  <w:style w:type="paragraph" w:customStyle="1" w:styleId="en0">
    <w:name w:val="款（en）"/>
    <w:basedOn w:val="ja0"/>
    <w:rsid w:val="00B028C3"/>
    <w:rPr>
      <w:rFonts w:ascii="Century" w:eastAsia="Century" w:hAnsi="Century" w:cs="Century"/>
    </w:rPr>
  </w:style>
  <w:style w:type="paragraph" w:customStyle="1" w:styleId="ja1">
    <w:name w:val="前文（ja）"/>
    <w:basedOn w:val="a"/>
    <w:rsid w:val="00B028C3"/>
    <w:pPr>
      <w:widowControl w:val="0"/>
      <w:ind w:firstLine="219"/>
    </w:pPr>
    <w:rPr>
      <w:rFonts w:ascii="ＭＳ 明朝" w:eastAsia="ＭＳ 明朝" w:hAnsi="ＭＳ 明朝" w:cs="ＭＳ 明朝"/>
    </w:rPr>
  </w:style>
  <w:style w:type="paragraph" w:customStyle="1" w:styleId="en1">
    <w:name w:val="前文（en）"/>
    <w:basedOn w:val="ja1"/>
    <w:rsid w:val="00B028C3"/>
    <w:rPr>
      <w:rFonts w:ascii="Century" w:eastAsia="Century" w:hAnsi="Century" w:cs="Century"/>
    </w:rPr>
  </w:style>
  <w:style w:type="paragraph" w:customStyle="1" w:styleId="ja2">
    <w:name w:val="附則（ja）"/>
    <w:basedOn w:val="a"/>
    <w:rsid w:val="00B028C3"/>
    <w:pPr>
      <w:widowControl w:val="0"/>
      <w:ind w:left="881" w:hanging="221"/>
    </w:pPr>
    <w:rPr>
      <w:rFonts w:ascii="ＭＳ 明朝" w:eastAsia="ＭＳ 明朝" w:hAnsi="ＭＳ 明朝" w:cs="ＭＳ 明朝"/>
      <w:b/>
    </w:rPr>
  </w:style>
  <w:style w:type="paragraph" w:customStyle="1" w:styleId="en2">
    <w:name w:val="附則（en）"/>
    <w:basedOn w:val="ja2"/>
    <w:rsid w:val="00B028C3"/>
    <w:rPr>
      <w:rFonts w:ascii="Century" w:hAnsi="Century" w:cs="Century"/>
    </w:rPr>
  </w:style>
  <w:style w:type="paragraph" w:customStyle="1" w:styleId="ja3">
    <w:name w:val="章（ja）"/>
    <w:basedOn w:val="a"/>
    <w:rsid w:val="00B028C3"/>
    <w:pPr>
      <w:widowControl w:val="0"/>
      <w:ind w:left="881" w:hanging="221"/>
    </w:pPr>
    <w:rPr>
      <w:rFonts w:ascii="ＭＳ 明朝" w:eastAsia="ＭＳ 明朝" w:hAnsi="ＭＳ 明朝" w:cs="ＭＳ 明朝"/>
      <w:b/>
    </w:rPr>
  </w:style>
  <w:style w:type="paragraph" w:customStyle="1" w:styleId="en3">
    <w:name w:val="章（en）"/>
    <w:basedOn w:val="ja3"/>
    <w:rsid w:val="00B028C3"/>
    <w:rPr>
      <w:rFonts w:ascii="Century" w:eastAsia="Century" w:hAnsi="Century" w:cs="Century"/>
    </w:rPr>
  </w:style>
  <w:style w:type="paragraph" w:customStyle="1" w:styleId="ja4">
    <w:name w:val="目次編（ja）"/>
    <w:basedOn w:val="a"/>
    <w:rsid w:val="00B028C3"/>
    <w:pPr>
      <w:widowControl w:val="0"/>
      <w:ind w:left="219" w:hanging="219"/>
    </w:pPr>
    <w:rPr>
      <w:rFonts w:ascii="ＭＳ 明朝" w:eastAsia="ＭＳ 明朝" w:hAnsi="ＭＳ 明朝"/>
    </w:rPr>
  </w:style>
  <w:style w:type="paragraph" w:customStyle="1" w:styleId="en4">
    <w:name w:val="目次編（en）"/>
    <w:basedOn w:val="ja4"/>
    <w:rsid w:val="00B028C3"/>
    <w:rPr>
      <w:rFonts w:ascii="Century" w:eastAsia="Century" w:hAnsi="Century"/>
    </w:rPr>
  </w:style>
  <w:style w:type="paragraph" w:customStyle="1" w:styleId="ja5">
    <w:name w:val="目次章（ja）"/>
    <w:basedOn w:val="a"/>
    <w:rsid w:val="00B028C3"/>
    <w:pPr>
      <w:widowControl w:val="0"/>
      <w:ind w:left="439" w:hanging="219"/>
    </w:pPr>
    <w:rPr>
      <w:rFonts w:ascii="ＭＳ 明朝" w:eastAsia="ＭＳ 明朝" w:hAnsi="ＭＳ 明朝"/>
    </w:rPr>
  </w:style>
  <w:style w:type="paragraph" w:customStyle="1" w:styleId="en5">
    <w:name w:val="目次章（en）"/>
    <w:basedOn w:val="ja5"/>
    <w:rsid w:val="00B028C3"/>
    <w:rPr>
      <w:rFonts w:ascii="Century" w:eastAsia="Century" w:hAnsi="Century"/>
    </w:rPr>
  </w:style>
  <w:style w:type="paragraph" w:customStyle="1" w:styleId="ja6">
    <w:name w:val="目次節（ja）"/>
    <w:basedOn w:val="a"/>
    <w:rsid w:val="00B028C3"/>
    <w:pPr>
      <w:widowControl w:val="0"/>
      <w:ind w:left="659" w:hanging="219"/>
    </w:pPr>
    <w:rPr>
      <w:rFonts w:ascii="ＭＳ 明朝" w:eastAsia="ＭＳ 明朝" w:hAnsi="ＭＳ 明朝"/>
    </w:rPr>
  </w:style>
  <w:style w:type="paragraph" w:customStyle="1" w:styleId="en6">
    <w:name w:val="目次節（en）"/>
    <w:basedOn w:val="ja6"/>
    <w:rsid w:val="00B028C3"/>
    <w:rPr>
      <w:rFonts w:ascii="Century" w:eastAsia="Century" w:hAnsi="Century"/>
    </w:rPr>
  </w:style>
  <w:style w:type="paragraph" w:customStyle="1" w:styleId="ja7">
    <w:name w:val="目次款（ja）"/>
    <w:basedOn w:val="a"/>
    <w:rsid w:val="00B028C3"/>
    <w:pPr>
      <w:widowControl w:val="0"/>
      <w:ind w:left="879" w:hanging="219"/>
    </w:pPr>
    <w:rPr>
      <w:rFonts w:ascii="ＭＳ 明朝" w:eastAsia="ＭＳ 明朝" w:hAnsi="ＭＳ 明朝" w:cs="Kochi Mincho"/>
    </w:rPr>
  </w:style>
  <w:style w:type="paragraph" w:customStyle="1" w:styleId="en7">
    <w:name w:val="目次款（en）"/>
    <w:basedOn w:val="ja7"/>
    <w:rsid w:val="00B028C3"/>
    <w:rPr>
      <w:rFonts w:ascii="Century" w:eastAsia="Century" w:hAnsi="Century"/>
    </w:rPr>
  </w:style>
  <w:style w:type="paragraph" w:customStyle="1" w:styleId="ja8">
    <w:name w:val="別表名（ja）"/>
    <w:basedOn w:val="a"/>
    <w:rsid w:val="00B028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B028C3"/>
    <w:rPr>
      <w:rFonts w:ascii="Century" w:eastAsia="Century" w:hAnsi="Century" w:cs="Century"/>
    </w:rPr>
  </w:style>
  <w:style w:type="paragraph" w:customStyle="1" w:styleId="ja9">
    <w:name w:val="目（ja）"/>
    <w:basedOn w:val="a"/>
    <w:rsid w:val="00B028C3"/>
    <w:pPr>
      <w:widowControl w:val="0"/>
      <w:ind w:left="1541" w:hanging="221"/>
    </w:pPr>
    <w:rPr>
      <w:rFonts w:ascii="ＭＳ 明朝" w:eastAsia="ＭＳ 明朝" w:hAnsi="ＭＳ 明朝" w:cs="ＭＳ 明朝"/>
      <w:b/>
    </w:rPr>
  </w:style>
  <w:style w:type="paragraph" w:customStyle="1" w:styleId="en9">
    <w:name w:val="目（en）"/>
    <w:basedOn w:val="ja9"/>
    <w:rsid w:val="00B028C3"/>
    <w:rPr>
      <w:rFonts w:ascii="Century" w:eastAsia="Century" w:hAnsi="Century" w:cs="Century"/>
    </w:rPr>
  </w:style>
  <w:style w:type="paragraph" w:customStyle="1" w:styleId="jaa">
    <w:name w:val="見出し（ja）"/>
    <w:basedOn w:val="a"/>
    <w:rsid w:val="00B028C3"/>
    <w:pPr>
      <w:widowControl w:val="0"/>
      <w:ind w:left="439" w:hanging="219"/>
    </w:pPr>
    <w:rPr>
      <w:rFonts w:ascii="ＭＳ 明朝" w:eastAsia="ＭＳ 明朝" w:hAnsi="ＭＳ 明朝" w:cs="ＭＳ 明朝"/>
    </w:rPr>
  </w:style>
  <w:style w:type="paragraph" w:customStyle="1" w:styleId="ena">
    <w:name w:val="見出し（en）"/>
    <w:basedOn w:val="jaa"/>
    <w:rsid w:val="00B028C3"/>
    <w:rPr>
      <w:rFonts w:ascii="Century" w:eastAsia="Century" w:hAnsi="Century" w:cs="Century"/>
    </w:rPr>
  </w:style>
  <w:style w:type="paragraph" w:styleId="a3">
    <w:name w:val="footer"/>
    <w:basedOn w:val="a"/>
    <w:rsid w:val="00B028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028C3"/>
    <w:pPr>
      <w:widowControl w:val="0"/>
      <w:ind w:left="1099" w:hanging="219"/>
    </w:pPr>
    <w:rPr>
      <w:rFonts w:ascii="ＭＳ 明朝" w:eastAsia="ＭＳ 明朝" w:hAnsi="ＭＳ 明朝" w:cs="Kochi Mincho"/>
    </w:rPr>
  </w:style>
  <w:style w:type="paragraph" w:customStyle="1" w:styleId="enb">
    <w:name w:val="目次目（en）"/>
    <w:basedOn w:val="jab"/>
    <w:rsid w:val="00B028C3"/>
    <w:rPr>
      <w:rFonts w:ascii="Century" w:eastAsia="Century" w:hAnsi="Century"/>
    </w:rPr>
  </w:style>
  <w:style w:type="paragraph" w:customStyle="1" w:styleId="jac">
    <w:name w:val="目次附則（ja）"/>
    <w:basedOn w:val="a"/>
    <w:rsid w:val="00B028C3"/>
    <w:pPr>
      <w:widowControl w:val="0"/>
      <w:ind w:left="439" w:hanging="219"/>
    </w:pPr>
    <w:rPr>
      <w:rFonts w:ascii="ＭＳ 明朝" w:eastAsia="ＭＳ 明朝" w:hAnsi="ＭＳ 明朝" w:cs="Kochi Mincho"/>
    </w:rPr>
  </w:style>
  <w:style w:type="paragraph" w:customStyle="1" w:styleId="enc">
    <w:name w:val="目次附則（en）"/>
    <w:basedOn w:val="jac"/>
    <w:rsid w:val="00B028C3"/>
    <w:rPr>
      <w:rFonts w:ascii="Century" w:eastAsia="Century" w:hAnsi="Century" w:cs="Century"/>
    </w:rPr>
  </w:style>
  <w:style w:type="paragraph" w:customStyle="1" w:styleId="jad">
    <w:name w:val="目次前文（ja）"/>
    <w:basedOn w:val="jac"/>
    <w:rsid w:val="00B028C3"/>
  </w:style>
  <w:style w:type="paragraph" w:customStyle="1" w:styleId="end">
    <w:name w:val="目次前文（en）"/>
    <w:basedOn w:val="enc"/>
    <w:rsid w:val="00B028C3"/>
  </w:style>
  <w:style w:type="paragraph" w:customStyle="1" w:styleId="jae">
    <w:name w:val="制定文（ja）"/>
    <w:basedOn w:val="a"/>
    <w:rsid w:val="00B028C3"/>
    <w:pPr>
      <w:widowControl w:val="0"/>
      <w:ind w:firstLine="219"/>
    </w:pPr>
    <w:rPr>
      <w:rFonts w:ascii="ＭＳ 明朝" w:eastAsia="ＭＳ 明朝" w:hAnsi="ＭＳ 明朝" w:cs="ＭＳ 明朝"/>
    </w:rPr>
  </w:style>
  <w:style w:type="paragraph" w:customStyle="1" w:styleId="ene">
    <w:name w:val="制定文（en）"/>
    <w:basedOn w:val="jae"/>
    <w:rsid w:val="00B028C3"/>
    <w:rPr>
      <w:rFonts w:ascii="Century" w:eastAsia="Century" w:hAnsi="Century" w:cs="Century"/>
    </w:rPr>
  </w:style>
  <w:style w:type="paragraph" w:customStyle="1" w:styleId="jaf">
    <w:name w:val="法令番号（ja）"/>
    <w:basedOn w:val="a"/>
    <w:rsid w:val="00B028C3"/>
    <w:pPr>
      <w:widowControl w:val="0"/>
      <w:jc w:val="right"/>
    </w:pPr>
    <w:rPr>
      <w:rFonts w:ascii="ＭＳ 明朝" w:eastAsia="ＭＳ 明朝" w:hAnsi="ＭＳ 明朝" w:cs="Kochi Mincho"/>
    </w:rPr>
  </w:style>
  <w:style w:type="paragraph" w:customStyle="1" w:styleId="enf">
    <w:name w:val="法令番号（en）"/>
    <w:basedOn w:val="jaf"/>
    <w:rsid w:val="00B028C3"/>
    <w:rPr>
      <w:rFonts w:ascii="Century" w:eastAsia="Century" w:hAnsi="Century" w:cs="Century"/>
    </w:rPr>
  </w:style>
  <w:style w:type="paragraph" w:customStyle="1" w:styleId="jaf0">
    <w:name w:val="目次（ja）"/>
    <w:basedOn w:val="a"/>
    <w:rsid w:val="00B028C3"/>
    <w:rPr>
      <w:rFonts w:ascii="ＭＳ 明朝" w:eastAsia="ＭＳ 明朝" w:hAnsi="ＭＳ 明朝"/>
    </w:rPr>
  </w:style>
  <w:style w:type="paragraph" w:customStyle="1" w:styleId="enf0">
    <w:name w:val="目次（en）"/>
    <w:basedOn w:val="jaf0"/>
    <w:rsid w:val="00B028C3"/>
    <w:rPr>
      <w:rFonts w:ascii="Century" w:eastAsia="Century" w:hAnsi="Century"/>
    </w:rPr>
  </w:style>
  <w:style w:type="paragraph" w:customStyle="1" w:styleId="jaf1">
    <w:name w:val="編（ja）"/>
    <w:basedOn w:val="a"/>
    <w:rsid w:val="00B028C3"/>
    <w:pPr>
      <w:widowControl w:val="0"/>
      <w:ind w:left="661" w:hanging="221"/>
    </w:pPr>
    <w:rPr>
      <w:rFonts w:ascii="ＭＳ 明朝" w:eastAsia="ＭＳ 明朝" w:hAnsi="ＭＳ 明朝" w:cs="ＭＳ 明朝"/>
      <w:b/>
    </w:rPr>
  </w:style>
  <w:style w:type="paragraph" w:customStyle="1" w:styleId="enf1">
    <w:name w:val="編（en）"/>
    <w:basedOn w:val="jaf1"/>
    <w:rsid w:val="00B028C3"/>
    <w:rPr>
      <w:rFonts w:ascii="Century" w:eastAsia="Century" w:hAnsi="Century" w:cs="Century"/>
    </w:rPr>
  </w:style>
  <w:style w:type="paragraph" w:customStyle="1" w:styleId="jaf2">
    <w:name w:val="節（ja）"/>
    <w:basedOn w:val="a"/>
    <w:rsid w:val="00B028C3"/>
    <w:pPr>
      <w:widowControl w:val="0"/>
      <w:ind w:left="1101" w:hanging="221"/>
    </w:pPr>
    <w:rPr>
      <w:rFonts w:ascii="ＭＳ 明朝" w:eastAsia="ＭＳ 明朝" w:hAnsi="ＭＳ 明朝" w:cs="ＭＳ 明朝"/>
      <w:b/>
    </w:rPr>
  </w:style>
  <w:style w:type="paragraph" w:customStyle="1" w:styleId="enf2">
    <w:name w:val="節（en）"/>
    <w:basedOn w:val="jaf2"/>
    <w:rsid w:val="00B028C3"/>
    <w:rPr>
      <w:rFonts w:ascii="Century" w:eastAsia="Century" w:hAnsi="Century" w:cs="Century"/>
    </w:rPr>
  </w:style>
  <w:style w:type="paragraph" w:customStyle="1" w:styleId="jaf3">
    <w:name w:val="条（ja）"/>
    <w:basedOn w:val="a"/>
    <w:rsid w:val="00B028C3"/>
    <w:pPr>
      <w:widowControl w:val="0"/>
      <w:ind w:left="219" w:hanging="219"/>
    </w:pPr>
    <w:rPr>
      <w:rFonts w:ascii="ＭＳ 明朝" w:eastAsia="ＭＳ 明朝" w:hAnsi="ＭＳ 明朝" w:cs="ＭＳ 明朝"/>
    </w:rPr>
  </w:style>
  <w:style w:type="paragraph" w:customStyle="1" w:styleId="enf3">
    <w:name w:val="条（en）"/>
    <w:basedOn w:val="jaf3"/>
    <w:rsid w:val="00B028C3"/>
    <w:rPr>
      <w:rFonts w:ascii="Century" w:eastAsia="Century" w:hAnsi="Century" w:cs="Century"/>
    </w:rPr>
  </w:style>
  <w:style w:type="paragraph" w:customStyle="1" w:styleId="jaf4">
    <w:name w:val="項（ja）"/>
    <w:basedOn w:val="a"/>
    <w:rsid w:val="00B028C3"/>
    <w:pPr>
      <w:widowControl w:val="0"/>
      <w:ind w:left="219" w:hanging="219"/>
    </w:pPr>
    <w:rPr>
      <w:rFonts w:ascii="ＭＳ 明朝" w:eastAsia="ＭＳ 明朝" w:hAnsi="ＭＳ 明朝" w:cs="ＭＳ 明朝"/>
    </w:rPr>
  </w:style>
  <w:style w:type="paragraph" w:customStyle="1" w:styleId="enf4">
    <w:name w:val="項（en）"/>
    <w:basedOn w:val="jaf4"/>
    <w:rsid w:val="00B028C3"/>
    <w:rPr>
      <w:rFonts w:ascii="Century" w:eastAsia="Century" w:hAnsi="Century" w:cs="Century"/>
    </w:rPr>
  </w:style>
  <w:style w:type="paragraph" w:customStyle="1" w:styleId="jaf5">
    <w:name w:val="項　番号なし（ja）"/>
    <w:basedOn w:val="a"/>
    <w:rsid w:val="00B028C3"/>
    <w:pPr>
      <w:widowControl w:val="0"/>
      <w:ind w:firstLine="221"/>
    </w:pPr>
    <w:rPr>
      <w:rFonts w:ascii="ＭＳ 明朝" w:eastAsia="ＭＳ 明朝" w:hAnsi="ＭＳ 明朝" w:cs="ＭＳ 明朝"/>
    </w:rPr>
  </w:style>
  <w:style w:type="paragraph" w:customStyle="1" w:styleId="enf5">
    <w:name w:val="項　番号なし（en）"/>
    <w:basedOn w:val="jaf5"/>
    <w:rsid w:val="00B028C3"/>
    <w:rPr>
      <w:rFonts w:ascii="Century" w:eastAsia="Century" w:hAnsi="Century" w:cs="Century"/>
    </w:rPr>
  </w:style>
  <w:style w:type="paragraph" w:customStyle="1" w:styleId="jaf6">
    <w:name w:val="号（ja）"/>
    <w:basedOn w:val="a"/>
    <w:rsid w:val="00B028C3"/>
    <w:pPr>
      <w:widowControl w:val="0"/>
      <w:ind w:left="439" w:hanging="219"/>
    </w:pPr>
    <w:rPr>
      <w:rFonts w:ascii="ＭＳ 明朝" w:eastAsia="ＭＳ 明朝" w:hAnsi="ＭＳ 明朝" w:cs="ＭＳ 明朝"/>
    </w:rPr>
  </w:style>
  <w:style w:type="paragraph" w:customStyle="1" w:styleId="enf6">
    <w:name w:val="号（en）"/>
    <w:basedOn w:val="jaf6"/>
    <w:rsid w:val="00B028C3"/>
    <w:rPr>
      <w:rFonts w:ascii="Century" w:eastAsia="Century" w:hAnsi="Century" w:cs="Century"/>
    </w:rPr>
  </w:style>
  <w:style w:type="paragraph" w:customStyle="1" w:styleId="jaf7">
    <w:name w:val="号　番号なし（ja）"/>
    <w:basedOn w:val="a"/>
    <w:rsid w:val="00B028C3"/>
    <w:pPr>
      <w:widowControl w:val="0"/>
      <w:ind w:left="221" w:firstLine="221"/>
    </w:pPr>
    <w:rPr>
      <w:rFonts w:ascii="ＭＳ 明朝" w:eastAsia="ＭＳ 明朝" w:hAnsi="ＭＳ 明朝" w:cs="ＭＳ 明朝"/>
    </w:rPr>
  </w:style>
  <w:style w:type="paragraph" w:customStyle="1" w:styleId="enf7">
    <w:name w:val="号　番号なし（en）"/>
    <w:basedOn w:val="jaf7"/>
    <w:rsid w:val="00B028C3"/>
    <w:rPr>
      <w:rFonts w:ascii="Century" w:eastAsia="Century" w:hAnsi="Century" w:cs="Century"/>
    </w:rPr>
  </w:style>
  <w:style w:type="paragraph" w:customStyle="1" w:styleId="jaf8">
    <w:name w:val="備考号（ja）"/>
    <w:basedOn w:val="a"/>
    <w:rsid w:val="00B028C3"/>
    <w:pPr>
      <w:widowControl w:val="0"/>
      <w:ind w:left="659" w:hanging="219"/>
    </w:pPr>
    <w:rPr>
      <w:rFonts w:ascii="ＭＳ 明朝" w:eastAsia="ＭＳ 明朝" w:hAnsi="ＭＳ 明朝" w:cs="ＭＳ 明朝"/>
    </w:rPr>
  </w:style>
  <w:style w:type="paragraph" w:customStyle="1" w:styleId="enf8">
    <w:name w:val="備考号（en）"/>
    <w:basedOn w:val="jaf8"/>
    <w:rsid w:val="00B028C3"/>
    <w:rPr>
      <w:rFonts w:ascii="Century" w:eastAsia="Century" w:hAnsi="Century" w:cs="Century"/>
    </w:rPr>
  </w:style>
  <w:style w:type="paragraph" w:customStyle="1" w:styleId="jaf9">
    <w:name w:val="号細分（ja）"/>
    <w:basedOn w:val="a"/>
    <w:rsid w:val="00B028C3"/>
    <w:pPr>
      <w:widowControl w:val="0"/>
      <w:ind w:left="659" w:hanging="219"/>
    </w:pPr>
    <w:rPr>
      <w:rFonts w:ascii="ＭＳ 明朝" w:eastAsia="ＭＳ 明朝" w:hAnsi="ＭＳ 明朝" w:cs="ＭＳ 明朝"/>
    </w:rPr>
  </w:style>
  <w:style w:type="paragraph" w:customStyle="1" w:styleId="enf9">
    <w:name w:val="号細分（en）"/>
    <w:basedOn w:val="jaf9"/>
    <w:rsid w:val="00B028C3"/>
    <w:rPr>
      <w:rFonts w:ascii="Century" w:eastAsia="Century" w:hAnsi="Century" w:cs="Century"/>
    </w:rPr>
  </w:style>
  <w:style w:type="paragraph" w:customStyle="1" w:styleId="jafa">
    <w:name w:val="号細分　番号なし（ja）"/>
    <w:basedOn w:val="a"/>
    <w:rsid w:val="00B028C3"/>
    <w:pPr>
      <w:widowControl w:val="0"/>
      <w:ind w:left="439"/>
    </w:pPr>
    <w:rPr>
      <w:rFonts w:ascii="ＭＳ 明朝" w:eastAsia="ＭＳ 明朝" w:hAnsi="ＭＳ 明朝" w:cs="ＭＳ 明朝"/>
    </w:rPr>
  </w:style>
  <w:style w:type="paragraph" w:customStyle="1" w:styleId="enfa">
    <w:name w:val="号細分　番号なし（en）"/>
    <w:basedOn w:val="jafa"/>
    <w:rsid w:val="00B028C3"/>
    <w:rPr>
      <w:rFonts w:ascii="Century" w:eastAsia="Century" w:hAnsi="Century" w:cs="Century"/>
    </w:rPr>
  </w:style>
  <w:style w:type="paragraph" w:customStyle="1" w:styleId="jafb">
    <w:name w:val="備考号細分（ja）"/>
    <w:basedOn w:val="a"/>
    <w:rsid w:val="00B028C3"/>
    <w:pPr>
      <w:widowControl w:val="0"/>
      <w:ind w:left="1099" w:hanging="439"/>
    </w:pPr>
    <w:rPr>
      <w:rFonts w:ascii="ＭＳ 明朝" w:eastAsia="ＭＳ 明朝" w:hAnsi="ＭＳ 明朝" w:cs="ＭＳ 明朝"/>
    </w:rPr>
  </w:style>
  <w:style w:type="paragraph" w:customStyle="1" w:styleId="enfb">
    <w:name w:val="備考号細分（en）"/>
    <w:basedOn w:val="jafb"/>
    <w:rsid w:val="00B028C3"/>
    <w:rPr>
      <w:rFonts w:ascii="Century" w:eastAsia="Century" w:hAnsi="Century" w:cs="Century"/>
    </w:rPr>
  </w:style>
  <w:style w:type="paragraph" w:customStyle="1" w:styleId="jafc">
    <w:name w:val="号細細分（ja）"/>
    <w:basedOn w:val="a"/>
    <w:rsid w:val="00B028C3"/>
    <w:pPr>
      <w:widowControl w:val="0"/>
      <w:ind w:left="1099" w:hanging="439"/>
    </w:pPr>
    <w:rPr>
      <w:rFonts w:ascii="ＭＳ 明朝" w:eastAsia="ＭＳ 明朝" w:hAnsi="ＭＳ 明朝" w:cs="ＭＳ 明朝"/>
    </w:rPr>
  </w:style>
  <w:style w:type="paragraph" w:customStyle="1" w:styleId="enfc">
    <w:name w:val="号細細分（en）"/>
    <w:basedOn w:val="jafc"/>
    <w:rsid w:val="00B028C3"/>
    <w:rPr>
      <w:rFonts w:ascii="Century" w:eastAsia="Century" w:hAnsi="Century" w:cs="Century"/>
    </w:rPr>
  </w:style>
  <w:style w:type="paragraph" w:customStyle="1" w:styleId="jafd">
    <w:name w:val="号細細分　番号なし（ja）"/>
    <w:basedOn w:val="a"/>
    <w:rsid w:val="00B028C3"/>
    <w:pPr>
      <w:widowControl w:val="0"/>
      <w:ind w:left="659"/>
    </w:pPr>
    <w:rPr>
      <w:rFonts w:ascii="ＭＳ 明朝" w:eastAsia="ＭＳ 明朝" w:hAnsi="ＭＳ 明朝" w:cs="ＭＳ 明朝"/>
    </w:rPr>
  </w:style>
  <w:style w:type="paragraph" w:customStyle="1" w:styleId="enfd">
    <w:name w:val="号細細分　番号なし（en）"/>
    <w:basedOn w:val="jafd"/>
    <w:rsid w:val="00B028C3"/>
    <w:rPr>
      <w:rFonts w:ascii="Century" w:eastAsia="Century" w:hAnsi="Century" w:cs="Century"/>
    </w:rPr>
  </w:style>
  <w:style w:type="paragraph" w:customStyle="1" w:styleId="jafe">
    <w:name w:val="備考号細細分（ja）"/>
    <w:basedOn w:val="a"/>
    <w:rsid w:val="00B028C3"/>
    <w:pPr>
      <w:widowControl w:val="0"/>
      <w:ind w:left="1319" w:hanging="439"/>
    </w:pPr>
    <w:rPr>
      <w:rFonts w:ascii="ＭＳ 明朝" w:eastAsia="ＭＳ 明朝" w:hAnsi="ＭＳ 明朝" w:cs="ＭＳ 明朝"/>
    </w:rPr>
  </w:style>
  <w:style w:type="paragraph" w:customStyle="1" w:styleId="enfe">
    <w:name w:val="備考号細細分（en）"/>
    <w:basedOn w:val="jafe"/>
    <w:rsid w:val="00B028C3"/>
    <w:rPr>
      <w:rFonts w:ascii="Century" w:eastAsia="Century" w:hAnsi="Century" w:cs="Century"/>
    </w:rPr>
  </w:style>
  <w:style w:type="paragraph" w:customStyle="1" w:styleId="jaff">
    <w:name w:val="号細細細分（ja）"/>
    <w:basedOn w:val="a"/>
    <w:rsid w:val="00B028C3"/>
    <w:pPr>
      <w:widowControl w:val="0"/>
      <w:ind w:left="1319" w:hanging="439"/>
    </w:pPr>
    <w:rPr>
      <w:rFonts w:ascii="ＭＳ 明朝" w:eastAsia="ＭＳ 明朝" w:hAnsi="ＭＳ 明朝" w:cs="ＭＳ 明朝"/>
    </w:rPr>
  </w:style>
  <w:style w:type="paragraph" w:customStyle="1" w:styleId="enff">
    <w:name w:val="号細細細分（en）"/>
    <w:basedOn w:val="jaff"/>
    <w:rsid w:val="00B028C3"/>
    <w:rPr>
      <w:rFonts w:ascii="Century" w:eastAsia="Century" w:hAnsi="Century" w:cs="Century"/>
    </w:rPr>
  </w:style>
  <w:style w:type="paragraph" w:customStyle="1" w:styleId="jaff0">
    <w:name w:val="号細細細分　番号なし（ja）"/>
    <w:basedOn w:val="a"/>
    <w:rsid w:val="00B028C3"/>
    <w:pPr>
      <w:widowControl w:val="0"/>
      <w:ind w:left="879"/>
    </w:pPr>
    <w:rPr>
      <w:rFonts w:ascii="ＭＳ 明朝" w:eastAsia="ＭＳ 明朝" w:hAnsi="ＭＳ 明朝" w:cs="ＭＳ 明朝"/>
    </w:rPr>
  </w:style>
  <w:style w:type="paragraph" w:customStyle="1" w:styleId="enff0">
    <w:name w:val="号細細細分　番号なし（en）"/>
    <w:basedOn w:val="jaff0"/>
    <w:rsid w:val="00B028C3"/>
    <w:rPr>
      <w:rFonts w:ascii="Century" w:eastAsia="Century" w:hAnsi="Century" w:cs="Century"/>
    </w:rPr>
  </w:style>
  <w:style w:type="paragraph" w:customStyle="1" w:styleId="jaff1">
    <w:name w:val="備考号細細細分（ja）"/>
    <w:basedOn w:val="a"/>
    <w:rsid w:val="00B028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B028C3"/>
    <w:rPr>
      <w:rFonts w:ascii="Century" w:eastAsia="Century" w:hAnsi="Century" w:cs="Century"/>
    </w:rPr>
  </w:style>
  <w:style w:type="paragraph" w:customStyle="1" w:styleId="jaff2">
    <w:name w:val="類（ja）"/>
    <w:basedOn w:val="a"/>
    <w:rsid w:val="00B028C3"/>
    <w:pPr>
      <w:widowControl w:val="0"/>
      <w:ind w:left="439" w:hanging="219"/>
    </w:pPr>
    <w:rPr>
      <w:rFonts w:ascii="ＭＳ 明朝" w:eastAsia="ＭＳ 明朝" w:hAnsi="ＭＳ 明朝" w:cs="ＭＳ 明朝"/>
    </w:rPr>
  </w:style>
  <w:style w:type="paragraph" w:customStyle="1" w:styleId="enff2">
    <w:name w:val="類（en）"/>
    <w:basedOn w:val="jaff2"/>
    <w:rsid w:val="00B028C3"/>
    <w:rPr>
      <w:rFonts w:ascii="Century" w:eastAsia="Century" w:hAnsi="Century" w:cs="Century"/>
    </w:rPr>
  </w:style>
  <w:style w:type="paragraph" w:customStyle="1" w:styleId="jaff3">
    <w:name w:val="公布文（ja）"/>
    <w:basedOn w:val="a"/>
    <w:rsid w:val="00B028C3"/>
    <w:pPr>
      <w:widowControl w:val="0"/>
      <w:ind w:firstLine="219"/>
    </w:pPr>
    <w:rPr>
      <w:rFonts w:ascii="ＭＳ 明朝" w:eastAsia="ＭＳ 明朝" w:hAnsi="ＭＳ 明朝" w:cs="ＭＳ 明朝"/>
    </w:rPr>
  </w:style>
  <w:style w:type="paragraph" w:customStyle="1" w:styleId="enff3">
    <w:name w:val="公布文（en）"/>
    <w:basedOn w:val="jaff3"/>
    <w:rsid w:val="00B028C3"/>
    <w:rPr>
      <w:rFonts w:ascii="Century" w:eastAsia="Century" w:hAnsi="Century" w:cs="Century"/>
    </w:rPr>
  </w:style>
  <w:style w:type="paragraph" w:customStyle="1" w:styleId="jaen">
    <w:name w:val="表（ja：en）"/>
    <w:basedOn w:val="a"/>
    <w:rsid w:val="00B028C3"/>
    <w:pPr>
      <w:widowControl w:val="0"/>
      <w:snapToGrid w:val="0"/>
    </w:pPr>
    <w:rPr>
      <w:rFonts w:ascii="Century" w:eastAsia="ＭＳ 明朝" w:hAnsi="Century"/>
    </w:rPr>
  </w:style>
  <w:style w:type="paragraph" w:customStyle="1" w:styleId="jaff4">
    <w:name w:val="備考（ja）"/>
    <w:basedOn w:val="a"/>
    <w:rsid w:val="00B028C3"/>
    <w:pPr>
      <w:widowControl w:val="0"/>
      <w:ind w:left="439" w:hanging="219"/>
    </w:pPr>
    <w:rPr>
      <w:rFonts w:ascii="ＭＳ 明朝" w:eastAsia="ＭＳ 明朝" w:hAnsi="ＭＳ 明朝" w:cs="ＭＳ 明朝"/>
    </w:rPr>
  </w:style>
  <w:style w:type="paragraph" w:customStyle="1" w:styleId="enff4">
    <w:name w:val="備考（en）"/>
    <w:basedOn w:val="jaff4"/>
    <w:rsid w:val="00B028C3"/>
    <w:rPr>
      <w:rFonts w:ascii="Century" w:eastAsia="Century" w:hAnsi="Century" w:cs="Century"/>
    </w:rPr>
  </w:style>
  <w:style w:type="paragraph" w:customStyle="1" w:styleId="jaff5">
    <w:name w:val="表タイトル（ja）"/>
    <w:basedOn w:val="a"/>
    <w:rsid w:val="00B028C3"/>
    <w:pPr>
      <w:widowControl w:val="0"/>
      <w:ind w:left="219"/>
    </w:pPr>
    <w:rPr>
      <w:rFonts w:ascii="ＭＳ 明朝" w:eastAsia="ＭＳ 明朝" w:hAnsi="ＭＳ 明朝" w:cs="ＭＳ 明朝"/>
    </w:rPr>
  </w:style>
  <w:style w:type="paragraph" w:customStyle="1" w:styleId="enff5">
    <w:name w:val="表タイトル（en）"/>
    <w:basedOn w:val="jaff5"/>
    <w:rsid w:val="00B028C3"/>
    <w:rPr>
      <w:rFonts w:ascii="Century" w:eastAsia="Century" w:hAnsi="Century" w:cs="Century"/>
    </w:rPr>
  </w:style>
  <w:style w:type="paragraph" w:customStyle="1" w:styleId="jaff6">
    <w:name w:val="改正規定文（ja）"/>
    <w:basedOn w:val="a"/>
    <w:rsid w:val="00B028C3"/>
    <w:pPr>
      <w:widowControl w:val="0"/>
      <w:ind w:left="219" w:firstLine="219"/>
    </w:pPr>
    <w:rPr>
      <w:rFonts w:ascii="ＭＳ 明朝" w:eastAsia="ＭＳ 明朝" w:hAnsi="ＭＳ 明朝" w:cs="ＭＳ 明朝"/>
    </w:rPr>
  </w:style>
  <w:style w:type="paragraph" w:customStyle="1" w:styleId="enff6">
    <w:name w:val="改正規定文（en）"/>
    <w:basedOn w:val="jaff6"/>
    <w:rsid w:val="00B028C3"/>
    <w:rPr>
      <w:rFonts w:ascii="Century" w:eastAsia="Century" w:hAnsi="Century" w:cs="Century"/>
    </w:rPr>
  </w:style>
  <w:style w:type="paragraph" w:customStyle="1" w:styleId="jaff7">
    <w:name w:val="付記（ja）"/>
    <w:basedOn w:val="a"/>
    <w:rsid w:val="00B028C3"/>
    <w:pPr>
      <w:widowControl w:val="0"/>
      <w:ind w:left="219" w:firstLine="219"/>
    </w:pPr>
    <w:rPr>
      <w:rFonts w:ascii="ＭＳ 明朝" w:eastAsia="ＭＳ 明朝" w:hAnsi="ＭＳ 明朝" w:cs="ＭＳ 明朝"/>
    </w:rPr>
  </w:style>
  <w:style w:type="paragraph" w:customStyle="1" w:styleId="enff7">
    <w:name w:val="付記（en）"/>
    <w:basedOn w:val="jaff7"/>
    <w:rsid w:val="00B028C3"/>
    <w:rPr>
      <w:rFonts w:ascii="Century" w:eastAsia="Century" w:hAnsi="Century" w:cs="Century"/>
    </w:rPr>
  </w:style>
  <w:style w:type="paragraph" w:customStyle="1" w:styleId="jaff8">
    <w:name w:val="様式名（ja）"/>
    <w:basedOn w:val="a"/>
    <w:rsid w:val="00B028C3"/>
    <w:pPr>
      <w:widowControl w:val="0"/>
      <w:ind w:left="439" w:hanging="219"/>
    </w:pPr>
    <w:rPr>
      <w:rFonts w:ascii="ＭＳ 明朝" w:eastAsia="ＭＳ 明朝" w:hAnsi="ＭＳ 明朝" w:cs="ＭＳ 明朝"/>
    </w:rPr>
  </w:style>
  <w:style w:type="paragraph" w:customStyle="1" w:styleId="enff8">
    <w:name w:val="様式名（en）"/>
    <w:basedOn w:val="jaff8"/>
    <w:rsid w:val="00B028C3"/>
    <w:rPr>
      <w:rFonts w:ascii="Century" w:eastAsia="Century" w:hAnsi="Century" w:cs="Century"/>
    </w:rPr>
  </w:style>
  <w:style w:type="paragraph" w:customStyle="1" w:styleId="jaff9">
    <w:name w:val="様式項目（ja）"/>
    <w:basedOn w:val="a"/>
    <w:rsid w:val="00B028C3"/>
    <w:pPr>
      <w:widowControl w:val="0"/>
      <w:ind w:left="221" w:firstLine="221"/>
    </w:pPr>
    <w:rPr>
      <w:rFonts w:ascii="ＭＳ 明朝" w:eastAsia="ＭＳ 明朝" w:hAnsi="ＭＳ 明朝" w:cs="ＭＳ 明朝"/>
    </w:rPr>
  </w:style>
  <w:style w:type="paragraph" w:customStyle="1" w:styleId="enff9">
    <w:name w:val="様式項目（en）"/>
    <w:basedOn w:val="jaff9"/>
    <w:rsid w:val="00B028C3"/>
    <w:rPr>
      <w:rFonts w:ascii="Century" w:eastAsia="Century" w:hAnsi="Century" w:cs="Century"/>
    </w:rPr>
  </w:style>
  <w:style w:type="table" w:customStyle="1" w:styleId="1">
    <w:name w:val="表1"/>
    <w:rsid w:val="00B028C3"/>
    <w:tblPr>
      <w:tblInd w:w="340" w:type="dxa"/>
      <w:tblCellMar>
        <w:top w:w="0" w:type="dxa"/>
        <w:left w:w="0" w:type="dxa"/>
        <w:bottom w:w="0" w:type="dxa"/>
        <w:right w:w="0" w:type="dxa"/>
      </w:tblCellMar>
    </w:tblPr>
  </w:style>
  <w:style w:type="numbering" w:customStyle="1" w:styleId="WW8Num1">
    <w:name w:val="WW8Num1"/>
    <w:rsid w:val="00B028C3"/>
    <w:pPr>
      <w:numPr>
        <w:numId w:val="2"/>
      </w:numPr>
    </w:pPr>
  </w:style>
  <w:style w:type="numbering" w:customStyle="1" w:styleId="WW8Num2">
    <w:name w:val="WW8Num2"/>
    <w:rsid w:val="00B028C3"/>
    <w:pPr>
      <w:numPr>
        <w:numId w:val="3"/>
      </w:numPr>
    </w:pPr>
  </w:style>
  <w:style w:type="numbering" w:customStyle="1" w:styleId="WW8Num3">
    <w:name w:val="WW8Num3"/>
    <w:rsid w:val="00B028C3"/>
    <w:pPr>
      <w:numPr>
        <w:numId w:val="4"/>
      </w:numPr>
    </w:pPr>
  </w:style>
  <w:style w:type="numbering" w:customStyle="1" w:styleId="WW8Num4">
    <w:name w:val="WW8Num4"/>
    <w:rsid w:val="00B028C3"/>
    <w:pPr>
      <w:numPr>
        <w:numId w:val="5"/>
      </w:numPr>
    </w:pPr>
  </w:style>
  <w:style w:type="numbering" w:customStyle="1" w:styleId="WW8Num5">
    <w:name w:val="WW8Num5"/>
    <w:rsid w:val="00B028C3"/>
    <w:pPr>
      <w:numPr>
        <w:numId w:val="6"/>
      </w:numPr>
    </w:pPr>
  </w:style>
  <w:style w:type="numbering" w:customStyle="1" w:styleId="WW8Num6">
    <w:name w:val="WW8Num6"/>
    <w:rsid w:val="00B028C3"/>
    <w:pPr>
      <w:numPr>
        <w:numId w:val="7"/>
      </w:numPr>
    </w:pPr>
  </w:style>
  <w:style w:type="numbering" w:customStyle="1" w:styleId="WW8Num7">
    <w:name w:val="WW8Num7"/>
    <w:rsid w:val="00B028C3"/>
    <w:pPr>
      <w:numPr>
        <w:numId w:val="8"/>
      </w:numPr>
    </w:pPr>
  </w:style>
  <w:style w:type="numbering" w:customStyle="1" w:styleId="WW8Num8">
    <w:name w:val="WW8Num8"/>
    <w:rsid w:val="00B028C3"/>
    <w:pPr>
      <w:numPr>
        <w:numId w:val="9"/>
      </w:numPr>
    </w:pPr>
  </w:style>
  <w:style w:type="numbering" w:customStyle="1" w:styleId="WW8Num9">
    <w:name w:val="WW8Num9"/>
    <w:rsid w:val="00B028C3"/>
    <w:pPr>
      <w:numPr>
        <w:numId w:val="10"/>
      </w:numPr>
    </w:pPr>
  </w:style>
  <w:style w:type="numbering" w:customStyle="1" w:styleId="WW8Num10">
    <w:name w:val="WW8Num10"/>
    <w:rsid w:val="00B028C3"/>
    <w:pPr>
      <w:numPr>
        <w:numId w:val="11"/>
      </w:numPr>
    </w:pPr>
  </w:style>
  <w:style w:type="numbering" w:customStyle="1" w:styleId="WW8Num11">
    <w:name w:val="WW8Num11"/>
    <w:rsid w:val="00B028C3"/>
    <w:pPr>
      <w:numPr>
        <w:numId w:val="12"/>
      </w:numPr>
    </w:pPr>
  </w:style>
  <w:style w:type="numbering" w:customStyle="1" w:styleId="WW8Num12">
    <w:name w:val="WW8Num12"/>
    <w:rsid w:val="00B028C3"/>
    <w:pPr>
      <w:numPr>
        <w:numId w:val="13"/>
      </w:numPr>
    </w:pPr>
  </w:style>
  <w:style w:type="paragraph" w:styleId="a4">
    <w:name w:val="header"/>
    <w:basedOn w:val="a"/>
    <w:link w:val="a5"/>
    <w:uiPriority w:val="99"/>
    <w:unhideWhenUsed/>
    <w:rsid w:val="009F16AB"/>
    <w:pPr>
      <w:tabs>
        <w:tab w:val="center" w:pos="4252"/>
        <w:tab w:val="right" w:pos="8504"/>
      </w:tabs>
      <w:snapToGrid w:val="0"/>
    </w:pPr>
  </w:style>
  <w:style w:type="character" w:customStyle="1" w:styleId="a5">
    <w:name w:val="ヘッダー (文字)"/>
    <w:basedOn w:val="a0"/>
    <w:link w:val="a4"/>
    <w:uiPriority w:val="99"/>
    <w:rsid w:val="009F16A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2023-08-02T05:00:00Z</dcterms:created>
  <dcterms:modified xsi:type="dcterms:W3CDTF">2023-08-02T05:00:00Z</dcterms:modified>
</cp:coreProperties>
</file>