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CFB1" w14:textId="77777777" w:rsidR="00361A79" w:rsidRDefault="00D732E9">
      <w:pPr>
        <w:pStyle w:val="ja"/>
      </w:pPr>
      <w:r>
        <w:t>調停による国際的な和解合意に関する国際連合条約の実施に関する法律</w:t>
      </w:r>
    </w:p>
    <w:p w14:paraId="3AFA7A57" w14:textId="77777777" w:rsidR="00361A79" w:rsidRDefault="00361A79"/>
    <w:p w14:paraId="3634288F" w14:textId="77777777" w:rsidR="00361A79" w:rsidRDefault="00D732E9">
      <w:pPr>
        <w:pStyle w:val="jaf"/>
      </w:pPr>
      <w:r>
        <w:t>（令和五年四月二十八日法律第十六号）</w:t>
      </w:r>
    </w:p>
    <w:p w14:paraId="0A04BE55" w14:textId="77777777" w:rsidR="00361A79" w:rsidRDefault="00361A79"/>
    <w:p w14:paraId="7306882F" w14:textId="77777777" w:rsidR="00361A79" w:rsidRDefault="00D732E9">
      <w:pPr>
        <w:pStyle w:val="jaa"/>
      </w:pPr>
      <w:r>
        <w:t>（趣旨）</w:t>
      </w:r>
    </w:p>
    <w:p w14:paraId="5CA373F3" w14:textId="77777777" w:rsidR="00361A79" w:rsidRDefault="00D732E9">
      <w:pPr>
        <w:pStyle w:val="jaf3"/>
      </w:pPr>
      <w:r>
        <w:t>第一条　この法律は、調停による国際的な和解合意に関する国際連合条約（以下「条約」という。）の実施に関し必要な事項を定めるものとする。</w:t>
      </w:r>
    </w:p>
    <w:p w14:paraId="05A41B4E" w14:textId="77777777" w:rsidR="00361A79" w:rsidRDefault="00361A79"/>
    <w:p w14:paraId="03B833A4" w14:textId="77777777" w:rsidR="00361A79" w:rsidRDefault="00D732E9">
      <w:pPr>
        <w:pStyle w:val="jaa"/>
      </w:pPr>
      <w:r>
        <w:t>（定義）</w:t>
      </w:r>
    </w:p>
    <w:p w14:paraId="4CA1C5D0" w14:textId="77777777" w:rsidR="00361A79" w:rsidRDefault="00D732E9">
      <w:pPr>
        <w:pStyle w:val="jaf3"/>
      </w:pPr>
      <w:r>
        <w:t>第二条　この法律において「調停」とは、その名称や開始の原因となる事実のいかんにかかわらず、一定の法律関係（契約に基づくものであるかどうかを問わない。）に関する民事又は商事の紛争の解決をしようとする紛争の当事者のため、当事者に対して紛争の解決を強制する権限を有しない第三者が和解の仲介を実施し、その解決を図る手続をいう。</w:t>
      </w:r>
    </w:p>
    <w:p w14:paraId="752E8EFB" w14:textId="77777777" w:rsidR="00361A79" w:rsidRDefault="00D732E9">
      <w:pPr>
        <w:pStyle w:val="jaf4"/>
      </w:pPr>
      <w:r>
        <w:t>２　この法律において「調停人」とは、調停において和解の仲介を実施する者をいう。</w:t>
      </w:r>
    </w:p>
    <w:p w14:paraId="16302BE5" w14:textId="77777777" w:rsidR="00361A79" w:rsidRDefault="00D732E9">
      <w:pPr>
        <w:pStyle w:val="jaf4"/>
      </w:pPr>
      <w:r>
        <w:t>３　この法律において「国際和解合意」とは、調停において当事者間に成立した合意であって、合意が成立した当時において</w:t>
      </w:r>
      <w:r>
        <w:t>次の各号に掲げる事由のいずれかに該当するものをいう。</w:t>
      </w:r>
    </w:p>
    <w:p w14:paraId="5110BBA5" w14:textId="77777777" w:rsidR="00361A79" w:rsidRDefault="00D732E9">
      <w:pPr>
        <w:pStyle w:val="jaf6"/>
      </w:pPr>
      <w:r>
        <w:t>一　当事者の全部又は一部が日本国外に住所又は主たる事務所若しくは営業所を有するとき（当事者の全部又は一部の発行済株式（議決権のあるものに限る。）又は出資の総数又は総額の百分の五十を超える数又は額の株式（議決権のあるものに限る。）又は持分を有する者その他これと同等のものとして法務省令で定める者が日本国外に住所又は主たる事務所若しくは営業所を有するときを含む。）。</w:t>
      </w:r>
    </w:p>
    <w:p w14:paraId="09FB7F6A" w14:textId="77777777" w:rsidR="00361A79" w:rsidRDefault="00D732E9">
      <w:pPr>
        <w:pStyle w:val="jaf6"/>
      </w:pPr>
      <w:r>
        <w:t>二　当事者の全部又は一部が互いに異なる国に住所又は事務所若しくは営業所（当事者が二以上の事務所</w:t>
      </w:r>
      <w:r>
        <w:t>又は営業所を有する場合にあっては、合意が成立した当時において当事者が知っていたか、又は予見することのできた事情に照らして、合意によって解決された紛争と最も密接な関係がある事務所又は営業所。次号において同じ。）を有するとき。</w:t>
      </w:r>
    </w:p>
    <w:p w14:paraId="1053AA27" w14:textId="77777777" w:rsidR="00361A79" w:rsidRDefault="00D732E9">
      <w:pPr>
        <w:pStyle w:val="jaf6"/>
      </w:pPr>
      <w:r>
        <w:t>三　当事者の全部又は一部が住所又は事務所若しくは営業所を有する国が、合意に基づく債務の重要な部分の履行地又は合意の対象である事項と最も密接な関係がある地が属する国と異なるとき。</w:t>
      </w:r>
    </w:p>
    <w:p w14:paraId="74B346D3" w14:textId="77777777" w:rsidR="00361A79" w:rsidRDefault="00361A79"/>
    <w:p w14:paraId="1CB0F062" w14:textId="77777777" w:rsidR="00361A79" w:rsidRDefault="00D732E9">
      <w:pPr>
        <w:pStyle w:val="jaa"/>
      </w:pPr>
      <w:r>
        <w:t>（適用範囲）</w:t>
      </w:r>
    </w:p>
    <w:p w14:paraId="4B02B073" w14:textId="77777777" w:rsidR="00361A79" w:rsidRDefault="00D732E9">
      <w:pPr>
        <w:pStyle w:val="jaf3"/>
      </w:pPr>
      <w:r>
        <w:t>第三条　この法律の規定は、国際和解合意の当事者が、条約又は条約の実施に関する法令に基づき民事執</w:t>
      </w:r>
      <w:r>
        <w:t>行をすることができる旨の合意をした場合について、適用する。</w:t>
      </w:r>
    </w:p>
    <w:p w14:paraId="4138053E" w14:textId="77777777" w:rsidR="00361A79" w:rsidRDefault="00361A79"/>
    <w:p w14:paraId="1D2DF0B8" w14:textId="77777777" w:rsidR="00361A79" w:rsidRDefault="00D732E9">
      <w:pPr>
        <w:pStyle w:val="jaa"/>
      </w:pPr>
      <w:r>
        <w:t>（適用除外）</w:t>
      </w:r>
    </w:p>
    <w:p w14:paraId="06788A7B" w14:textId="77777777" w:rsidR="00361A79" w:rsidRDefault="00D732E9">
      <w:pPr>
        <w:pStyle w:val="jaf3"/>
      </w:pPr>
      <w:r>
        <w:t>第四条　この法律の規定は、次に掲げる国際和解合意については、適用しない。</w:t>
      </w:r>
    </w:p>
    <w:p w14:paraId="596536AC" w14:textId="77777777" w:rsidR="00361A79" w:rsidRDefault="00D732E9">
      <w:pPr>
        <w:pStyle w:val="jaf6"/>
      </w:pPr>
      <w:r>
        <w:t>一　民事上の契約又は取引のうち、その当事者の全部又は一部が個人（事業として又</w:t>
      </w:r>
      <w:r>
        <w:lastRenderedPageBreak/>
        <w:t>は事業のために契約又は取引の当事者となる場合におけるものを除く。）であるものに関する紛争に係る国際和解合意</w:t>
      </w:r>
    </w:p>
    <w:p w14:paraId="1AEF41D9" w14:textId="77777777" w:rsidR="00361A79" w:rsidRDefault="00D732E9">
      <w:pPr>
        <w:pStyle w:val="jaf6"/>
      </w:pPr>
      <w:r>
        <w:t>二　個別労働関係紛争（個別労働関係紛争の解決の促進に関する法律（平成十三年法律第百十二号）第一条に規定する個別労働関係紛争をいう。）に係る国際和解合意</w:t>
      </w:r>
    </w:p>
    <w:p w14:paraId="67BDE1BE" w14:textId="77777777" w:rsidR="00361A79" w:rsidRDefault="00D732E9">
      <w:pPr>
        <w:pStyle w:val="jaf6"/>
      </w:pPr>
      <w:r>
        <w:t>三　人事に関する紛争その他</w:t>
      </w:r>
      <w:r>
        <w:t>家庭に関する紛争に係る国際和解合意</w:t>
      </w:r>
    </w:p>
    <w:p w14:paraId="7A8A33E6" w14:textId="77777777" w:rsidR="00361A79" w:rsidRDefault="00D732E9">
      <w:pPr>
        <w:pStyle w:val="jaf6"/>
      </w:pPr>
      <w:r>
        <w:t>四　外国の裁判所の認可を受け、又は日本若しくは外国の裁判所の手続において成立した国際和解合意であって、その裁判所が属する国でこれに基づく強制執行をすることができるもの</w:t>
      </w:r>
    </w:p>
    <w:p w14:paraId="22F604C1" w14:textId="77777777" w:rsidR="00361A79" w:rsidRDefault="00D732E9">
      <w:pPr>
        <w:pStyle w:val="jaf6"/>
      </w:pPr>
      <w:r>
        <w:t>五　仲裁判断としての効力を有する国際和解合意であって、これに基づく強制執行をすることができるもの</w:t>
      </w:r>
    </w:p>
    <w:p w14:paraId="53211FE0" w14:textId="77777777" w:rsidR="00361A79" w:rsidRDefault="00361A79"/>
    <w:p w14:paraId="38D0C452" w14:textId="77777777" w:rsidR="00361A79" w:rsidRDefault="00D732E9">
      <w:pPr>
        <w:pStyle w:val="jaa"/>
      </w:pPr>
      <w:r>
        <w:t>（国際和解合意の執行決定）</w:t>
      </w:r>
    </w:p>
    <w:p w14:paraId="3C083F80" w14:textId="77777777" w:rsidR="00361A79" w:rsidRDefault="00D732E9">
      <w:pPr>
        <w:pStyle w:val="jaf3"/>
      </w:pPr>
      <w:r>
        <w:t>第五条　国際和解合意に基づいて民事執行をしようとする当事者は、債務者を被申立人として、裁判所に対し、執行決定（国際和解合意に基づく民事執行を許す旨の決定をいう。以下同じ。）を求める</w:t>
      </w:r>
      <w:r>
        <w:t>申立てをしなければならない。</w:t>
      </w:r>
    </w:p>
    <w:p w14:paraId="2378F6CE" w14:textId="77777777" w:rsidR="00361A79" w:rsidRDefault="00D732E9">
      <w:pPr>
        <w:pStyle w:val="jaf4"/>
      </w:pPr>
      <w:r>
        <w:t>２　前項の申立てをする者（以下この条において「申立人」という。）は、次に掲げる書面を提出しなければならない。</w:t>
      </w:r>
    </w:p>
    <w:p w14:paraId="72A1067D" w14:textId="77777777" w:rsidR="00361A79" w:rsidRDefault="00D732E9">
      <w:pPr>
        <w:pStyle w:val="jaf6"/>
      </w:pPr>
      <w:r>
        <w:t>一　当事者が作成した国際和解合意の内容が記載された書面</w:t>
      </w:r>
    </w:p>
    <w:p w14:paraId="2682D875" w14:textId="77777777" w:rsidR="00361A79" w:rsidRDefault="00D732E9">
      <w:pPr>
        <w:pStyle w:val="jaf6"/>
      </w:pPr>
      <w:r>
        <w:t>二　調停人その他調停に関する記録の作成、保存その他の管理に関する事務を行う者が作成した国際和解合意が調停において成立したものであることを証明する書面</w:t>
      </w:r>
    </w:p>
    <w:p w14:paraId="04B6BB7A" w14:textId="77777777" w:rsidR="00361A79" w:rsidRDefault="00D732E9">
      <w:pPr>
        <w:pStyle w:val="jaf4"/>
      </w:pPr>
      <w:r>
        <w:t>３　前項の書面については、これに記載すべき事項を記録した電磁的記録（電子的方式、磁気的方式その他人の知覚によっては認識することができない方式で作られる記録であって、電子計算機による情報処理の用に供されるものをいう。次項において同じ。）に係る記録媒体の提出をもって、当該書面の提出に代えることができる。この場合において、当該記録媒体を提出した申立人は、当該書面を提出したものとみなす。</w:t>
      </w:r>
    </w:p>
    <w:p w14:paraId="7142E8EC" w14:textId="77777777" w:rsidR="00361A79" w:rsidRDefault="00D732E9">
      <w:pPr>
        <w:pStyle w:val="jaf4"/>
      </w:pPr>
      <w:r>
        <w:t>４　申立人は、前二項の規定により書面又は記録媒体を提出するときは、併せて、当該書面（日本語で作成されたものを除く。）又は当該記録</w:t>
      </w:r>
      <w:r>
        <w:t>媒体に係る電磁的記録（日本語で作成されたものを除く。）の日本語による翻訳文を提出しなければならない。ただし、裁判所は、相当と認めるときは、被申立人の意見を聴いて、当該書面又は当該電磁的記録の全部又は一部について日本語による翻訳文を提出することを要しないものとすることができる。</w:t>
      </w:r>
    </w:p>
    <w:p w14:paraId="2EEE8904" w14:textId="77777777" w:rsidR="00361A79" w:rsidRDefault="00D732E9">
      <w:pPr>
        <w:pStyle w:val="jaf4"/>
      </w:pPr>
      <w:r>
        <w:t>５　第一項の申立てを受けた裁判所は、他の裁判機関又は仲裁廷に対して当該国際和解合意に関する他の申立てがあった場合において、必要があると認めるときは、同項の申立てに係る手続を中止することができる。この場合において、裁判所は、申立人の申立</w:t>
      </w:r>
      <w:r>
        <w:t>てにより、被申立人に対し、担保を立てるべきことを命ずることができる。</w:t>
      </w:r>
    </w:p>
    <w:p w14:paraId="100B2BDB" w14:textId="77777777" w:rsidR="00361A79" w:rsidRDefault="00D732E9">
      <w:pPr>
        <w:pStyle w:val="jaf4"/>
      </w:pPr>
      <w:r>
        <w:t>６　第一項の申立てに係る事件は、次に掲げる裁判所の管轄に専属する。</w:t>
      </w:r>
    </w:p>
    <w:p w14:paraId="179E3C64" w14:textId="77777777" w:rsidR="00361A79" w:rsidRDefault="00D732E9">
      <w:pPr>
        <w:pStyle w:val="jaf6"/>
      </w:pPr>
      <w:r>
        <w:t>一　当事者が合意により定めた地方裁判所</w:t>
      </w:r>
    </w:p>
    <w:p w14:paraId="2C7F74E9" w14:textId="77777777" w:rsidR="00361A79" w:rsidRDefault="00D732E9">
      <w:pPr>
        <w:pStyle w:val="jaf6"/>
      </w:pPr>
      <w:r>
        <w:t>二　当該事件の被申立人の普通裁判籍の所在地を管轄する地方裁判所</w:t>
      </w:r>
    </w:p>
    <w:p w14:paraId="30B4EB68" w14:textId="77777777" w:rsidR="00361A79" w:rsidRDefault="00D732E9">
      <w:pPr>
        <w:pStyle w:val="jaf6"/>
      </w:pPr>
      <w:r>
        <w:t>三　請求の目的又は差し押さえることができる被申立人の財産の所在地を管轄する地方裁判所</w:t>
      </w:r>
    </w:p>
    <w:p w14:paraId="27B7C9AD" w14:textId="77777777" w:rsidR="00361A79" w:rsidRDefault="00D732E9">
      <w:pPr>
        <w:pStyle w:val="jaf6"/>
      </w:pPr>
      <w:r>
        <w:t>四　東京地方裁判所及び大阪地方裁判所（被申立人の普通裁判籍の所在地又は請求の</w:t>
      </w:r>
      <w:r>
        <w:lastRenderedPageBreak/>
        <w:t>目的若しくは差し押さえることができる被申立人の財産の所在地が日本国内にある場合に限る。）</w:t>
      </w:r>
    </w:p>
    <w:p w14:paraId="50C0C3F8" w14:textId="77777777" w:rsidR="00361A79" w:rsidRDefault="00D732E9">
      <w:pPr>
        <w:pStyle w:val="jaf4"/>
      </w:pPr>
      <w:r>
        <w:t>７　前項の規定によ</w:t>
      </w:r>
      <w:r>
        <w:t>り二以上の裁判所が管轄権を有するときは、先に申立てがあった裁判所が管轄する。</w:t>
      </w:r>
    </w:p>
    <w:p w14:paraId="0E2ADDEF" w14:textId="77777777" w:rsidR="00361A79" w:rsidRDefault="00D732E9">
      <w:pPr>
        <w:pStyle w:val="jaf4"/>
      </w:pPr>
      <w:r>
        <w:t>８　裁判所は、第一項の申立てに係る事件の全部又は一部がその管轄に属しないと認めるときは、申立てにより又は職権で、これを管轄裁判所に移送しなければならない。</w:t>
      </w:r>
    </w:p>
    <w:p w14:paraId="1D90CF53" w14:textId="77777777" w:rsidR="00361A79" w:rsidRDefault="00D732E9">
      <w:pPr>
        <w:pStyle w:val="jaf4"/>
      </w:pPr>
      <w:r>
        <w:t>９　裁判所は、第七項の規定により管轄する事件について、相当と認めるときは、申立てにより又は職権で、当該事件の全部又は一部を同項の規定により管轄権を有しないこととされた裁判所に移送することができる。</w:t>
      </w:r>
    </w:p>
    <w:p w14:paraId="576E7127" w14:textId="77777777" w:rsidR="00361A79" w:rsidRDefault="00D732E9">
      <w:pPr>
        <w:pStyle w:val="jaf4"/>
      </w:pPr>
      <w:r>
        <w:t>１０　前二項の規定による決定に対しては、その告知を受けた日から二週間の不変期間内</w:t>
      </w:r>
      <w:r>
        <w:t>に、即時抗告をすることができる。</w:t>
      </w:r>
    </w:p>
    <w:p w14:paraId="42F7C261" w14:textId="77777777" w:rsidR="00361A79" w:rsidRDefault="00D732E9">
      <w:pPr>
        <w:pStyle w:val="jaf4"/>
      </w:pPr>
      <w:r>
        <w:t>１１　裁判所は、次項の規定により第一項の申立てを却下する場合を除き、執行決定をしなければならない。</w:t>
      </w:r>
    </w:p>
    <w:p w14:paraId="35E8DB94" w14:textId="77777777" w:rsidR="00361A79" w:rsidRDefault="00D732E9">
      <w:pPr>
        <w:pStyle w:val="jaf4"/>
      </w:pPr>
      <w:r>
        <w:t>１２　裁判所は、第一項の申立てがあった場合において、次の各号に掲げる事由のいずれかがあると認めるとき（第一号から第六号までに掲げる事由にあっては、被申立人が当該事由の存在を証明した場合に限る。）に限り、当該申立てを却下することができる。</w:t>
      </w:r>
    </w:p>
    <w:p w14:paraId="413C9C86" w14:textId="77777777" w:rsidR="00361A79" w:rsidRDefault="00D732E9">
      <w:pPr>
        <w:pStyle w:val="jaf6"/>
      </w:pPr>
      <w:r>
        <w:t>一　国際和解合意が、当事者の行為能力の制限により、その効力を有しないこと。</w:t>
      </w:r>
    </w:p>
    <w:p w14:paraId="4D4D9FC3" w14:textId="77777777" w:rsidR="00361A79" w:rsidRDefault="00D732E9">
      <w:pPr>
        <w:pStyle w:val="jaf6"/>
      </w:pPr>
      <w:r>
        <w:t>二　国際和解合意が、当事者が合意により国際和解合意に適用すべきも</w:t>
      </w:r>
      <w:r>
        <w:t>のとして有効に指定した法令（当該指定がないときは、裁判所が国際和解合意について適用すべきものと判断する法令）によれば、当事者の行為能力の制限以外の事由により、その効力を有しないこと。</w:t>
      </w:r>
    </w:p>
    <w:p w14:paraId="35F6E8F0" w14:textId="77777777" w:rsidR="00361A79" w:rsidRDefault="00D732E9">
      <w:pPr>
        <w:pStyle w:val="jaf6"/>
      </w:pPr>
      <w:r>
        <w:t>三　国際和解合意に基づく債務の内容を特定することができないこと。</w:t>
      </w:r>
    </w:p>
    <w:p w14:paraId="5C5304A5" w14:textId="77777777" w:rsidR="00361A79" w:rsidRDefault="00D732E9">
      <w:pPr>
        <w:pStyle w:val="jaf6"/>
      </w:pPr>
      <w:r>
        <w:t>四　国際和解合意に基づく債務の全部が履行その他の事由により消滅したこと。</w:t>
      </w:r>
    </w:p>
    <w:p w14:paraId="77E61663" w14:textId="77777777" w:rsidR="00361A79" w:rsidRDefault="00D732E9">
      <w:pPr>
        <w:pStyle w:val="jaf6"/>
      </w:pPr>
      <w:r>
        <w:t>五　調停人が、法令その他当事者間の合意により当該調停人又は当該調停人が実施する調停に適用される準則（公の秩序に関しないものに限る。）に違反した場合であって、その違反する事実が重大であり、か</w:t>
      </w:r>
      <w:r>
        <w:t>つ、当該国際和解合意の成立に影響を及ぼすものであること。</w:t>
      </w:r>
    </w:p>
    <w:p w14:paraId="50F5DC1C" w14:textId="77777777" w:rsidR="00361A79" w:rsidRDefault="00D732E9">
      <w:pPr>
        <w:pStyle w:val="jaf6"/>
      </w:pPr>
      <w:r>
        <w:t>六　調停人が、当事者に対し、自己の公正性又は独立性に疑いを生じさせるおそれのある事実を開示しなかった場合であって、当該事実が重大であり、かつ、当該国際和解合意の成立に影響を及ぼすものであること。</w:t>
      </w:r>
    </w:p>
    <w:p w14:paraId="0309F9AA" w14:textId="77777777" w:rsidR="00361A79" w:rsidRDefault="00D732E9">
      <w:pPr>
        <w:pStyle w:val="jaf6"/>
      </w:pPr>
      <w:r>
        <w:t>七　国際和解合意の対象である事項が、日本の法令によれば、和解の対象とすることができない紛争に関するものであること。</w:t>
      </w:r>
    </w:p>
    <w:p w14:paraId="30BB99EB" w14:textId="77777777" w:rsidR="00361A79" w:rsidRDefault="00D732E9">
      <w:pPr>
        <w:pStyle w:val="jaf6"/>
      </w:pPr>
      <w:r>
        <w:t>八　国際和解合意に基づく民事執行が、日本における公の秩序又は善良の風俗に反すること。</w:t>
      </w:r>
    </w:p>
    <w:p w14:paraId="280C97D4" w14:textId="77777777" w:rsidR="00361A79" w:rsidRDefault="00D732E9">
      <w:pPr>
        <w:pStyle w:val="jaf4"/>
      </w:pPr>
      <w:r>
        <w:t>１３　裁判所は、口頭弁論又は当事者双方が立ち会うことがで</w:t>
      </w:r>
      <w:r>
        <w:t>きる審尋の期日を経なければ、第一項の申立てについての決定をすることができない。</w:t>
      </w:r>
    </w:p>
    <w:p w14:paraId="06296720" w14:textId="77777777" w:rsidR="00361A79" w:rsidRDefault="00D732E9">
      <w:pPr>
        <w:pStyle w:val="jaf4"/>
      </w:pPr>
      <w:r>
        <w:t>１４　第一項の申立てについての決定に対しては、その告知を受けた日から二週間の不変期間内に、即時抗告をすることができる。</w:t>
      </w:r>
    </w:p>
    <w:p w14:paraId="7D65F88F" w14:textId="77777777" w:rsidR="00361A79" w:rsidRDefault="00361A79"/>
    <w:p w14:paraId="4BFD8028" w14:textId="77777777" w:rsidR="00361A79" w:rsidRDefault="00D732E9">
      <w:pPr>
        <w:pStyle w:val="jaa"/>
      </w:pPr>
      <w:r>
        <w:t>（任意的口頭弁論）</w:t>
      </w:r>
    </w:p>
    <w:p w14:paraId="572A6242" w14:textId="77777777" w:rsidR="00361A79" w:rsidRDefault="00D732E9">
      <w:pPr>
        <w:pStyle w:val="jaf3"/>
      </w:pPr>
      <w:r>
        <w:t>第六条　執行決定の手続に関する裁判は、口頭弁論を経ないですることができる。</w:t>
      </w:r>
    </w:p>
    <w:p w14:paraId="1008751E" w14:textId="77777777" w:rsidR="00361A79" w:rsidRDefault="00361A79"/>
    <w:p w14:paraId="2F81AC08" w14:textId="77777777" w:rsidR="00361A79" w:rsidRDefault="00D732E9">
      <w:pPr>
        <w:pStyle w:val="jaa"/>
      </w:pPr>
      <w:r>
        <w:t>（事件の記録の閲覧等）</w:t>
      </w:r>
    </w:p>
    <w:p w14:paraId="1CB18839" w14:textId="77777777" w:rsidR="00361A79" w:rsidRDefault="00D732E9">
      <w:pPr>
        <w:pStyle w:val="jaf3"/>
      </w:pPr>
      <w:r>
        <w:t>第七条　執行決定の手続について利害関係を有する者は、裁判所書記官に対し、次に掲げる事項を請求することができる。</w:t>
      </w:r>
    </w:p>
    <w:p w14:paraId="61C3B9F6" w14:textId="77777777" w:rsidR="00361A79" w:rsidRDefault="00D732E9">
      <w:pPr>
        <w:pStyle w:val="jaf6"/>
      </w:pPr>
      <w:r>
        <w:t>一　事件の記録の閲覧又は謄写</w:t>
      </w:r>
    </w:p>
    <w:p w14:paraId="2CC2089B" w14:textId="77777777" w:rsidR="00361A79" w:rsidRDefault="00D732E9">
      <w:pPr>
        <w:pStyle w:val="jaf6"/>
      </w:pPr>
      <w:r>
        <w:t>二　事件の記録中の電子的方式、磁気的方式その他人の知覚によっては認識することができない方式で作られた記録の複製</w:t>
      </w:r>
    </w:p>
    <w:p w14:paraId="2AD0EDEA" w14:textId="77777777" w:rsidR="00361A79" w:rsidRDefault="00D732E9">
      <w:pPr>
        <w:pStyle w:val="jaf6"/>
      </w:pPr>
      <w:r>
        <w:t>三　事件の記録の正本、謄本又は抄本の交付</w:t>
      </w:r>
    </w:p>
    <w:p w14:paraId="2C43E80D" w14:textId="77777777" w:rsidR="00361A79" w:rsidRDefault="00D732E9">
      <w:pPr>
        <w:pStyle w:val="jaf6"/>
      </w:pPr>
      <w:r>
        <w:t>四　事件に関する事項の証明書の交付</w:t>
      </w:r>
    </w:p>
    <w:p w14:paraId="4429FD7C" w14:textId="77777777" w:rsidR="00361A79" w:rsidRDefault="00361A79"/>
    <w:p w14:paraId="19EE51D2" w14:textId="77777777" w:rsidR="00361A79" w:rsidRDefault="00D732E9">
      <w:pPr>
        <w:pStyle w:val="jaa"/>
      </w:pPr>
      <w:r>
        <w:t>（期日の呼出し）</w:t>
      </w:r>
    </w:p>
    <w:p w14:paraId="66C59B9C" w14:textId="77777777" w:rsidR="00361A79" w:rsidRDefault="00D732E9">
      <w:pPr>
        <w:pStyle w:val="jaf3"/>
      </w:pPr>
      <w:r>
        <w:t>第八条　執行決定の手続における期日の呼出しは、呼出状の送達、当該事件について出頭した者に対する期日の告知その他相当と認める方法によってする。</w:t>
      </w:r>
    </w:p>
    <w:p w14:paraId="45EFA3F6" w14:textId="77777777" w:rsidR="00361A79" w:rsidRDefault="00D732E9">
      <w:pPr>
        <w:pStyle w:val="jaf4"/>
      </w:pPr>
      <w:r>
        <w:t>２　呼出状の送達及</w:t>
      </w:r>
      <w:r>
        <w:t>び当該事件について出頭した者に対する期日の告知以外の方法による期日の呼出しをしたときは、期日に出頭しない者に対し、法律上の制裁その他期日の不遵守による不利益を帰することができない。ただし、その者が期日の呼出しを受けた旨を記載した書面を提出したときは、この限りでない。</w:t>
      </w:r>
    </w:p>
    <w:p w14:paraId="1571EA9D" w14:textId="77777777" w:rsidR="00361A79" w:rsidRDefault="00361A79"/>
    <w:p w14:paraId="4E423F22" w14:textId="77777777" w:rsidR="00361A79" w:rsidRDefault="00D732E9">
      <w:pPr>
        <w:pStyle w:val="jaa"/>
      </w:pPr>
      <w:r>
        <w:t>（公示送達の方法）</w:t>
      </w:r>
    </w:p>
    <w:p w14:paraId="5E7CDABC" w14:textId="77777777" w:rsidR="00361A79" w:rsidRDefault="00D732E9">
      <w:pPr>
        <w:pStyle w:val="jaf3"/>
      </w:pPr>
      <w:r>
        <w:t>第九条　執行決定の手続における公示送達は、裁判所書記官が送達すべき書類を保管し、いつでも送達を受けるべき者に交付すべき旨を裁判所の掲示場に掲示してする。</w:t>
      </w:r>
    </w:p>
    <w:p w14:paraId="76E040E6" w14:textId="77777777" w:rsidR="00361A79" w:rsidRDefault="00361A79"/>
    <w:p w14:paraId="1426B942" w14:textId="77777777" w:rsidR="00361A79" w:rsidRDefault="00D732E9">
      <w:pPr>
        <w:pStyle w:val="jaa"/>
      </w:pPr>
      <w:r>
        <w:t>（電子情報処理組織による申立て等）</w:t>
      </w:r>
    </w:p>
    <w:p w14:paraId="2C9DDCA3" w14:textId="77777777" w:rsidR="00361A79" w:rsidRDefault="00D732E9">
      <w:pPr>
        <w:pStyle w:val="jaf3"/>
      </w:pPr>
      <w:r>
        <w:t>第十条　執行決定の手続における</w:t>
      </w:r>
      <w:r>
        <w:t>申立てその他の申述（以下この条において「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次項及び第四項において同じ。）をもってするものとされているものであって、最高裁判所の定める裁判所に対してするもの（当該裁判所の裁判長、受命裁判官、受託裁判官又は裁判所書記官に対してするものを含む。）については、当該法令の規定にかかわらず、最高裁</w:t>
      </w:r>
      <w:r>
        <w:t>判所規則で定めるところにより、電子情報処理組織（裁判所の使用に係る電子計算機（入出力装置を含む。以下この項及び第三項において同じ。）と申立て等をする者の使用に係る電子計算機とを電気通信回線で接続した電子情報処理組織をいう。）を用いてすることができる。</w:t>
      </w:r>
    </w:p>
    <w:p w14:paraId="3F2633E1" w14:textId="77777777" w:rsidR="00361A79" w:rsidRDefault="00D732E9">
      <w:pPr>
        <w:pStyle w:val="jaf4"/>
      </w:pPr>
      <w:r>
        <w:t>２　前項の規定によりされ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14:paraId="37A11056" w14:textId="77777777" w:rsidR="00361A79" w:rsidRDefault="00D732E9">
      <w:pPr>
        <w:pStyle w:val="jaf4"/>
      </w:pPr>
      <w:r>
        <w:t>３　第一項の規定によりされた申立て等は、同項の裁</w:t>
      </w:r>
      <w:r>
        <w:t>判所の使用に係る電子計算機に備えられたファイルへの記録がされた時に、当該裁判所に到達したものとみなす。</w:t>
      </w:r>
    </w:p>
    <w:p w14:paraId="38FC85AA" w14:textId="77777777" w:rsidR="00361A79" w:rsidRDefault="00D732E9">
      <w:pPr>
        <w:pStyle w:val="jaf4"/>
      </w:pPr>
      <w:r>
        <w:t>４　第一項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14:paraId="4AA09D1B" w14:textId="77777777" w:rsidR="00361A79" w:rsidRDefault="00D732E9">
      <w:pPr>
        <w:pStyle w:val="jaf4"/>
      </w:pPr>
      <w:r>
        <w:t>５　第一項の規定によりされた申立て等が第三</w:t>
      </w:r>
      <w:r>
        <w:t>項に規定するファイルに記録されたときは、第一項の裁判所は、当該ファイルに記録された情報の内容を書面に出力しなければならない。</w:t>
      </w:r>
    </w:p>
    <w:p w14:paraId="0EB7E031" w14:textId="77777777" w:rsidR="00361A79" w:rsidRDefault="00D732E9">
      <w:pPr>
        <w:pStyle w:val="jaf4"/>
      </w:pPr>
      <w:r>
        <w:t>６　第一項の規定によりされた申立て等に係るこの法律その他の法令の規定による事件の記録の閲覧若しくは謄写又はその正本、謄本若しくは抄本の交付は、前項の書面をもってするものとする。当該申立て等に係る書類の送達又は送付も、同様とする。</w:t>
      </w:r>
    </w:p>
    <w:p w14:paraId="3F2060F0" w14:textId="77777777" w:rsidR="00361A79" w:rsidRDefault="00361A79"/>
    <w:p w14:paraId="5833A650" w14:textId="77777777" w:rsidR="00361A79" w:rsidRDefault="00D732E9">
      <w:pPr>
        <w:pStyle w:val="jaa"/>
      </w:pPr>
      <w:r>
        <w:t>（裁判書）</w:t>
      </w:r>
    </w:p>
    <w:p w14:paraId="50801DB5" w14:textId="77777777" w:rsidR="00361A79" w:rsidRDefault="00D732E9">
      <w:pPr>
        <w:pStyle w:val="jaf3"/>
      </w:pPr>
      <w:r>
        <w:t>第十一条　執行決定の手続に係る裁判の裁判書を作成する場合には、当該裁判書には、当該裁判に係る主文、当事者及び法定代理人並びに裁判所を記載しなけ</w:t>
      </w:r>
      <w:r>
        <w:t>ればならない。</w:t>
      </w:r>
    </w:p>
    <w:p w14:paraId="5E009001" w14:textId="77777777" w:rsidR="00361A79" w:rsidRDefault="00D732E9">
      <w:pPr>
        <w:pStyle w:val="jaf4"/>
      </w:pPr>
      <w:r>
        <w:t>２　前項の裁判書を送達する場合には、当該送達は、当該裁判書の正本によってする。</w:t>
      </w:r>
    </w:p>
    <w:p w14:paraId="56A15BBD" w14:textId="77777777" w:rsidR="00361A79" w:rsidRDefault="00361A79"/>
    <w:p w14:paraId="074958A6" w14:textId="77777777" w:rsidR="00361A79" w:rsidRDefault="00D732E9">
      <w:pPr>
        <w:pStyle w:val="jaa"/>
      </w:pPr>
      <w:r>
        <w:t>（民事訴訟法の準用）</w:t>
      </w:r>
    </w:p>
    <w:p w14:paraId="23DA9CDE" w14:textId="77777777" w:rsidR="00361A79" w:rsidRDefault="00D732E9">
      <w:pPr>
        <w:pStyle w:val="jaf3"/>
      </w:pPr>
      <w:r>
        <w:t>第十二条　特別の定めがある場合を除き、執行決定の手続に関しては、その性質に反しない限り、民事訴訟法（平成八年法律第百九号）第一編から第四編までの規定（同法第七十一条第二項、第九十一条の二、第九十二条第九項及び第十項、第九十二条の二第二項、第九十四条、第百条第二項、第一編第五章第四節第三款、第百十一条、第一編第七章、第百三十三条の二第五項及び第六項、第百三十三条の三第二項、第百五十一条第三項、第百六十条第二項、第百八十五条第三項、第二百五条第二項、第二百十五条第二項、第二百二十七条第二項並びに第二百三十二条の</w:t>
      </w:r>
      <w:r>
        <w:t>二の規定を除く。）を準用する。この場合において、別表の上欄に掲げる同法の規定中同表の中欄に掲げる字句は、それぞれ同表の下欄に掲げる字句に読み替えるものとする。</w:t>
      </w:r>
    </w:p>
    <w:p w14:paraId="14C0ABD8" w14:textId="77777777" w:rsidR="00361A79" w:rsidRDefault="00361A79"/>
    <w:p w14:paraId="3E8D43FA" w14:textId="77777777" w:rsidR="00361A79" w:rsidRDefault="00D732E9">
      <w:pPr>
        <w:pStyle w:val="jaa"/>
      </w:pPr>
      <w:r>
        <w:t>（最高裁判所規則）</w:t>
      </w:r>
    </w:p>
    <w:p w14:paraId="4C75A4BD" w14:textId="77777777" w:rsidR="00361A79" w:rsidRDefault="00D732E9">
      <w:pPr>
        <w:pStyle w:val="jaf3"/>
      </w:pPr>
      <w:r>
        <w:t>第十三条　この法律に定めるもののほか、執行決定の手続に関し必要な事項は、最高裁判所規則で定める。</w:t>
      </w:r>
    </w:p>
    <w:p w14:paraId="583DB51C" w14:textId="77777777" w:rsidR="00361A79" w:rsidRDefault="00361A79"/>
    <w:p w14:paraId="5259D3D4" w14:textId="77777777" w:rsidR="00361A79" w:rsidRDefault="00D732E9">
      <w:pPr>
        <w:pStyle w:val="ja2"/>
      </w:pPr>
      <w:r>
        <w:t>附　則</w:t>
      </w:r>
    </w:p>
    <w:p w14:paraId="5B2051FE" w14:textId="77777777" w:rsidR="00361A79" w:rsidRDefault="00361A79"/>
    <w:p w14:paraId="01F65F49" w14:textId="77777777" w:rsidR="00361A79" w:rsidRDefault="00D732E9">
      <w:pPr>
        <w:pStyle w:val="jaa"/>
      </w:pPr>
      <w:r>
        <w:t>（施行期日）</w:t>
      </w:r>
    </w:p>
    <w:p w14:paraId="63B2171C" w14:textId="77777777" w:rsidR="00361A79" w:rsidRDefault="00D732E9">
      <w:pPr>
        <w:pStyle w:val="jaf3"/>
      </w:pPr>
      <w:r>
        <w:t>第一条　この法律は、条約が日本国について効力を生ずる日から施行する。</w:t>
      </w:r>
    </w:p>
    <w:p w14:paraId="422D71BA" w14:textId="77777777" w:rsidR="00361A79" w:rsidRDefault="00361A79"/>
    <w:p w14:paraId="6470D445" w14:textId="77777777" w:rsidR="00361A79" w:rsidRDefault="00D732E9">
      <w:pPr>
        <w:pStyle w:val="jaa"/>
      </w:pPr>
      <w:r>
        <w:t>（国際和解合意に関する経過措置）</w:t>
      </w:r>
    </w:p>
    <w:p w14:paraId="578C43E4" w14:textId="77777777" w:rsidR="00361A79" w:rsidRDefault="00D732E9">
      <w:pPr>
        <w:pStyle w:val="jaf3"/>
      </w:pPr>
      <w:r>
        <w:t>第二条　この法律は、この法律の施行の日以後に成立する国際和解合意について適用する。</w:t>
      </w:r>
    </w:p>
    <w:p w14:paraId="3B156017" w14:textId="77777777" w:rsidR="00361A79" w:rsidRDefault="00D732E9">
      <w:pPr>
        <w:pStyle w:val="jaf5"/>
      </w:pPr>
      <w:r>
        <w:t xml:space="preserve">第三条～第五条　</w:t>
      </w:r>
      <w:r>
        <w:t>（略）</w:t>
      </w:r>
    </w:p>
    <w:p w14:paraId="3E14192A" w14:textId="77777777" w:rsidR="00361A79" w:rsidRDefault="00361A79"/>
    <w:p w14:paraId="24162CB0" w14:textId="77777777" w:rsidR="00361A79" w:rsidRDefault="00D732E9">
      <w:pPr>
        <w:pStyle w:val="ja8"/>
        <w:ind w:left="227" w:hanging="227"/>
      </w:pPr>
      <w:r>
        <w:t>別表（第十二条関係）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61A79" w14:paraId="0D034C10"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19E8" w14:textId="77777777" w:rsidR="00361A79" w:rsidRDefault="00D732E9">
            <w:pPr>
              <w:pStyle w:val="jaen"/>
            </w:pPr>
            <w:r>
              <w:t>第百十二条第一項本文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79513" w14:textId="77777777" w:rsidR="00361A79" w:rsidRDefault="00D732E9">
            <w:pPr>
              <w:pStyle w:val="jaen"/>
            </w:pPr>
            <w:r>
              <w:t>前条の規定による措置を開始した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D1CC" w14:textId="77777777" w:rsidR="00361A79" w:rsidRDefault="00D732E9">
            <w:pPr>
              <w:pStyle w:val="jaen"/>
            </w:pPr>
            <w:r>
              <w:t>裁判所書記官が送達すべき書類を保管し、いつでも送達を受けるべき者に交付すべき旨の裁判所の掲示場への掲示を始めた</w:t>
            </w:r>
          </w:p>
        </w:tc>
      </w:tr>
      <w:tr w:rsidR="00361A79" w14:paraId="04A8FE9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A31" w14:textId="77777777" w:rsidR="00361A79" w:rsidRDefault="00D732E9">
            <w:pPr>
              <w:pStyle w:val="jaen"/>
            </w:pPr>
            <w:r>
              <w:t>第百十二条第一項ただし書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57A" w14:textId="77777777" w:rsidR="00361A79" w:rsidRDefault="00D732E9">
            <w:pPr>
              <w:pStyle w:val="jaen"/>
            </w:pPr>
            <w:r>
              <w:t>前条の規定による措置を開始した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EED79" w14:textId="77777777" w:rsidR="00361A79" w:rsidRDefault="00D732E9">
            <w:pPr>
              <w:pStyle w:val="jaen"/>
            </w:pPr>
            <w:r>
              <w:t>当該掲示を始めた</w:t>
            </w:r>
          </w:p>
        </w:tc>
      </w:tr>
      <w:tr w:rsidR="00361A79" w14:paraId="6B43580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23CCE0F" w14:textId="77777777" w:rsidR="00361A79" w:rsidRDefault="00D732E9">
            <w:pPr>
              <w:pStyle w:val="jaen"/>
            </w:pPr>
            <w:r>
              <w:t>第百十三条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A0D69" w14:textId="77777777" w:rsidR="00361A79" w:rsidRDefault="00D732E9">
            <w:pPr>
              <w:pStyle w:val="jaen"/>
            </w:pPr>
            <w:r>
              <w:t>書類又は電磁的記録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4790" w14:textId="77777777" w:rsidR="00361A79" w:rsidRDefault="00D732E9">
            <w:pPr>
              <w:pStyle w:val="jaen"/>
            </w:pPr>
            <w:r>
              <w:t>書類</w:t>
            </w:r>
          </w:p>
        </w:tc>
      </w:tr>
      <w:tr w:rsidR="00361A79" w14:paraId="25FC1859"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1194A990" w14:textId="77777777" w:rsidR="00361A79" w:rsidRDefault="00361A7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29A" w14:textId="77777777" w:rsidR="00361A79" w:rsidRDefault="00D732E9">
            <w:pPr>
              <w:pStyle w:val="jaen"/>
            </w:pPr>
            <w:r>
              <w:t>記載又は記録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FA4A5" w14:textId="77777777" w:rsidR="00361A79" w:rsidRDefault="00D732E9">
            <w:pPr>
              <w:pStyle w:val="jaen"/>
            </w:pPr>
            <w:r>
              <w:t>記載</w:t>
            </w:r>
          </w:p>
        </w:tc>
      </w:tr>
      <w:tr w:rsidR="00361A79" w14:paraId="5EC4F2F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33ECFF8" w14:textId="77777777" w:rsidR="00361A79" w:rsidRDefault="00361A7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D3B6E" w14:textId="77777777" w:rsidR="00361A79" w:rsidRDefault="00D732E9">
            <w:pPr>
              <w:pStyle w:val="jaen"/>
            </w:pPr>
            <w:r>
              <w:t>第百十一条の規定による措置を開始した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DB8BD" w14:textId="77777777" w:rsidR="00361A79" w:rsidRDefault="00D732E9">
            <w:pPr>
              <w:pStyle w:val="jaen"/>
            </w:pPr>
            <w:r>
              <w:t>裁判所書記官が送達すべき書類を保管し、いつでも送達を受けるべき者に交付すべき旨の裁判所の掲示場への掲示を始めた</w:t>
            </w:r>
          </w:p>
        </w:tc>
      </w:tr>
      <w:tr w:rsidR="00361A79" w14:paraId="04F79ED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4A9D26F" w14:textId="77777777" w:rsidR="00361A79" w:rsidRDefault="00D732E9">
            <w:pPr>
              <w:pStyle w:val="jaen"/>
            </w:pPr>
            <w:r>
              <w:t>第百三十三条の三第一項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ACAF5" w14:textId="77777777" w:rsidR="00361A79" w:rsidRDefault="00D732E9">
            <w:pPr>
              <w:pStyle w:val="jaen"/>
            </w:pPr>
            <w:r>
              <w:t>記載され、又は記録された書面又は電磁的記録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902A7" w14:textId="77777777" w:rsidR="00361A79" w:rsidRDefault="00D732E9">
            <w:pPr>
              <w:pStyle w:val="jaen"/>
            </w:pPr>
            <w:r>
              <w:t>記載された書面</w:t>
            </w:r>
          </w:p>
        </w:tc>
      </w:tr>
      <w:tr w:rsidR="00361A79" w14:paraId="0F548C3C" w14:textId="77777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14:paraId="2A95F766" w14:textId="77777777" w:rsidR="00361A79" w:rsidRDefault="00361A7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0D49A" w14:textId="77777777" w:rsidR="00361A79" w:rsidRDefault="00D732E9">
            <w:pPr>
              <w:pStyle w:val="jaen"/>
            </w:pPr>
            <w:r>
              <w:t>当該書面又は電磁的記録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8FBE7" w14:textId="77777777" w:rsidR="00361A79" w:rsidRDefault="00D732E9">
            <w:pPr>
              <w:pStyle w:val="jaen"/>
            </w:pPr>
            <w:r>
              <w:t>当該書面</w:t>
            </w:r>
          </w:p>
        </w:tc>
      </w:tr>
      <w:tr w:rsidR="00361A79" w14:paraId="725EB074"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9949FEE" w14:textId="77777777" w:rsidR="00361A79" w:rsidRDefault="00361A7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847E7" w14:textId="77777777" w:rsidR="00361A79" w:rsidRDefault="00D732E9">
            <w:pPr>
              <w:pStyle w:val="jaen"/>
            </w:pPr>
            <w:r>
              <w:t>又は電磁的記録その他これに類する書面又は電磁的記録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B259C" w14:textId="77777777" w:rsidR="00361A79" w:rsidRDefault="00D732E9">
            <w:pPr>
              <w:pStyle w:val="jaen"/>
            </w:pPr>
            <w:r>
              <w:t>その他これに類する書面</w:t>
            </w:r>
          </w:p>
        </w:tc>
      </w:tr>
      <w:tr w:rsidR="00361A79" w14:paraId="45F7902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49BA" w14:textId="77777777" w:rsidR="00361A79" w:rsidRDefault="00D732E9">
            <w:pPr>
              <w:pStyle w:val="jaen"/>
            </w:pPr>
            <w:r>
              <w:t>第百五十一条第二項及び第二百三十一条の二第二項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D3A83" w14:textId="77777777" w:rsidR="00361A79" w:rsidRDefault="00D732E9">
            <w:pPr>
              <w:pStyle w:val="jaen"/>
            </w:pPr>
            <w:r>
              <w:t>方法又は最高裁判所規則で定める電子情報処理組織を使用する方法</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A9A8A" w14:textId="77777777" w:rsidR="00361A79" w:rsidRDefault="00D732E9">
            <w:pPr>
              <w:pStyle w:val="jaen"/>
            </w:pPr>
            <w:r>
              <w:t>方法</w:t>
            </w:r>
          </w:p>
        </w:tc>
      </w:tr>
      <w:tr w:rsidR="00361A79" w14:paraId="0F0B173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F0D9" w14:textId="77777777" w:rsidR="00361A79" w:rsidRDefault="00D732E9">
            <w:pPr>
              <w:pStyle w:val="jaen"/>
            </w:pPr>
            <w:r>
              <w:t>第百六十条第一項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19603" w14:textId="77777777" w:rsidR="00361A79" w:rsidRDefault="00D732E9">
            <w:pPr>
              <w:pStyle w:val="jaen"/>
            </w:pPr>
            <w:r>
              <w:t>最高裁判所規則で定めるところにより、電子調書（期日又は期日外における手続の方式、内容及び経過等の記録及び公証をするためにこの法律その他の法令の規定により裁判所書記官が作成する電磁的記録をいう。以下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4E17C" w14:textId="77777777" w:rsidR="00361A79" w:rsidRDefault="00D732E9">
            <w:pPr>
              <w:pStyle w:val="jaen"/>
            </w:pPr>
            <w:r>
              <w:t>調書</w:t>
            </w:r>
          </w:p>
        </w:tc>
      </w:tr>
      <w:tr w:rsidR="00361A79" w14:paraId="7793462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618D5" w14:textId="77777777" w:rsidR="00361A79" w:rsidRDefault="00D732E9">
            <w:pPr>
              <w:pStyle w:val="jaen"/>
            </w:pPr>
            <w:r>
              <w:t>第百六十条第三項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36F48" w14:textId="77777777" w:rsidR="00361A79" w:rsidRDefault="00D732E9">
            <w:pPr>
              <w:pStyle w:val="jaen"/>
            </w:pPr>
            <w:r>
              <w:t>前項の規定によりファイルに記録された電子調書の内容に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0F713" w14:textId="77777777" w:rsidR="00361A79" w:rsidRDefault="00D732E9">
            <w:pPr>
              <w:pStyle w:val="jaen"/>
            </w:pPr>
            <w:r>
              <w:t>調書の記載について</w:t>
            </w:r>
          </w:p>
        </w:tc>
      </w:tr>
      <w:tr w:rsidR="00361A79" w14:paraId="2868F9C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7F827FA" w14:textId="77777777" w:rsidR="00361A79" w:rsidRDefault="00D732E9">
            <w:pPr>
              <w:pStyle w:val="jaen"/>
            </w:pPr>
            <w:r>
              <w:t>第百六十条第四項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96EF" w14:textId="77777777" w:rsidR="00361A79" w:rsidRDefault="00D732E9">
            <w:pPr>
              <w:pStyle w:val="jaen"/>
            </w:pPr>
            <w:r>
              <w:t>第二項の規定によりファイルに記録された電子調書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524FD" w14:textId="77777777" w:rsidR="00361A79" w:rsidRDefault="00D732E9">
            <w:pPr>
              <w:pStyle w:val="jaen"/>
            </w:pPr>
            <w:r>
              <w:t>調書</w:t>
            </w:r>
          </w:p>
        </w:tc>
      </w:tr>
      <w:tr w:rsidR="00361A79" w14:paraId="65F8A3F8"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E42B7B5" w14:textId="77777777" w:rsidR="00361A79" w:rsidRDefault="00361A7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E7CFC" w14:textId="77777777" w:rsidR="00361A79" w:rsidRDefault="00D732E9">
            <w:pPr>
              <w:pStyle w:val="jaen"/>
            </w:pPr>
            <w:r>
              <w:t>当該電子調書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AE68" w14:textId="77777777" w:rsidR="00361A79" w:rsidRDefault="00D732E9">
            <w:pPr>
              <w:pStyle w:val="jaen"/>
            </w:pPr>
            <w:r>
              <w:t>当該調書</w:t>
            </w:r>
          </w:p>
        </w:tc>
      </w:tr>
      <w:tr w:rsidR="00361A79" w14:paraId="4483FC6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75948" w14:textId="77777777" w:rsidR="00361A79" w:rsidRDefault="00D732E9">
            <w:pPr>
              <w:pStyle w:val="jaen"/>
            </w:pPr>
            <w:r>
              <w:t>第百六十条の二第一項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8E01F" w14:textId="77777777" w:rsidR="00361A79" w:rsidRDefault="00D732E9">
            <w:pPr>
              <w:pStyle w:val="jaen"/>
            </w:pPr>
            <w:r>
              <w:t>前条第二項の規定によりファイルに記録された電子調書の内容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CB3F" w14:textId="77777777" w:rsidR="00361A79" w:rsidRDefault="00D732E9">
            <w:pPr>
              <w:pStyle w:val="jaen"/>
            </w:pPr>
            <w:r>
              <w:t>調書の記載</w:t>
            </w:r>
          </w:p>
        </w:tc>
      </w:tr>
      <w:tr w:rsidR="00361A79" w14:paraId="187455D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4D44" w14:textId="77777777" w:rsidR="00361A79" w:rsidRDefault="00D732E9">
            <w:pPr>
              <w:pStyle w:val="jaen"/>
            </w:pPr>
            <w:r>
              <w:t>第百六十条の二第二項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EE160" w14:textId="77777777" w:rsidR="00361A79" w:rsidRDefault="00D732E9">
            <w:pPr>
              <w:pStyle w:val="jaen"/>
            </w:pPr>
            <w:r>
              <w:t>その旨をファイルに記録して</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8F824" w14:textId="77777777" w:rsidR="00361A79" w:rsidRDefault="00D732E9">
            <w:pPr>
              <w:pStyle w:val="jaen"/>
            </w:pPr>
            <w:r>
              <w:t>調書を作成して</w:t>
            </w:r>
          </w:p>
        </w:tc>
      </w:tr>
      <w:tr w:rsidR="00361A79" w14:paraId="645C0A6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08DB" w14:textId="77777777" w:rsidR="00361A79" w:rsidRDefault="00D732E9">
            <w:pPr>
              <w:pStyle w:val="jaen"/>
            </w:pPr>
            <w:r>
              <w:t>第二百五条第三項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37FEA" w14:textId="77777777" w:rsidR="00361A79" w:rsidRDefault="00D732E9">
            <w:pPr>
              <w:pStyle w:val="jaen"/>
            </w:pPr>
            <w:r>
              <w:t>事項又は前項の規定によりファイルに記録された事項若しくは同項の記録媒体に記録された事項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F235A" w14:textId="77777777" w:rsidR="00361A79" w:rsidRDefault="00D732E9">
            <w:pPr>
              <w:pStyle w:val="jaen"/>
            </w:pPr>
            <w:r>
              <w:t>事項</w:t>
            </w:r>
          </w:p>
        </w:tc>
      </w:tr>
      <w:tr w:rsidR="00361A79" w14:paraId="502A250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757E0" w14:textId="77777777" w:rsidR="00361A79" w:rsidRDefault="00D732E9">
            <w:pPr>
              <w:pStyle w:val="jaen"/>
            </w:pPr>
            <w:r>
              <w:t>第二百十五条第四項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2F308" w14:textId="77777777" w:rsidR="00361A79" w:rsidRDefault="00D732E9">
            <w:pPr>
              <w:pStyle w:val="jaen"/>
            </w:pPr>
            <w:r>
              <w:t>事項又は第二項の規定によりファイルに記録された事項若しくは同項の記録媒体に記録された事項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25EC3" w14:textId="77777777" w:rsidR="00361A79" w:rsidRDefault="00D732E9">
            <w:pPr>
              <w:pStyle w:val="jaen"/>
            </w:pPr>
            <w:r>
              <w:t>事項</w:t>
            </w:r>
          </w:p>
        </w:tc>
      </w:tr>
      <w:tr w:rsidR="00361A79" w14:paraId="03C10BF3"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C1EC3" w14:textId="77777777" w:rsidR="00361A79" w:rsidRDefault="00D732E9">
            <w:pPr>
              <w:pStyle w:val="jaen"/>
            </w:pPr>
            <w:r>
              <w:t>第二百三十一条の三第二項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52423" w14:textId="77777777" w:rsidR="00361A79" w:rsidRDefault="00D732E9">
            <w:pPr>
              <w:pStyle w:val="jaen"/>
            </w:pPr>
            <w:r>
              <w:t>若しくは送付し、又は最高裁判所規則で定める電子情報処理組織を使用する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831F2" w14:textId="77777777" w:rsidR="00361A79" w:rsidRDefault="00D732E9">
            <w:pPr>
              <w:pStyle w:val="jaen"/>
            </w:pPr>
            <w:r>
              <w:t>又は送付する</w:t>
            </w:r>
          </w:p>
        </w:tc>
      </w:tr>
      <w:tr w:rsidR="00361A79" w14:paraId="183C4DC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FF4267F" w14:textId="77777777" w:rsidR="00361A79" w:rsidRDefault="00D732E9">
            <w:pPr>
              <w:pStyle w:val="jaen"/>
            </w:pPr>
            <w:r>
              <w:t>第二百六十一条第四項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598F8" w14:textId="77777777" w:rsidR="00361A79" w:rsidRDefault="00D732E9">
            <w:pPr>
              <w:pStyle w:val="jaen"/>
            </w:pPr>
            <w:r>
              <w:t>電子調書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A6332" w14:textId="77777777" w:rsidR="00361A79" w:rsidRDefault="00D732E9">
            <w:pPr>
              <w:pStyle w:val="jaen"/>
            </w:pPr>
            <w:r>
              <w:t>調書</w:t>
            </w:r>
          </w:p>
        </w:tc>
      </w:tr>
      <w:tr w:rsidR="00361A79" w14:paraId="3BECBF9C"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5C81AD1A" w14:textId="77777777" w:rsidR="00361A79" w:rsidRDefault="00361A7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AB368" w14:textId="77777777" w:rsidR="00361A79" w:rsidRDefault="00D732E9">
            <w:pPr>
              <w:pStyle w:val="jaen"/>
            </w:pPr>
            <w:r>
              <w:t>記録しなければ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18B60" w14:textId="77777777" w:rsidR="00361A79" w:rsidRDefault="00D732E9">
            <w:pPr>
              <w:pStyle w:val="jaen"/>
            </w:pPr>
            <w:r>
              <w:t>記載しなければ</w:t>
            </w:r>
          </w:p>
        </w:tc>
      </w:tr>
    </w:tbl>
    <w:p w14:paraId="047FA66E" w14:textId="77777777" w:rsidR="00361A79" w:rsidRDefault="00361A79"/>
    <w:sectPr w:rsidR="00361A79" w:rsidSect="00361A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F505" w14:textId="77777777" w:rsidR="00361A79" w:rsidRDefault="00361A79" w:rsidP="00361A79">
      <w:r>
        <w:separator/>
      </w:r>
    </w:p>
  </w:endnote>
  <w:endnote w:type="continuationSeparator" w:id="0">
    <w:p w14:paraId="3E1EF7F2" w14:textId="77777777" w:rsidR="00361A79" w:rsidRDefault="00361A79" w:rsidP="0036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F587" w14:textId="77777777" w:rsidR="00361A79" w:rsidRDefault="00361A79">
    <w:pPr>
      <w:pStyle w:val="a3"/>
    </w:pPr>
    <w:r>
      <w:fldChar w:fldCharType="begin"/>
    </w:r>
    <w:r>
      <w:instrText xml:space="preserve"> PAGE  \* MERGEFORMAT </w:instrText>
    </w:r>
    <w:r>
      <w:fldChar w:fldCharType="separate"/>
    </w:r>
    <w:r w:rsidR="00D732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8CE0" w14:textId="77777777" w:rsidR="00361A79" w:rsidRDefault="00361A79" w:rsidP="00361A79">
      <w:r>
        <w:separator/>
      </w:r>
    </w:p>
  </w:footnote>
  <w:footnote w:type="continuationSeparator" w:id="0">
    <w:p w14:paraId="1F2BEF4A" w14:textId="77777777" w:rsidR="00361A79" w:rsidRDefault="00361A79" w:rsidP="00361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4B6"/>
    <w:multiLevelType w:val="multilevel"/>
    <w:tmpl w:val="BB147F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BC07A0"/>
    <w:multiLevelType w:val="multilevel"/>
    <w:tmpl w:val="762283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DF0C74"/>
    <w:multiLevelType w:val="multilevel"/>
    <w:tmpl w:val="E3306B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285BA9"/>
    <w:multiLevelType w:val="multilevel"/>
    <w:tmpl w:val="411AD4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4B19E7"/>
    <w:multiLevelType w:val="multilevel"/>
    <w:tmpl w:val="BF5E07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4E1AA4"/>
    <w:multiLevelType w:val="multilevel"/>
    <w:tmpl w:val="87067F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0A3E36"/>
    <w:multiLevelType w:val="multilevel"/>
    <w:tmpl w:val="D5E424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4308D7"/>
    <w:multiLevelType w:val="multilevel"/>
    <w:tmpl w:val="8E0E2C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05377A"/>
    <w:multiLevelType w:val="multilevel"/>
    <w:tmpl w:val="191225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443F4B"/>
    <w:multiLevelType w:val="multilevel"/>
    <w:tmpl w:val="18CE11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224832"/>
    <w:multiLevelType w:val="multilevel"/>
    <w:tmpl w:val="BC5CA0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C9667A"/>
    <w:multiLevelType w:val="multilevel"/>
    <w:tmpl w:val="3C40D7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0C3678"/>
    <w:multiLevelType w:val="multilevel"/>
    <w:tmpl w:val="CED0B0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6448736">
    <w:abstractNumId w:val="9"/>
  </w:num>
  <w:num w:numId="2" w16cid:durableId="1707287564">
    <w:abstractNumId w:val="8"/>
  </w:num>
  <w:num w:numId="3" w16cid:durableId="114493529">
    <w:abstractNumId w:val="4"/>
  </w:num>
  <w:num w:numId="4" w16cid:durableId="840437525">
    <w:abstractNumId w:val="10"/>
  </w:num>
  <w:num w:numId="5" w16cid:durableId="1074399780">
    <w:abstractNumId w:val="3"/>
  </w:num>
  <w:num w:numId="6" w16cid:durableId="934090832">
    <w:abstractNumId w:val="2"/>
  </w:num>
  <w:num w:numId="7" w16cid:durableId="875698656">
    <w:abstractNumId w:val="1"/>
  </w:num>
  <w:num w:numId="8" w16cid:durableId="1351830528">
    <w:abstractNumId w:val="0"/>
  </w:num>
  <w:num w:numId="9" w16cid:durableId="2073039961">
    <w:abstractNumId w:val="12"/>
  </w:num>
  <w:num w:numId="10" w16cid:durableId="1479037081">
    <w:abstractNumId w:val="7"/>
  </w:num>
  <w:num w:numId="11" w16cid:durableId="223025164">
    <w:abstractNumId w:val="6"/>
  </w:num>
  <w:num w:numId="12" w16cid:durableId="794375717">
    <w:abstractNumId w:val="11"/>
  </w:num>
  <w:num w:numId="13" w16cid:durableId="1427191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1A79"/>
    <w:rsid w:val="00361A79"/>
    <w:rsid w:val="00D732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5EE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A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1A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1A79"/>
    <w:rPr>
      <w:rFonts w:ascii="Century" w:eastAsia="Century" w:hAnsi="Century"/>
    </w:rPr>
  </w:style>
  <w:style w:type="paragraph" w:customStyle="1" w:styleId="ja0">
    <w:name w:val="款（ja）"/>
    <w:basedOn w:val="a"/>
    <w:rsid w:val="00361A79"/>
    <w:pPr>
      <w:widowControl w:val="0"/>
      <w:ind w:left="1321" w:hanging="221"/>
    </w:pPr>
    <w:rPr>
      <w:rFonts w:ascii="ＭＳ 明朝" w:eastAsia="ＭＳ 明朝" w:hAnsi="ＭＳ 明朝" w:cs="ＭＳ 明朝"/>
      <w:b/>
    </w:rPr>
  </w:style>
  <w:style w:type="paragraph" w:customStyle="1" w:styleId="en0">
    <w:name w:val="款（en）"/>
    <w:basedOn w:val="ja0"/>
    <w:rsid w:val="00361A79"/>
    <w:rPr>
      <w:rFonts w:ascii="Century" w:eastAsia="Century" w:hAnsi="Century" w:cs="Century"/>
    </w:rPr>
  </w:style>
  <w:style w:type="paragraph" w:customStyle="1" w:styleId="ja1">
    <w:name w:val="前文（ja）"/>
    <w:basedOn w:val="a"/>
    <w:rsid w:val="00361A79"/>
    <w:pPr>
      <w:widowControl w:val="0"/>
      <w:ind w:firstLine="219"/>
    </w:pPr>
    <w:rPr>
      <w:rFonts w:ascii="ＭＳ 明朝" w:eastAsia="ＭＳ 明朝" w:hAnsi="ＭＳ 明朝" w:cs="ＭＳ 明朝"/>
    </w:rPr>
  </w:style>
  <w:style w:type="paragraph" w:customStyle="1" w:styleId="en1">
    <w:name w:val="前文（en）"/>
    <w:basedOn w:val="ja1"/>
    <w:rsid w:val="00361A79"/>
    <w:rPr>
      <w:rFonts w:ascii="Century" w:eastAsia="Century" w:hAnsi="Century" w:cs="Century"/>
    </w:rPr>
  </w:style>
  <w:style w:type="paragraph" w:customStyle="1" w:styleId="ja2">
    <w:name w:val="附則（ja）"/>
    <w:basedOn w:val="a"/>
    <w:rsid w:val="00361A79"/>
    <w:pPr>
      <w:widowControl w:val="0"/>
      <w:ind w:left="881" w:hanging="221"/>
    </w:pPr>
    <w:rPr>
      <w:rFonts w:ascii="ＭＳ 明朝" w:eastAsia="ＭＳ 明朝" w:hAnsi="ＭＳ 明朝" w:cs="ＭＳ 明朝"/>
      <w:b/>
    </w:rPr>
  </w:style>
  <w:style w:type="paragraph" w:customStyle="1" w:styleId="en2">
    <w:name w:val="附則（en）"/>
    <w:basedOn w:val="ja2"/>
    <w:rsid w:val="00361A79"/>
    <w:rPr>
      <w:rFonts w:ascii="Century" w:hAnsi="Century" w:cs="Century"/>
    </w:rPr>
  </w:style>
  <w:style w:type="paragraph" w:customStyle="1" w:styleId="ja3">
    <w:name w:val="章（ja）"/>
    <w:basedOn w:val="a"/>
    <w:rsid w:val="00361A79"/>
    <w:pPr>
      <w:widowControl w:val="0"/>
      <w:ind w:left="881" w:hanging="221"/>
    </w:pPr>
    <w:rPr>
      <w:rFonts w:ascii="ＭＳ 明朝" w:eastAsia="ＭＳ 明朝" w:hAnsi="ＭＳ 明朝" w:cs="ＭＳ 明朝"/>
      <w:b/>
    </w:rPr>
  </w:style>
  <w:style w:type="paragraph" w:customStyle="1" w:styleId="en3">
    <w:name w:val="章（en）"/>
    <w:basedOn w:val="ja3"/>
    <w:rsid w:val="00361A79"/>
    <w:rPr>
      <w:rFonts w:ascii="Century" w:eastAsia="Century" w:hAnsi="Century" w:cs="Century"/>
    </w:rPr>
  </w:style>
  <w:style w:type="paragraph" w:customStyle="1" w:styleId="ja4">
    <w:name w:val="目次編（ja）"/>
    <w:basedOn w:val="a"/>
    <w:rsid w:val="00361A79"/>
    <w:pPr>
      <w:widowControl w:val="0"/>
      <w:ind w:left="219" w:hanging="219"/>
    </w:pPr>
    <w:rPr>
      <w:rFonts w:ascii="ＭＳ 明朝" w:eastAsia="ＭＳ 明朝" w:hAnsi="ＭＳ 明朝"/>
    </w:rPr>
  </w:style>
  <w:style w:type="paragraph" w:customStyle="1" w:styleId="en4">
    <w:name w:val="目次編（en）"/>
    <w:basedOn w:val="ja4"/>
    <w:rsid w:val="00361A79"/>
    <w:rPr>
      <w:rFonts w:ascii="Century" w:eastAsia="Century" w:hAnsi="Century"/>
    </w:rPr>
  </w:style>
  <w:style w:type="paragraph" w:customStyle="1" w:styleId="ja5">
    <w:name w:val="目次章（ja）"/>
    <w:basedOn w:val="a"/>
    <w:rsid w:val="00361A79"/>
    <w:pPr>
      <w:widowControl w:val="0"/>
      <w:ind w:left="439" w:hanging="219"/>
    </w:pPr>
    <w:rPr>
      <w:rFonts w:ascii="ＭＳ 明朝" w:eastAsia="ＭＳ 明朝" w:hAnsi="ＭＳ 明朝"/>
    </w:rPr>
  </w:style>
  <w:style w:type="paragraph" w:customStyle="1" w:styleId="en5">
    <w:name w:val="目次章（en）"/>
    <w:basedOn w:val="ja5"/>
    <w:rsid w:val="00361A79"/>
    <w:rPr>
      <w:rFonts w:ascii="Century" w:eastAsia="Century" w:hAnsi="Century"/>
    </w:rPr>
  </w:style>
  <w:style w:type="paragraph" w:customStyle="1" w:styleId="ja6">
    <w:name w:val="目次節（ja）"/>
    <w:basedOn w:val="a"/>
    <w:rsid w:val="00361A79"/>
    <w:pPr>
      <w:widowControl w:val="0"/>
      <w:ind w:left="659" w:hanging="219"/>
    </w:pPr>
    <w:rPr>
      <w:rFonts w:ascii="ＭＳ 明朝" w:eastAsia="ＭＳ 明朝" w:hAnsi="ＭＳ 明朝"/>
    </w:rPr>
  </w:style>
  <w:style w:type="paragraph" w:customStyle="1" w:styleId="en6">
    <w:name w:val="目次節（en）"/>
    <w:basedOn w:val="ja6"/>
    <w:rsid w:val="00361A79"/>
    <w:rPr>
      <w:rFonts w:ascii="Century" w:eastAsia="Century" w:hAnsi="Century"/>
    </w:rPr>
  </w:style>
  <w:style w:type="paragraph" w:customStyle="1" w:styleId="ja7">
    <w:name w:val="目次款（ja）"/>
    <w:basedOn w:val="a"/>
    <w:rsid w:val="00361A79"/>
    <w:pPr>
      <w:widowControl w:val="0"/>
      <w:ind w:left="879" w:hanging="219"/>
    </w:pPr>
    <w:rPr>
      <w:rFonts w:ascii="ＭＳ 明朝" w:eastAsia="ＭＳ 明朝" w:hAnsi="ＭＳ 明朝" w:cs="Kochi Mincho"/>
    </w:rPr>
  </w:style>
  <w:style w:type="paragraph" w:customStyle="1" w:styleId="en7">
    <w:name w:val="目次款（en）"/>
    <w:basedOn w:val="ja7"/>
    <w:rsid w:val="00361A79"/>
    <w:rPr>
      <w:rFonts w:ascii="Century" w:eastAsia="Century" w:hAnsi="Century"/>
    </w:rPr>
  </w:style>
  <w:style w:type="paragraph" w:customStyle="1" w:styleId="ja8">
    <w:name w:val="別表名（ja）"/>
    <w:basedOn w:val="a"/>
    <w:rsid w:val="00361A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1A79"/>
    <w:rPr>
      <w:rFonts w:ascii="Century" w:eastAsia="Century" w:hAnsi="Century" w:cs="Century"/>
    </w:rPr>
  </w:style>
  <w:style w:type="paragraph" w:customStyle="1" w:styleId="ja9">
    <w:name w:val="目（ja）"/>
    <w:basedOn w:val="a"/>
    <w:rsid w:val="00361A79"/>
    <w:pPr>
      <w:widowControl w:val="0"/>
      <w:ind w:left="1541" w:hanging="221"/>
    </w:pPr>
    <w:rPr>
      <w:rFonts w:ascii="ＭＳ 明朝" w:eastAsia="ＭＳ 明朝" w:hAnsi="ＭＳ 明朝" w:cs="ＭＳ 明朝"/>
      <w:b/>
    </w:rPr>
  </w:style>
  <w:style w:type="paragraph" w:customStyle="1" w:styleId="en9">
    <w:name w:val="目（en）"/>
    <w:basedOn w:val="ja9"/>
    <w:rsid w:val="00361A79"/>
    <w:rPr>
      <w:rFonts w:ascii="Century" w:eastAsia="Century" w:hAnsi="Century" w:cs="Century"/>
    </w:rPr>
  </w:style>
  <w:style w:type="paragraph" w:customStyle="1" w:styleId="jaa">
    <w:name w:val="見出し（ja）"/>
    <w:basedOn w:val="a"/>
    <w:rsid w:val="00361A79"/>
    <w:pPr>
      <w:widowControl w:val="0"/>
      <w:ind w:left="439" w:hanging="219"/>
    </w:pPr>
    <w:rPr>
      <w:rFonts w:ascii="ＭＳ 明朝" w:eastAsia="ＭＳ 明朝" w:hAnsi="ＭＳ 明朝" w:cs="ＭＳ 明朝"/>
    </w:rPr>
  </w:style>
  <w:style w:type="paragraph" w:customStyle="1" w:styleId="ena">
    <w:name w:val="見出し（en）"/>
    <w:basedOn w:val="jaa"/>
    <w:rsid w:val="00361A79"/>
    <w:rPr>
      <w:rFonts w:ascii="Century" w:eastAsia="Century" w:hAnsi="Century" w:cs="Century"/>
    </w:rPr>
  </w:style>
  <w:style w:type="paragraph" w:styleId="a3">
    <w:name w:val="footer"/>
    <w:basedOn w:val="a"/>
    <w:rsid w:val="00361A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1A79"/>
    <w:pPr>
      <w:widowControl w:val="0"/>
      <w:ind w:left="1099" w:hanging="219"/>
    </w:pPr>
    <w:rPr>
      <w:rFonts w:ascii="ＭＳ 明朝" w:eastAsia="ＭＳ 明朝" w:hAnsi="ＭＳ 明朝" w:cs="Kochi Mincho"/>
    </w:rPr>
  </w:style>
  <w:style w:type="paragraph" w:customStyle="1" w:styleId="enb">
    <w:name w:val="目次目（en）"/>
    <w:basedOn w:val="jab"/>
    <w:rsid w:val="00361A79"/>
    <w:rPr>
      <w:rFonts w:ascii="Century" w:eastAsia="Century" w:hAnsi="Century"/>
    </w:rPr>
  </w:style>
  <w:style w:type="paragraph" w:customStyle="1" w:styleId="jac">
    <w:name w:val="目次附則（ja）"/>
    <w:basedOn w:val="a"/>
    <w:rsid w:val="00361A79"/>
    <w:pPr>
      <w:widowControl w:val="0"/>
      <w:ind w:left="439" w:hanging="219"/>
    </w:pPr>
    <w:rPr>
      <w:rFonts w:ascii="ＭＳ 明朝" w:eastAsia="ＭＳ 明朝" w:hAnsi="ＭＳ 明朝" w:cs="Kochi Mincho"/>
    </w:rPr>
  </w:style>
  <w:style w:type="paragraph" w:customStyle="1" w:styleId="enc">
    <w:name w:val="目次附則（en）"/>
    <w:basedOn w:val="jac"/>
    <w:rsid w:val="00361A79"/>
    <w:rPr>
      <w:rFonts w:ascii="Century" w:eastAsia="Century" w:hAnsi="Century" w:cs="Century"/>
    </w:rPr>
  </w:style>
  <w:style w:type="paragraph" w:customStyle="1" w:styleId="jad">
    <w:name w:val="目次前文（ja）"/>
    <w:basedOn w:val="jac"/>
    <w:rsid w:val="00361A79"/>
  </w:style>
  <w:style w:type="paragraph" w:customStyle="1" w:styleId="end">
    <w:name w:val="目次前文（en）"/>
    <w:basedOn w:val="enc"/>
    <w:rsid w:val="00361A79"/>
  </w:style>
  <w:style w:type="paragraph" w:customStyle="1" w:styleId="jae">
    <w:name w:val="制定文（ja）"/>
    <w:basedOn w:val="a"/>
    <w:rsid w:val="00361A79"/>
    <w:pPr>
      <w:widowControl w:val="0"/>
      <w:ind w:firstLine="219"/>
    </w:pPr>
    <w:rPr>
      <w:rFonts w:ascii="ＭＳ 明朝" w:eastAsia="ＭＳ 明朝" w:hAnsi="ＭＳ 明朝" w:cs="ＭＳ 明朝"/>
    </w:rPr>
  </w:style>
  <w:style w:type="paragraph" w:customStyle="1" w:styleId="ene">
    <w:name w:val="制定文（en）"/>
    <w:basedOn w:val="jae"/>
    <w:rsid w:val="00361A79"/>
    <w:rPr>
      <w:rFonts w:ascii="Century" w:eastAsia="Century" w:hAnsi="Century" w:cs="Century"/>
    </w:rPr>
  </w:style>
  <w:style w:type="paragraph" w:customStyle="1" w:styleId="jaf">
    <w:name w:val="法令番号（ja）"/>
    <w:basedOn w:val="a"/>
    <w:rsid w:val="00361A79"/>
    <w:pPr>
      <w:widowControl w:val="0"/>
      <w:jc w:val="right"/>
    </w:pPr>
    <w:rPr>
      <w:rFonts w:ascii="ＭＳ 明朝" w:eastAsia="ＭＳ 明朝" w:hAnsi="ＭＳ 明朝" w:cs="Kochi Mincho"/>
    </w:rPr>
  </w:style>
  <w:style w:type="paragraph" w:customStyle="1" w:styleId="enf">
    <w:name w:val="法令番号（en）"/>
    <w:basedOn w:val="jaf"/>
    <w:rsid w:val="00361A79"/>
    <w:rPr>
      <w:rFonts w:ascii="Century" w:eastAsia="Century" w:hAnsi="Century" w:cs="Century"/>
    </w:rPr>
  </w:style>
  <w:style w:type="paragraph" w:customStyle="1" w:styleId="jaf0">
    <w:name w:val="目次（ja）"/>
    <w:basedOn w:val="a"/>
    <w:rsid w:val="00361A79"/>
    <w:rPr>
      <w:rFonts w:ascii="ＭＳ 明朝" w:eastAsia="ＭＳ 明朝" w:hAnsi="ＭＳ 明朝"/>
    </w:rPr>
  </w:style>
  <w:style w:type="paragraph" w:customStyle="1" w:styleId="enf0">
    <w:name w:val="目次（en）"/>
    <w:basedOn w:val="jaf0"/>
    <w:rsid w:val="00361A79"/>
    <w:rPr>
      <w:rFonts w:ascii="Century" w:eastAsia="Century" w:hAnsi="Century"/>
    </w:rPr>
  </w:style>
  <w:style w:type="paragraph" w:customStyle="1" w:styleId="jaf1">
    <w:name w:val="編（ja）"/>
    <w:basedOn w:val="a"/>
    <w:rsid w:val="00361A79"/>
    <w:pPr>
      <w:widowControl w:val="0"/>
      <w:ind w:left="661" w:hanging="221"/>
    </w:pPr>
    <w:rPr>
      <w:rFonts w:ascii="ＭＳ 明朝" w:eastAsia="ＭＳ 明朝" w:hAnsi="ＭＳ 明朝" w:cs="ＭＳ 明朝"/>
      <w:b/>
    </w:rPr>
  </w:style>
  <w:style w:type="paragraph" w:customStyle="1" w:styleId="enf1">
    <w:name w:val="編（en）"/>
    <w:basedOn w:val="jaf1"/>
    <w:rsid w:val="00361A79"/>
    <w:rPr>
      <w:rFonts w:ascii="Century" w:eastAsia="Century" w:hAnsi="Century" w:cs="Century"/>
    </w:rPr>
  </w:style>
  <w:style w:type="paragraph" w:customStyle="1" w:styleId="jaf2">
    <w:name w:val="節（ja）"/>
    <w:basedOn w:val="a"/>
    <w:rsid w:val="00361A79"/>
    <w:pPr>
      <w:widowControl w:val="0"/>
      <w:ind w:left="1101" w:hanging="221"/>
    </w:pPr>
    <w:rPr>
      <w:rFonts w:ascii="ＭＳ 明朝" w:eastAsia="ＭＳ 明朝" w:hAnsi="ＭＳ 明朝" w:cs="ＭＳ 明朝"/>
      <w:b/>
    </w:rPr>
  </w:style>
  <w:style w:type="paragraph" w:customStyle="1" w:styleId="enf2">
    <w:name w:val="節（en）"/>
    <w:basedOn w:val="jaf2"/>
    <w:rsid w:val="00361A79"/>
    <w:rPr>
      <w:rFonts w:ascii="Century" w:eastAsia="Century" w:hAnsi="Century" w:cs="Century"/>
    </w:rPr>
  </w:style>
  <w:style w:type="paragraph" w:customStyle="1" w:styleId="jaf3">
    <w:name w:val="条（ja）"/>
    <w:basedOn w:val="a"/>
    <w:rsid w:val="00361A79"/>
    <w:pPr>
      <w:widowControl w:val="0"/>
      <w:ind w:left="219" w:hanging="219"/>
    </w:pPr>
    <w:rPr>
      <w:rFonts w:ascii="ＭＳ 明朝" w:eastAsia="ＭＳ 明朝" w:hAnsi="ＭＳ 明朝" w:cs="ＭＳ 明朝"/>
    </w:rPr>
  </w:style>
  <w:style w:type="paragraph" w:customStyle="1" w:styleId="enf3">
    <w:name w:val="条（en）"/>
    <w:basedOn w:val="jaf3"/>
    <w:rsid w:val="00361A79"/>
    <w:rPr>
      <w:rFonts w:ascii="Century" w:eastAsia="Century" w:hAnsi="Century" w:cs="Century"/>
    </w:rPr>
  </w:style>
  <w:style w:type="paragraph" w:customStyle="1" w:styleId="jaf4">
    <w:name w:val="項（ja）"/>
    <w:basedOn w:val="a"/>
    <w:rsid w:val="00361A79"/>
    <w:pPr>
      <w:widowControl w:val="0"/>
      <w:ind w:left="219" w:hanging="219"/>
    </w:pPr>
    <w:rPr>
      <w:rFonts w:ascii="ＭＳ 明朝" w:eastAsia="ＭＳ 明朝" w:hAnsi="ＭＳ 明朝" w:cs="ＭＳ 明朝"/>
    </w:rPr>
  </w:style>
  <w:style w:type="paragraph" w:customStyle="1" w:styleId="enf4">
    <w:name w:val="項（en）"/>
    <w:basedOn w:val="jaf4"/>
    <w:rsid w:val="00361A79"/>
    <w:rPr>
      <w:rFonts w:ascii="Century" w:eastAsia="Century" w:hAnsi="Century" w:cs="Century"/>
    </w:rPr>
  </w:style>
  <w:style w:type="paragraph" w:customStyle="1" w:styleId="jaf5">
    <w:name w:val="項　番号なし（ja）"/>
    <w:basedOn w:val="a"/>
    <w:rsid w:val="00361A79"/>
    <w:pPr>
      <w:widowControl w:val="0"/>
      <w:ind w:firstLine="221"/>
    </w:pPr>
    <w:rPr>
      <w:rFonts w:ascii="ＭＳ 明朝" w:eastAsia="ＭＳ 明朝" w:hAnsi="ＭＳ 明朝" w:cs="ＭＳ 明朝"/>
    </w:rPr>
  </w:style>
  <w:style w:type="paragraph" w:customStyle="1" w:styleId="enf5">
    <w:name w:val="項　番号なし（en）"/>
    <w:basedOn w:val="jaf5"/>
    <w:rsid w:val="00361A79"/>
    <w:rPr>
      <w:rFonts w:ascii="Century" w:eastAsia="Century" w:hAnsi="Century" w:cs="Century"/>
    </w:rPr>
  </w:style>
  <w:style w:type="paragraph" w:customStyle="1" w:styleId="jaf6">
    <w:name w:val="号（ja）"/>
    <w:basedOn w:val="a"/>
    <w:rsid w:val="00361A79"/>
    <w:pPr>
      <w:widowControl w:val="0"/>
      <w:ind w:left="439" w:hanging="219"/>
    </w:pPr>
    <w:rPr>
      <w:rFonts w:ascii="ＭＳ 明朝" w:eastAsia="ＭＳ 明朝" w:hAnsi="ＭＳ 明朝" w:cs="ＭＳ 明朝"/>
    </w:rPr>
  </w:style>
  <w:style w:type="paragraph" w:customStyle="1" w:styleId="enf6">
    <w:name w:val="号（en）"/>
    <w:basedOn w:val="jaf6"/>
    <w:rsid w:val="00361A79"/>
    <w:rPr>
      <w:rFonts w:ascii="Century" w:eastAsia="Century" w:hAnsi="Century" w:cs="Century"/>
    </w:rPr>
  </w:style>
  <w:style w:type="paragraph" w:customStyle="1" w:styleId="jaf7">
    <w:name w:val="号　番号なし（ja）"/>
    <w:basedOn w:val="a"/>
    <w:rsid w:val="00361A79"/>
    <w:pPr>
      <w:widowControl w:val="0"/>
      <w:ind w:left="221" w:firstLine="221"/>
    </w:pPr>
    <w:rPr>
      <w:rFonts w:ascii="ＭＳ 明朝" w:eastAsia="ＭＳ 明朝" w:hAnsi="ＭＳ 明朝" w:cs="ＭＳ 明朝"/>
    </w:rPr>
  </w:style>
  <w:style w:type="paragraph" w:customStyle="1" w:styleId="enf7">
    <w:name w:val="号　番号なし（en）"/>
    <w:basedOn w:val="jaf7"/>
    <w:rsid w:val="00361A79"/>
    <w:rPr>
      <w:rFonts w:ascii="Century" w:eastAsia="Century" w:hAnsi="Century" w:cs="Century"/>
    </w:rPr>
  </w:style>
  <w:style w:type="paragraph" w:customStyle="1" w:styleId="jaf8">
    <w:name w:val="備考号（ja）"/>
    <w:basedOn w:val="a"/>
    <w:rsid w:val="00361A79"/>
    <w:pPr>
      <w:widowControl w:val="0"/>
      <w:ind w:left="659" w:hanging="219"/>
    </w:pPr>
    <w:rPr>
      <w:rFonts w:ascii="ＭＳ 明朝" w:eastAsia="ＭＳ 明朝" w:hAnsi="ＭＳ 明朝" w:cs="ＭＳ 明朝"/>
    </w:rPr>
  </w:style>
  <w:style w:type="paragraph" w:customStyle="1" w:styleId="enf8">
    <w:name w:val="備考号（en）"/>
    <w:basedOn w:val="jaf8"/>
    <w:rsid w:val="00361A79"/>
    <w:rPr>
      <w:rFonts w:ascii="Century" w:eastAsia="Century" w:hAnsi="Century" w:cs="Century"/>
    </w:rPr>
  </w:style>
  <w:style w:type="paragraph" w:customStyle="1" w:styleId="jaf9">
    <w:name w:val="号細分（ja）"/>
    <w:basedOn w:val="a"/>
    <w:rsid w:val="00361A79"/>
    <w:pPr>
      <w:widowControl w:val="0"/>
      <w:ind w:left="659" w:hanging="219"/>
    </w:pPr>
    <w:rPr>
      <w:rFonts w:ascii="ＭＳ 明朝" w:eastAsia="ＭＳ 明朝" w:hAnsi="ＭＳ 明朝" w:cs="ＭＳ 明朝"/>
    </w:rPr>
  </w:style>
  <w:style w:type="paragraph" w:customStyle="1" w:styleId="enf9">
    <w:name w:val="号細分（en）"/>
    <w:basedOn w:val="jaf9"/>
    <w:rsid w:val="00361A79"/>
    <w:rPr>
      <w:rFonts w:ascii="Century" w:eastAsia="Century" w:hAnsi="Century" w:cs="Century"/>
    </w:rPr>
  </w:style>
  <w:style w:type="paragraph" w:customStyle="1" w:styleId="jafa">
    <w:name w:val="号細分　番号なし（ja）"/>
    <w:basedOn w:val="a"/>
    <w:rsid w:val="00361A79"/>
    <w:pPr>
      <w:widowControl w:val="0"/>
      <w:ind w:left="439"/>
    </w:pPr>
    <w:rPr>
      <w:rFonts w:ascii="ＭＳ 明朝" w:eastAsia="ＭＳ 明朝" w:hAnsi="ＭＳ 明朝" w:cs="ＭＳ 明朝"/>
    </w:rPr>
  </w:style>
  <w:style w:type="paragraph" w:customStyle="1" w:styleId="enfa">
    <w:name w:val="号細分　番号なし（en）"/>
    <w:basedOn w:val="jafa"/>
    <w:rsid w:val="00361A79"/>
    <w:rPr>
      <w:rFonts w:ascii="Century" w:eastAsia="Century" w:hAnsi="Century" w:cs="Century"/>
    </w:rPr>
  </w:style>
  <w:style w:type="paragraph" w:customStyle="1" w:styleId="jafb">
    <w:name w:val="備考号細分（ja）"/>
    <w:basedOn w:val="a"/>
    <w:rsid w:val="00361A79"/>
    <w:pPr>
      <w:widowControl w:val="0"/>
      <w:ind w:left="1099" w:hanging="439"/>
    </w:pPr>
    <w:rPr>
      <w:rFonts w:ascii="ＭＳ 明朝" w:eastAsia="ＭＳ 明朝" w:hAnsi="ＭＳ 明朝" w:cs="ＭＳ 明朝"/>
    </w:rPr>
  </w:style>
  <w:style w:type="paragraph" w:customStyle="1" w:styleId="enfb">
    <w:name w:val="備考号細分（en）"/>
    <w:basedOn w:val="jafb"/>
    <w:rsid w:val="00361A79"/>
    <w:rPr>
      <w:rFonts w:ascii="Century" w:eastAsia="Century" w:hAnsi="Century" w:cs="Century"/>
    </w:rPr>
  </w:style>
  <w:style w:type="paragraph" w:customStyle="1" w:styleId="jafc">
    <w:name w:val="号細細分（ja）"/>
    <w:basedOn w:val="a"/>
    <w:rsid w:val="00361A79"/>
    <w:pPr>
      <w:widowControl w:val="0"/>
      <w:ind w:left="1099" w:hanging="439"/>
    </w:pPr>
    <w:rPr>
      <w:rFonts w:ascii="ＭＳ 明朝" w:eastAsia="ＭＳ 明朝" w:hAnsi="ＭＳ 明朝" w:cs="ＭＳ 明朝"/>
    </w:rPr>
  </w:style>
  <w:style w:type="paragraph" w:customStyle="1" w:styleId="enfc">
    <w:name w:val="号細細分（en）"/>
    <w:basedOn w:val="jafc"/>
    <w:rsid w:val="00361A79"/>
    <w:rPr>
      <w:rFonts w:ascii="Century" w:eastAsia="Century" w:hAnsi="Century" w:cs="Century"/>
    </w:rPr>
  </w:style>
  <w:style w:type="paragraph" w:customStyle="1" w:styleId="jafd">
    <w:name w:val="号細細分　番号なし（ja）"/>
    <w:basedOn w:val="a"/>
    <w:rsid w:val="00361A79"/>
    <w:pPr>
      <w:widowControl w:val="0"/>
      <w:ind w:left="659"/>
    </w:pPr>
    <w:rPr>
      <w:rFonts w:ascii="ＭＳ 明朝" w:eastAsia="ＭＳ 明朝" w:hAnsi="ＭＳ 明朝" w:cs="ＭＳ 明朝"/>
    </w:rPr>
  </w:style>
  <w:style w:type="paragraph" w:customStyle="1" w:styleId="enfd">
    <w:name w:val="号細細分　番号なし（en）"/>
    <w:basedOn w:val="jafd"/>
    <w:rsid w:val="00361A79"/>
    <w:rPr>
      <w:rFonts w:ascii="Century" w:eastAsia="Century" w:hAnsi="Century" w:cs="Century"/>
    </w:rPr>
  </w:style>
  <w:style w:type="paragraph" w:customStyle="1" w:styleId="jafe">
    <w:name w:val="備考号細細分（ja）"/>
    <w:basedOn w:val="a"/>
    <w:rsid w:val="00361A79"/>
    <w:pPr>
      <w:widowControl w:val="0"/>
      <w:ind w:left="1319" w:hanging="439"/>
    </w:pPr>
    <w:rPr>
      <w:rFonts w:ascii="ＭＳ 明朝" w:eastAsia="ＭＳ 明朝" w:hAnsi="ＭＳ 明朝" w:cs="ＭＳ 明朝"/>
    </w:rPr>
  </w:style>
  <w:style w:type="paragraph" w:customStyle="1" w:styleId="enfe">
    <w:name w:val="備考号細細分（en）"/>
    <w:basedOn w:val="jafe"/>
    <w:rsid w:val="00361A79"/>
    <w:rPr>
      <w:rFonts w:ascii="Century" w:eastAsia="Century" w:hAnsi="Century" w:cs="Century"/>
    </w:rPr>
  </w:style>
  <w:style w:type="paragraph" w:customStyle="1" w:styleId="jaff">
    <w:name w:val="号細細細分（ja）"/>
    <w:basedOn w:val="a"/>
    <w:rsid w:val="00361A79"/>
    <w:pPr>
      <w:widowControl w:val="0"/>
      <w:ind w:left="1319" w:hanging="439"/>
    </w:pPr>
    <w:rPr>
      <w:rFonts w:ascii="ＭＳ 明朝" w:eastAsia="ＭＳ 明朝" w:hAnsi="ＭＳ 明朝" w:cs="ＭＳ 明朝"/>
    </w:rPr>
  </w:style>
  <w:style w:type="paragraph" w:customStyle="1" w:styleId="enff">
    <w:name w:val="号細細細分（en）"/>
    <w:basedOn w:val="jaff"/>
    <w:rsid w:val="00361A79"/>
    <w:rPr>
      <w:rFonts w:ascii="Century" w:eastAsia="Century" w:hAnsi="Century" w:cs="Century"/>
    </w:rPr>
  </w:style>
  <w:style w:type="paragraph" w:customStyle="1" w:styleId="jaff0">
    <w:name w:val="号細細細分　番号なし（ja）"/>
    <w:basedOn w:val="a"/>
    <w:rsid w:val="00361A79"/>
    <w:pPr>
      <w:widowControl w:val="0"/>
      <w:ind w:left="879"/>
    </w:pPr>
    <w:rPr>
      <w:rFonts w:ascii="ＭＳ 明朝" w:eastAsia="ＭＳ 明朝" w:hAnsi="ＭＳ 明朝" w:cs="ＭＳ 明朝"/>
    </w:rPr>
  </w:style>
  <w:style w:type="paragraph" w:customStyle="1" w:styleId="enff0">
    <w:name w:val="号細細細分　番号なし（en）"/>
    <w:basedOn w:val="jaff0"/>
    <w:rsid w:val="00361A79"/>
    <w:rPr>
      <w:rFonts w:ascii="Century" w:eastAsia="Century" w:hAnsi="Century" w:cs="Century"/>
    </w:rPr>
  </w:style>
  <w:style w:type="paragraph" w:customStyle="1" w:styleId="jaff1">
    <w:name w:val="備考号細細細分（ja）"/>
    <w:basedOn w:val="a"/>
    <w:rsid w:val="00361A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1A79"/>
    <w:rPr>
      <w:rFonts w:ascii="Century" w:eastAsia="Century" w:hAnsi="Century" w:cs="Century"/>
    </w:rPr>
  </w:style>
  <w:style w:type="paragraph" w:customStyle="1" w:styleId="jaff2">
    <w:name w:val="類（ja）"/>
    <w:basedOn w:val="a"/>
    <w:rsid w:val="00361A79"/>
    <w:pPr>
      <w:widowControl w:val="0"/>
      <w:ind w:left="439" w:hanging="219"/>
    </w:pPr>
    <w:rPr>
      <w:rFonts w:ascii="ＭＳ 明朝" w:eastAsia="ＭＳ 明朝" w:hAnsi="ＭＳ 明朝" w:cs="ＭＳ 明朝"/>
    </w:rPr>
  </w:style>
  <w:style w:type="paragraph" w:customStyle="1" w:styleId="enff2">
    <w:name w:val="類（en）"/>
    <w:basedOn w:val="jaff2"/>
    <w:rsid w:val="00361A79"/>
    <w:rPr>
      <w:rFonts w:ascii="Century" w:eastAsia="Century" w:hAnsi="Century" w:cs="Century"/>
    </w:rPr>
  </w:style>
  <w:style w:type="paragraph" w:customStyle="1" w:styleId="jaff3">
    <w:name w:val="公布文（ja）"/>
    <w:basedOn w:val="a"/>
    <w:rsid w:val="00361A79"/>
    <w:pPr>
      <w:widowControl w:val="0"/>
      <w:ind w:firstLine="219"/>
    </w:pPr>
    <w:rPr>
      <w:rFonts w:ascii="ＭＳ 明朝" w:eastAsia="ＭＳ 明朝" w:hAnsi="ＭＳ 明朝" w:cs="ＭＳ 明朝"/>
    </w:rPr>
  </w:style>
  <w:style w:type="paragraph" w:customStyle="1" w:styleId="enff3">
    <w:name w:val="公布文（en）"/>
    <w:basedOn w:val="jaff3"/>
    <w:rsid w:val="00361A79"/>
    <w:rPr>
      <w:rFonts w:ascii="Century" w:eastAsia="Century" w:hAnsi="Century" w:cs="Century"/>
    </w:rPr>
  </w:style>
  <w:style w:type="paragraph" w:customStyle="1" w:styleId="jaen">
    <w:name w:val="表（ja：en）"/>
    <w:basedOn w:val="a"/>
    <w:rsid w:val="00361A79"/>
    <w:pPr>
      <w:widowControl w:val="0"/>
      <w:snapToGrid w:val="0"/>
    </w:pPr>
    <w:rPr>
      <w:rFonts w:ascii="Century" w:eastAsia="ＭＳ 明朝" w:hAnsi="Century"/>
    </w:rPr>
  </w:style>
  <w:style w:type="paragraph" w:customStyle="1" w:styleId="jaff4">
    <w:name w:val="備考（ja）"/>
    <w:basedOn w:val="a"/>
    <w:rsid w:val="00361A79"/>
    <w:pPr>
      <w:widowControl w:val="0"/>
      <w:ind w:left="439" w:hanging="219"/>
    </w:pPr>
    <w:rPr>
      <w:rFonts w:ascii="ＭＳ 明朝" w:eastAsia="ＭＳ 明朝" w:hAnsi="ＭＳ 明朝" w:cs="ＭＳ 明朝"/>
    </w:rPr>
  </w:style>
  <w:style w:type="paragraph" w:customStyle="1" w:styleId="enff4">
    <w:name w:val="備考（en）"/>
    <w:basedOn w:val="jaff4"/>
    <w:rsid w:val="00361A79"/>
    <w:rPr>
      <w:rFonts w:ascii="Century" w:eastAsia="Century" w:hAnsi="Century" w:cs="Century"/>
    </w:rPr>
  </w:style>
  <w:style w:type="paragraph" w:customStyle="1" w:styleId="jaff5">
    <w:name w:val="表タイトル（ja）"/>
    <w:basedOn w:val="a"/>
    <w:rsid w:val="00361A79"/>
    <w:pPr>
      <w:widowControl w:val="0"/>
      <w:ind w:left="219"/>
    </w:pPr>
    <w:rPr>
      <w:rFonts w:ascii="ＭＳ 明朝" w:eastAsia="ＭＳ 明朝" w:hAnsi="ＭＳ 明朝" w:cs="ＭＳ 明朝"/>
    </w:rPr>
  </w:style>
  <w:style w:type="paragraph" w:customStyle="1" w:styleId="enff5">
    <w:name w:val="表タイトル（en）"/>
    <w:basedOn w:val="jaff5"/>
    <w:rsid w:val="00361A79"/>
    <w:rPr>
      <w:rFonts w:ascii="Century" w:eastAsia="Century" w:hAnsi="Century" w:cs="Century"/>
    </w:rPr>
  </w:style>
  <w:style w:type="paragraph" w:customStyle="1" w:styleId="jaff6">
    <w:name w:val="改正規定文（ja）"/>
    <w:basedOn w:val="a"/>
    <w:rsid w:val="00361A79"/>
    <w:pPr>
      <w:widowControl w:val="0"/>
      <w:ind w:left="219" w:firstLine="219"/>
    </w:pPr>
    <w:rPr>
      <w:rFonts w:ascii="ＭＳ 明朝" w:eastAsia="ＭＳ 明朝" w:hAnsi="ＭＳ 明朝" w:cs="ＭＳ 明朝"/>
    </w:rPr>
  </w:style>
  <w:style w:type="paragraph" w:customStyle="1" w:styleId="enff6">
    <w:name w:val="改正規定文（en）"/>
    <w:basedOn w:val="jaff6"/>
    <w:rsid w:val="00361A79"/>
    <w:rPr>
      <w:rFonts w:ascii="Century" w:eastAsia="Century" w:hAnsi="Century" w:cs="Century"/>
    </w:rPr>
  </w:style>
  <w:style w:type="paragraph" w:customStyle="1" w:styleId="jaff7">
    <w:name w:val="付記（ja）"/>
    <w:basedOn w:val="a"/>
    <w:rsid w:val="00361A79"/>
    <w:pPr>
      <w:widowControl w:val="0"/>
      <w:ind w:left="219" w:firstLine="219"/>
    </w:pPr>
    <w:rPr>
      <w:rFonts w:ascii="ＭＳ 明朝" w:eastAsia="ＭＳ 明朝" w:hAnsi="ＭＳ 明朝" w:cs="ＭＳ 明朝"/>
    </w:rPr>
  </w:style>
  <w:style w:type="paragraph" w:customStyle="1" w:styleId="enff7">
    <w:name w:val="付記（en）"/>
    <w:basedOn w:val="jaff7"/>
    <w:rsid w:val="00361A79"/>
    <w:rPr>
      <w:rFonts w:ascii="Century" w:eastAsia="Century" w:hAnsi="Century" w:cs="Century"/>
    </w:rPr>
  </w:style>
  <w:style w:type="paragraph" w:customStyle="1" w:styleId="jaff8">
    <w:name w:val="様式名（ja）"/>
    <w:basedOn w:val="a"/>
    <w:rsid w:val="00361A79"/>
    <w:pPr>
      <w:widowControl w:val="0"/>
      <w:ind w:left="439" w:hanging="219"/>
    </w:pPr>
    <w:rPr>
      <w:rFonts w:ascii="ＭＳ 明朝" w:eastAsia="ＭＳ 明朝" w:hAnsi="ＭＳ 明朝" w:cs="ＭＳ 明朝"/>
    </w:rPr>
  </w:style>
  <w:style w:type="paragraph" w:customStyle="1" w:styleId="enff8">
    <w:name w:val="様式名（en）"/>
    <w:basedOn w:val="jaff8"/>
    <w:rsid w:val="00361A79"/>
    <w:rPr>
      <w:rFonts w:ascii="Century" w:eastAsia="Century" w:hAnsi="Century" w:cs="Century"/>
    </w:rPr>
  </w:style>
  <w:style w:type="paragraph" w:customStyle="1" w:styleId="jaff9">
    <w:name w:val="様式項目（ja）"/>
    <w:basedOn w:val="a"/>
    <w:rsid w:val="00361A79"/>
    <w:pPr>
      <w:widowControl w:val="0"/>
      <w:ind w:left="221" w:firstLine="221"/>
    </w:pPr>
    <w:rPr>
      <w:rFonts w:ascii="ＭＳ 明朝" w:eastAsia="ＭＳ 明朝" w:hAnsi="ＭＳ 明朝" w:cs="ＭＳ 明朝"/>
    </w:rPr>
  </w:style>
  <w:style w:type="paragraph" w:customStyle="1" w:styleId="enff9">
    <w:name w:val="様式項目（en）"/>
    <w:basedOn w:val="jaff9"/>
    <w:rsid w:val="00361A79"/>
    <w:rPr>
      <w:rFonts w:ascii="Century" w:eastAsia="Century" w:hAnsi="Century" w:cs="Century"/>
    </w:rPr>
  </w:style>
  <w:style w:type="table" w:customStyle="1" w:styleId="1">
    <w:name w:val="表1"/>
    <w:rsid w:val="00361A79"/>
    <w:tblPr>
      <w:tblInd w:w="340" w:type="dxa"/>
      <w:tblCellMar>
        <w:top w:w="0" w:type="dxa"/>
        <w:left w:w="0" w:type="dxa"/>
        <w:bottom w:w="0" w:type="dxa"/>
        <w:right w:w="0" w:type="dxa"/>
      </w:tblCellMar>
    </w:tblPr>
  </w:style>
  <w:style w:type="numbering" w:customStyle="1" w:styleId="WW8Num1">
    <w:name w:val="WW8Num1"/>
    <w:rsid w:val="00361A79"/>
    <w:pPr>
      <w:numPr>
        <w:numId w:val="2"/>
      </w:numPr>
    </w:pPr>
  </w:style>
  <w:style w:type="numbering" w:customStyle="1" w:styleId="WW8Num2">
    <w:name w:val="WW8Num2"/>
    <w:rsid w:val="00361A79"/>
    <w:pPr>
      <w:numPr>
        <w:numId w:val="3"/>
      </w:numPr>
    </w:pPr>
  </w:style>
  <w:style w:type="numbering" w:customStyle="1" w:styleId="WW8Num3">
    <w:name w:val="WW8Num3"/>
    <w:rsid w:val="00361A79"/>
    <w:pPr>
      <w:numPr>
        <w:numId w:val="4"/>
      </w:numPr>
    </w:pPr>
  </w:style>
  <w:style w:type="numbering" w:customStyle="1" w:styleId="WW8Num4">
    <w:name w:val="WW8Num4"/>
    <w:rsid w:val="00361A79"/>
    <w:pPr>
      <w:numPr>
        <w:numId w:val="5"/>
      </w:numPr>
    </w:pPr>
  </w:style>
  <w:style w:type="numbering" w:customStyle="1" w:styleId="WW8Num5">
    <w:name w:val="WW8Num5"/>
    <w:rsid w:val="00361A79"/>
    <w:pPr>
      <w:numPr>
        <w:numId w:val="6"/>
      </w:numPr>
    </w:pPr>
  </w:style>
  <w:style w:type="numbering" w:customStyle="1" w:styleId="WW8Num6">
    <w:name w:val="WW8Num6"/>
    <w:rsid w:val="00361A79"/>
    <w:pPr>
      <w:numPr>
        <w:numId w:val="7"/>
      </w:numPr>
    </w:pPr>
  </w:style>
  <w:style w:type="numbering" w:customStyle="1" w:styleId="WW8Num7">
    <w:name w:val="WW8Num7"/>
    <w:rsid w:val="00361A79"/>
    <w:pPr>
      <w:numPr>
        <w:numId w:val="8"/>
      </w:numPr>
    </w:pPr>
  </w:style>
  <w:style w:type="numbering" w:customStyle="1" w:styleId="WW8Num8">
    <w:name w:val="WW8Num8"/>
    <w:rsid w:val="00361A79"/>
    <w:pPr>
      <w:numPr>
        <w:numId w:val="9"/>
      </w:numPr>
    </w:pPr>
  </w:style>
  <w:style w:type="numbering" w:customStyle="1" w:styleId="WW8Num9">
    <w:name w:val="WW8Num9"/>
    <w:rsid w:val="00361A79"/>
    <w:pPr>
      <w:numPr>
        <w:numId w:val="10"/>
      </w:numPr>
    </w:pPr>
  </w:style>
  <w:style w:type="numbering" w:customStyle="1" w:styleId="WW8Num10">
    <w:name w:val="WW8Num10"/>
    <w:rsid w:val="00361A79"/>
    <w:pPr>
      <w:numPr>
        <w:numId w:val="11"/>
      </w:numPr>
    </w:pPr>
  </w:style>
  <w:style w:type="numbering" w:customStyle="1" w:styleId="WW8Num11">
    <w:name w:val="WW8Num11"/>
    <w:rsid w:val="00361A79"/>
    <w:pPr>
      <w:numPr>
        <w:numId w:val="12"/>
      </w:numPr>
    </w:pPr>
  </w:style>
  <w:style w:type="numbering" w:customStyle="1" w:styleId="WW8Num12">
    <w:name w:val="WW8Num12"/>
    <w:rsid w:val="00361A79"/>
    <w:pPr>
      <w:numPr>
        <w:numId w:val="13"/>
      </w:numPr>
    </w:pPr>
  </w:style>
  <w:style w:type="paragraph" w:styleId="a4">
    <w:name w:val="header"/>
    <w:basedOn w:val="a"/>
    <w:link w:val="a5"/>
    <w:uiPriority w:val="99"/>
    <w:unhideWhenUsed/>
    <w:rsid w:val="00D732E9"/>
    <w:pPr>
      <w:tabs>
        <w:tab w:val="center" w:pos="4252"/>
        <w:tab w:val="right" w:pos="8504"/>
      </w:tabs>
      <w:snapToGrid w:val="0"/>
    </w:pPr>
  </w:style>
  <w:style w:type="character" w:customStyle="1" w:styleId="a5">
    <w:name w:val="ヘッダー (文字)"/>
    <w:basedOn w:val="a0"/>
    <w:link w:val="a4"/>
    <w:uiPriority w:val="99"/>
    <w:rsid w:val="00D732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2023-09-27T06:22:00Z</dcterms:created>
  <dcterms:modified xsi:type="dcterms:W3CDTF">2023-09-27T06:22:00Z</dcterms:modified>
</cp:coreProperties>
</file>