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00FA" w:rsidRDefault="005B426F">
      <w:pPr>
        <w:pStyle w:val="ja"/>
      </w:pPr>
      <w:r>
        <w:t>裁判官の報酬等に関する法律</w:t>
      </w:r>
    </w:p>
    <w:p w:rsidR="00E500FA" w:rsidRDefault="005B426F">
      <w:pPr>
        <w:pStyle w:val="en"/>
      </w:pPr>
      <w:r>
        <w:t>Act on the Compensation of Judges</w:t>
      </w:r>
    </w:p>
    <w:p w:rsidR="00E500FA" w:rsidRDefault="00E500FA"/>
    <w:p w:rsidR="00E500FA" w:rsidRDefault="005B426F">
      <w:pPr>
        <w:pStyle w:val="jaf"/>
      </w:pPr>
      <w:r>
        <w:t>（昭和二十三年七月一日法律第七十五号）</w:t>
      </w:r>
    </w:p>
    <w:p w:rsidR="00E500FA" w:rsidRDefault="005B426F">
      <w:pPr>
        <w:pStyle w:val="enf"/>
      </w:pPr>
      <w:r>
        <w:t>(Act No. 75 of July 1, 1948)</w:t>
      </w:r>
    </w:p>
    <w:p w:rsidR="00E500FA" w:rsidRDefault="00E500FA"/>
    <w:p w:rsidR="00E500FA" w:rsidRDefault="005B426F">
      <w:pPr>
        <w:pStyle w:val="jaf3"/>
      </w:pPr>
      <w:r>
        <w:t>第一条　裁判官の受ける報酬その他の給与については、この法律の定めるところによる。</w:t>
      </w:r>
    </w:p>
    <w:p w:rsidR="00E500FA" w:rsidRDefault="005B426F">
      <w:pPr>
        <w:pStyle w:val="enf3"/>
      </w:pPr>
      <w:r>
        <w:t>Article 1  The compensation and other salaries received by judges are governed by the provisions of this Act.</w:t>
      </w:r>
    </w:p>
    <w:p w:rsidR="00E500FA" w:rsidRDefault="00E500FA"/>
    <w:p w:rsidR="00E500FA" w:rsidRDefault="005B426F">
      <w:pPr>
        <w:pStyle w:val="jaf3"/>
      </w:pPr>
      <w:r>
        <w:t>第二条　裁判官の報酬月額は、別表による。</w:t>
      </w:r>
    </w:p>
    <w:p w:rsidR="00E500FA" w:rsidRDefault="005B426F">
      <w:pPr>
        <w:pStyle w:val="enf3"/>
      </w:pPr>
      <w:r>
        <w:t>Article 2  The monthly compensation of a judge is to be in accordance with the attached table.</w:t>
      </w:r>
    </w:p>
    <w:p w:rsidR="00E500FA" w:rsidRDefault="00E500FA"/>
    <w:p w:rsidR="00E500FA" w:rsidRDefault="005B426F">
      <w:pPr>
        <w:pStyle w:val="jaf3"/>
      </w:pPr>
      <w:r>
        <w:t>第三条　各判事、各判事補及び各簡易裁判所判事の受ける別表の報酬の号又は報酬月額は、最高裁判所が、これを定める。</w:t>
      </w:r>
    </w:p>
    <w:p w:rsidR="00E500FA" w:rsidRDefault="005B426F">
      <w:pPr>
        <w:pStyle w:val="enf3"/>
      </w:pPr>
      <w:r>
        <w:t>Article 3  The category of compensation or monthly compensation received by each judge, each assistant judge and each summary court judge is specified by the Supreme Court.</w:t>
      </w:r>
    </w:p>
    <w:p w:rsidR="00E500FA" w:rsidRDefault="00E500FA"/>
    <w:p w:rsidR="00E500FA" w:rsidRDefault="005B426F">
      <w:pPr>
        <w:pStyle w:val="jaf3"/>
      </w:pPr>
      <w:r>
        <w:t>第四条　裁判官の報酬は、発令の日から、これを支給する。但し、裁判官としての地位を失つた者が、即日裁判官に任ぜられたときは、発令の日の翌日から報酬を支給する。</w:t>
      </w:r>
    </w:p>
    <w:p w:rsidR="00E500FA" w:rsidRDefault="005B426F">
      <w:pPr>
        <w:pStyle w:val="enf3"/>
      </w:pPr>
      <w:r>
        <w:t>Article 4  (1) The compensation of a judge is paid from the day they are appointed; provided, however, that when a person who has lost their position as a judge is appointed as a judge on the same day, their compensation is paid from the following day of their appointment.</w:t>
      </w:r>
    </w:p>
    <w:p w:rsidR="00E500FA" w:rsidRDefault="005B426F">
      <w:pPr>
        <w:pStyle w:val="jaf4"/>
      </w:pPr>
      <w:r>
        <w:t>２　裁判官の報酬が増額された場合には、増額された日からあらたな額の報酬を支給する。</w:t>
      </w:r>
    </w:p>
    <w:p w:rsidR="00E500FA" w:rsidRDefault="005B426F">
      <w:pPr>
        <w:pStyle w:val="enf4"/>
      </w:pPr>
      <w:r>
        <w:t>(2) If the judge's compensation is increased, the new amount of compensation is paid from the date of the increase.</w:t>
      </w:r>
    </w:p>
    <w:p w:rsidR="00E500FA" w:rsidRDefault="00E500FA"/>
    <w:p w:rsidR="00E500FA" w:rsidRDefault="005B426F">
      <w:pPr>
        <w:pStyle w:val="jaf3"/>
      </w:pPr>
      <w:r>
        <w:t>第五条　裁判官がその地位を失つたときは、その日まで、報酬を支給する。</w:t>
      </w:r>
    </w:p>
    <w:p w:rsidR="00E500FA" w:rsidRDefault="005B426F">
      <w:pPr>
        <w:pStyle w:val="enf3"/>
      </w:pPr>
      <w:r>
        <w:t>Article 5  (1) If a judge loses their position, they are to receive compensation until that date.</w:t>
      </w:r>
    </w:p>
    <w:p w:rsidR="00E500FA" w:rsidRDefault="005B426F">
      <w:pPr>
        <w:pStyle w:val="jaf4"/>
      </w:pPr>
      <w:r>
        <w:t>２　裁判官が死亡したときは、その月まで、報酬を支給する。</w:t>
      </w:r>
    </w:p>
    <w:p w:rsidR="00E500FA" w:rsidRDefault="005B426F">
      <w:pPr>
        <w:pStyle w:val="enf4"/>
      </w:pPr>
      <w:r>
        <w:t>(2) If a judge dies, their compensation is paid until the month of their death.</w:t>
      </w:r>
    </w:p>
    <w:p w:rsidR="00E500FA" w:rsidRDefault="00E500FA"/>
    <w:p w:rsidR="00E500FA" w:rsidRDefault="005B426F">
      <w:pPr>
        <w:pStyle w:val="jaf3"/>
      </w:pPr>
      <w:r>
        <w:t>第六条　裁判官の報酬は、毎月、最高裁判所の定める時期に、これを支給する。但し、前条の場合においては、その際、これを支給する。</w:t>
      </w:r>
    </w:p>
    <w:p w:rsidR="00E500FA" w:rsidRDefault="005B426F">
      <w:pPr>
        <w:pStyle w:val="enf3"/>
      </w:pPr>
      <w:r>
        <w:t xml:space="preserve">Article 6  The compensation of a judge is paid monthly at a time to be specified </w:t>
      </w:r>
      <w:r>
        <w:lastRenderedPageBreak/>
        <w:t>by the Supreme Court; provided, however, that in the case of the preceding Article it is paid at the time when a judge loses their position or dies.</w:t>
      </w:r>
    </w:p>
    <w:p w:rsidR="00E500FA" w:rsidRDefault="00E500FA"/>
    <w:p w:rsidR="00E500FA" w:rsidRDefault="005B426F">
      <w:pPr>
        <w:pStyle w:val="jaf3"/>
      </w:pPr>
      <w:r>
        <w:t>第七条　第四条又は第五条第一項の規定により報酬を支給する場合においては、その報酬の額は、報酬月額の二十五分の一をもつて報酬日額とし、日割りによつてこれを計算する。ただし、その額が報酬月額を超えるときは、これを報酬月額にとどめるものとする。</w:t>
      </w:r>
    </w:p>
    <w:p w:rsidR="00E500FA" w:rsidRDefault="005B426F">
      <w:pPr>
        <w:pStyle w:val="enf3"/>
      </w:pPr>
      <w:r>
        <w:t>Article 7  When compensation is paid pursuant to the provisions of Article 4 or Article 5, paragraph (1), the amount of that compensation is calculated on a daily basis, with one twenty-fifth of the monthly compensation amount as the daily compensation amount; provided, however, that if the amount exceeds the monthly amount of compensation, it is to be limited to the monthly compensation.</w:t>
      </w:r>
    </w:p>
    <w:p w:rsidR="00E500FA" w:rsidRDefault="00E500FA"/>
    <w:p w:rsidR="00E500FA" w:rsidRDefault="005B426F">
      <w:pPr>
        <w:pStyle w:val="jaf3"/>
      </w:pPr>
      <w:r>
        <w:t>第八条　削除</w:t>
      </w:r>
    </w:p>
    <w:p w:rsidR="00E500FA" w:rsidRDefault="005B426F">
      <w:pPr>
        <w:pStyle w:val="enf3"/>
      </w:pPr>
      <w:r>
        <w:t>Article 8  Deleted</w:t>
      </w:r>
    </w:p>
    <w:p w:rsidR="00E500FA" w:rsidRDefault="00E500FA"/>
    <w:p w:rsidR="00E500FA" w:rsidRDefault="005B426F">
      <w:pPr>
        <w:pStyle w:val="jaf3"/>
      </w:pPr>
      <w:r>
        <w:t>第九条　報酬以外の給与は、最高裁判所長官、最高裁判所判事及び高等裁判所長官には、特別職の職員の給与に関する法律（昭和二十四年法律第二百五十二号）第一条第一号から第四十二号までに掲げる者の例に準じ、判事及び第十五条に定める報酬月額の報酬又は一号から四号までの報酬を受ける簡易裁判所判事には、一般職の職員の給与に関する法律（昭和二十五年法律第九十五号）による指定職俸給表の適用を受ける職員の例に準じ、その他の裁判官には、一般の官吏の例に準じて最高裁判所の定めるところによりこれを支給する。ただし、報酬の特別調整額、超過勤務手当、休日給、夜勤手当及び宿日直手当は、これを支給しない。</w:t>
      </w:r>
    </w:p>
    <w:p w:rsidR="00E500FA" w:rsidRDefault="005B426F">
      <w:pPr>
        <w:pStyle w:val="enf3"/>
      </w:pPr>
      <w:r>
        <w:t>Article 9  (1) As specified by the Supreme Court, salary other than compensation is paid to the Chief Justice of the Supreme Court, Supreme Court Justices, and high court presidents in the same manner as that of persons listed in Article 1, items (i) through (xlii) of the Act on Remuneration of Government Officials with Special Capacity (Act No. 252 of 1949); to judges and summary court judges who receive the monthly compensation as specified in Article 15 or the compensation in categories 1 through 4 in th</w:t>
      </w:r>
      <w:r>
        <w:t>e same manner as that of officials to whom the Designated Service Salary Schedule is applied under the Act on Remuneration of Officials in the Regular Service Category (Act No. 95 of 1950); and to other type of judges in the same manner as that of general government officials; provided, however, that a special adjustment of compensation, overtime allowances, holiday pay, night shift allowances, and night and day shift allowances are not paid.</w:t>
      </w:r>
    </w:p>
    <w:p w:rsidR="00E500FA" w:rsidRDefault="005B426F">
      <w:pPr>
        <w:pStyle w:val="jaf4"/>
      </w:pPr>
      <w:r>
        <w:t>２　高等裁判所長官には、一般の官吏の例に準じて、最高裁判所の定めるところにより、単身赴任手当を支給する。</w:t>
      </w:r>
    </w:p>
    <w:p w:rsidR="00E500FA" w:rsidRDefault="005B426F">
      <w:pPr>
        <w:pStyle w:val="enf4"/>
      </w:pPr>
      <w:r>
        <w:t xml:space="preserve">(2) An unaccompanied transfer allowance is paid to the high court presidents, as </w:t>
      </w:r>
      <w:r>
        <w:lastRenderedPageBreak/>
        <w:t>specified by the Supreme Court, in the same manner as that of general government officials.</w:t>
      </w:r>
    </w:p>
    <w:p w:rsidR="00E500FA" w:rsidRDefault="005B426F">
      <w:pPr>
        <w:pStyle w:val="jaf4"/>
      </w:pPr>
      <w:r>
        <w:t>３　寒冷地に在勤する高等裁判所長官には、一般の官吏の例に準じて、最高裁判所の定めるところにより、寒冷地手当を支給する。</w:t>
      </w:r>
    </w:p>
    <w:p w:rsidR="00E500FA" w:rsidRDefault="005B426F">
      <w:pPr>
        <w:pStyle w:val="enf4"/>
      </w:pPr>
      <w:r>
        <w:t>(3) A cold area allowance is paid to the high court presidents who serves in cold areas, as specified by the Supreme Court, in the same manner as that of general government officials.</w:t>
      </w:r>
    </w:p>
    <w:p w:rsidR="00E500FA" w:rsidRDefault="00E500FA"/>
    <w:p w:rsidR="00E500FA" w:rsidRDefault="005B426F">
      <w:pPr>
        <w:pStyle w:val="jaf3"/>
      </w:pPr>
      <w:r>
        <w:t>第十条　生計費及び一般賃金事情の著しい変動により、一般の官吏について、政府がその俸給その他の給与の額を増加し、又は特別の給与を支給するときは、最高裁判所は、別に法律の定めるところにより、裁判官について、一般の官吏の例に準じて、報酬その他の給与の額を増加し、又は特別の給与を支給する。</w:t>
      </w:r>
    </w:p>
    <w:p w:rsidR="00E500FA" w:rsidRDefault="005B426F">
      <w:pPr>
        <w:pStyle w:val="enf3"/>
      </w:pPr>
      <w:r>
        <w:t>Article 10  When the government increases the amount of salaries and other wages or provides special salaries for general officials due to significant changes in the cost of living and general wage conditions, the Supreme Court, as specified by other Acts, increases the amount of compensation and other salary or provides special salaries for judges in the same manner as those of general government officials.</w:t>
      </w:r>
    </w:p>
    <w:p w:rsidR="00E500FA" w:rsidRDefault="00E500FA"/>
    <w:p w:rsidR="00E500FA" w:rsidRDefault="005B426F">
      <w:pPr>
        <w:pStyle w:val="jaf3"/>
      </w:pPr>
      <w:r>
        <w:t>第十一条　裁判官の報酬その他の給与に関する細則は、最高裁判所が、これを定める。</w:t>
      </w:r>
    </w:p>
    <w:p w:rsidR="00E500FA" w:rsidRDefault="005B426F">
      <w:pPr>
        <w:pStyle w:val="enf3"/>
      </w:pPr>
      <w:r>
        <w:t>Article 11  The detailed regulations concerning the compensation and other salaries of judges are established by the Supreme Court.</w:t>
      </w:r>
    </w:p>
    <w:p w:rsidR="00E500FA" w:rsidRDefault="00E500FA"/>
    <w:p w:rsidR="00E500FA" w:rsidRDefault="005B426F">
      <w:pPr>
        <w:pStyle w:val="ja2"/>
      </w:pPr>
      <w:r>
        <w:t>附　則　〔抄〕</w:t>
      </w:r>
    </w:p>
    <w:p w:rsidR="00E500FA" w:rsidRDefault="005B426F">
      <w:pPr>
        <w:pStyle w:val="en2"/>
      </w:pPr>
      <w:r>
        <w:t>Supplementary Provisions  [Extract]</w:t>
      </w:r>
    </w:p>
    <w:p w:rsidR="00E500FA" w:rsidRDefault="00E500FA"/>
    <w:p w:rsidR="00E500FA" w:rsidRDefault="005B426F">
      <w:pPr>
        <w:pStyle w:val="jaf3"/>
      </w:pPr>
      <w:r>
        <w:t>第十五条　簡易裁判所判事の報酬月額は、特別のものに限り、当分の間、第二条の規定にかかわらず、九十六万八千円とすることができる。</w:t>
      </w:r>
    </w:p>
    <w:p w:rsidR="00E500FA" w:rsidRDefault="005B426F">
      <w:pPr>
        <w:pStyle w:val="enf3"/>
      </w:pPr>
      <w:r>
        <w:t>Article 15  Until otherwise provided, the monthly compensation for summary court judges may be set at 968,000 yen, limited to special cases, notwithstanding the provisions of Article 2.</w:t>
      </w:r>
    </w:p>
    <w:p w:rsidR="00E500FA" w:rsidRDefault="00E500FA"/>
    <w:p w:rsidR="00E500FA" w:rsidRDefault="005B426F">
      <w:pPr>
        <w:pStyle w:val="ja8"/>
        <w:ind w:left="227" w:hanging="227"/>
      </w:pPr>
      <w:r>
        <w:t>別表（第二条関係）</w:t>
      </w:r>
    </w:p>
    <w:p w:rsidR="00E500FA" w:rsidRDefault="005B426F">
      <w:pPr>
        <w:pStyle w:val="en8"/>
        <w:ind w:left="227" w:hanging="227"/>
      </w:pPr>
      <w:r>
        <w:t>Appended Table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505"/>
        <w:gridCol w:w="2923"/>
        <w:gridCol w:w="765"/>
      </w:tblGrid>
      <w:tr w:rsidR="00E500FA">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区分</w:t>
            </w:r>
            <w:r>
              <w:br w:type="textWrapping" w:clear="all"/>
            </w:r>
            <w:r>
              <w:t>Classification</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報酬月額</w:t>
            </w:r>
            <w:r>
              <w:br w:type="textWrapping" w:clear="all"/>
            </w:r>
            <w:r>
              <w:t>Monthly compensation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最高裁判所長官</w:t>
            </w:r>
            <w:r>
              <w:br w:type="textWrapping" w:clear="all"/>
            </w:r>
            <w:r>
              <w:t>Chief Justice of the Supreme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二、〇一六、〇〇〇円</w:t>
            </w:r>
            <w:r>
              <w:br w:type="textWrapping" w:clear="all"/>
            </w:r>
            <w:r>
              <w:t>2,016,000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最高裁判所判事</w:t>
            </w:r>
            <w:r>
              <w:br w:type="textWrapping" w:clear="all"/>
            </w:r>
            <w:r>
              <w:t>Justice of the Supreme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一、四七〇、〇〇〇円</w:t>
            </w:r>
            <w:r>
              <w:br w:type="textWrapping" w:clear="all"/>
            </w:r>
            <w:r>
              <w:t>1,470,000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東京高等裁判所長官</w:t>
            </w:r>
            <w:r>
              <w:br w:type="textWrapping" w:clear="all"/>
            </w:r>
            <w:r>
              <w:t>Presidents of the Tokyo High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一、四一〇、〇〇〇円</w:t>
            </w:r>
            <w:r>
              <w:br w:type="textWrapping" w:clear="all"/>
            </w:r>
            <w:r>
              <w:t>1,410,000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その他の高等裁判所長官</w:t>
            </w:r>
            <w:r>
              <w:br w:type="textWrapping" w:clear="all"/>
            </w:r>
            <w:r>
              <w:t>Other high court presidents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一、三〇六、〇〇〇円</w:t>
            </w:r>
            <w:r>
              <w:br w:type="textWrapping" w:clear="all"/>
            </w:r>
            <w:r>
              <w:t>1,306,000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t>判事</w:t>
            </w:r>
            <w:r>
              <w:br w:type="textWrapping" w:clear="all"/>
            </w:r>
            <w:r>
              <w:t>Judges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一号</w:t>
            </w:r>
            <w:r>
              <w:br w:type="textWrapping" w:clear="all"/>
            </w: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一、一七八、〇〇〇円</w:t>
            </w:r>
            <w:r>
              <w:br w:type="textWrapping" w:clear="all"/>
            </w:r>
            <w:r>
              <w:t>1,178,000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二号</w:t>
            </w:r>
            <w:r>
              <w:br w:type="textWrapping" w:clear="all"/>
            </w: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一、〇三八、〇〇〇円</w:t>
            </w:r>
            <w:r>
              <w:br w:type="textWrapping" w:clear="all"/>
            </w:r>
            <w:r>
              <w:t>1,038,000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三号</w:t>
            </w:r>
            <w:r>
              <w:br w:type="textWrapping" w:clear="all"/>
            </w: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九六八、〇〇〇円</w:t>
            </w:r>
            <w:r>
              <w:br w:type="textWrapping" w:clear="all"/>
            </w:r>
            <w:r>
              <w:t>968,000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四号</w:t>
            </w:r>
            <w:r>
              <w:br w:type="textWrapping" w:clear="all"/>
            </w: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八二〇、〇〇〇円</w:t>
            </w:r>
            <w:r>
              <w:br w:type="textWrapping" w:clear="all"/>
            </w:r>
            <w:r>
              <w:t>820,000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五号</w:t>
            </w:r>
            <w:r>
              <w:br w:type="textWrapping" w:clear="all"/>
            </w: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七〇八、〇〇〇円</w:t>
            </w:r>
            <w:r>
              <w:br w:type="textWrapping" w:clear="all"/>
            </w:r>
            <w:r>
              <w:t>708,000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六号</w:t>
            </w:r>
            <w:r>
              <w:br w:type="textWrapping" w:clear="all"/>
            </w: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六三六、〇〇〇円</w:t>
            </w:r>
            <w:r>
              <w:br w:type="textWrapping" w:clear="all"/>
            </w:r>
            <w:r>
              <w:t>636,000</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七号</w:t>
            </w:r>
            <w:r>
              <w:br w:type="textWrapping" w:clear="all"/>
            </w: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五七六、〇〇〇円</w:t>
            </w:r>
            <w:r>
              <w:br w:type="textWrapping" w:clear="all"/>
            </w:r>
            <w:r>
              <w:t>576,000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八号</w:t>
            </w:r>
            <w:r>
              <w:br w:type="textWrapping" w:clear="all"/>
            </w: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五一八、〇〇〇円</w:t>
            </w:r>
            <w:r>
              <w:br w:type="textWrapping" w:clear="all"/>
            </w:r>
            <w:r>
              <w:t>518,000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t>判事補</w:t>
            </w:r>
            <w:r>
              <w:br w:type="textWrapping" w:clear="all"/>
            </w:r>
            <w:r>
              <w:t>Assistant judges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一号</w:t>
            </w:r>
            <w:r>
              <w:br w:type="textWrapping" w:clear="all"/>
            </w: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四二三、〇〇〇円</w:t>
            </w:r>
            <w:r>
              <w:br w:type="textWrapping" w:clear="all"/>
            </w:r>
            <w:r>
              <w:t>423,000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二号</w:t>
            </w:r>
            <w:r>
              <w:br w:type="textWrapping" w:clear="all"/>
            </w: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三八九、三〇〇円</w:t>
            </w:r>
            <w:r>
              <w:br w:type="textWrapping" w:clear="all"/>
            </w:r>
            <w:r>
              <w:t>389,300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三号</w:t>
            </w:r>
            <w:r>
              <w:br w:type="textWrapping" w:clear="all"/>
            </w: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三六七、一〇〇円</w:t>
            </w:r>
            <w:r>
              <w:br w:type="textWrapping" w:clear="all"/>
            </w:r>
            <w:r>
              <w:t>367,100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四号</w:t>
            </w:r>
            <w:r>
              <w:br w:type="textWrapping" w:clear="all"/>
            </w: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三四三、八〇〇円</w:t>
            </w:r>
            <w:r>
              <w:br w:type="textWrapping" w:clear="all"/>
            </w:r>
            <w:r>
              <w:t>343,800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五号</w:t>
            </w:r>
            <w:r>
              <w:br w:type="textWrapping" w:clear="all"/>
            </w: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三二二、四〇〇円</w:t>
            </w:r>
            <w:r>
              <w:br w:type="textWrapping" w:clear="all"/>
            </w:r>
            <w:r>
              <w:t>322,400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六号</w:t>
            </w:r>
            <w:r>
              <w:br w:type="textWrapping" w:clear="all"/>
            </w: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三〇七、九〇〇円</w:t>
            </w:r>
            <w:r>
              <w:br w:type="textWrapping" w:clear="all"/>
            </w:r>
            <w:r>
              <w:t>307,900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七号</w:t>
            </w:r>
            <w:r>
              <w:br w:type="textWrapping" w:clear="all"/>
            </w: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二九一、四〇〇円</w:t>
            </w:r>
            <w:r>
              <w:br w:type="textWrapping" w:clear="all"/>
            </w:r>
            <w:r>
              <w:t>291,400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八号</w:t>
            </w:r>
            <w:r>
              <w:br w:type="textWrapping" w:clear="all"/>
            </w: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二八二、二〇〇円</w:t>
            </w:r>
            <w:r>
              <w:br w:type="textWrapping" w:clear="all"/>
            </w:r>
            <w:r>
              <w:t>282,200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九号</w:t>
            </w:r>
            <w:r>
              <w:br w:type="textWrapping" w:clear="all"/>
            </w:r>
            <w:r>
              <w:t>Category 9</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二六三、五〇〇円</w:t>
            </w:r>
            <w:r>
              <w:br w:type="textWrapping" w:clear="all"/>
            </w:r>
            <w:r>
              <w:t>263,500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十号</w:t>
            </w:r>
            <w:r>
              <w:br w:type="textWrapping" w:clear="all"/>
            </w:r>
            <w:r>
              <w:t>Category 10</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二五四、八〇〇円</w:t>
            </w:r>
            <w:r>
              <w:br w:type="textWrapping" w:clear="all"/>
            </w:r>
            <w:r>
              <w:t>254,800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十一号</w:t>
            </w:r>
            <w:r>
              <w:br w:type="textWrapping" w:clear="all"/>
            </w:r>
            <w:r>
              <w:t>Category 11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二四九、四〇〇円</w:t>
            </w:r>
            <w:r>
              <w:br w:type="textWrapping" w:clear="all"/>
            </w:r>
            <w:r>
              <w:t>249,400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十二号</w:t>
            </w:r>
            <w:r>
              <w:br w:type="textWrapping" w:clear="all"/>
            </w:r>
            <w:r>
              <w:t>Category 12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二四四、〇〇〇円</w:t>
            </w:r>
            <w:r>
              <w:br w:type="textWrapping" w:clear="all"/>
            </w:r>
            <w:r>
              <w:t>244, 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E500FA" w:rsidRDefault="005B426F">
            <w:pPr>
              <w:pStyle w:val="jaen"/>
            </w:pPr>
            <w:r>
              <w:t>簡易裁判所判事</w:t>
            </w:r>
            <w:r>
              <w:br w:type="textWrapping" w:clear="all"/>
            </w:r>
            <w:r>
              <w:t>Summary court judges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一号</w:t>
            </w:r>
            <w:r>
              <w:br w:type="textWrapping" w:clear="all"/>
            </w: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八二〇、〇〇〇円</w:t>
            </w:r>
            <w:r>
              <w:br w:type="textWrapping" w:clear="all"/>
            </w:r>
            <w:r>
              <w:t>820,000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二号</w:t>
            </w:r>
            <w:r>
              <w:br w:type="textWrapping" w:clear="all"/>
            </w: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七〇八、〇〇〇円</w:t>
            </w:r>
            <w:r>
              <w:br w:type="textWrapping" w:clear="all"/>
            </w:r>
            <w:r>
              <w:t>708,000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三号</w:t>
            </w:r>
            <w:r>
              <w:br w:type="textWrapping" w:clear="all"/>
            </w: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六三六、〇〇〇円</w:t>
            </w:r>
            <w:r>
              <w:br w:type="textWrapping" w:clear="all"/>
            </w:r>
            <w:r>
              <w:t>636,000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四号</w:t>
            </w:r>
            <w:r>
              <w:br w:type="textWrapping" w:clear="all"/>
            </w: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五七六、〇〇〇円</w:t>
            </w:r>
            <w:r>
              <w:br w:type="textWrapping" w:clear="all"/>
            </w:r>
            <w:r>
              <w:t>576,000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五号</w:t>
            </w:r>
            <w:r>
              <w:br w:type="textWrapping" w:clear="all"/>
            </w: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四四〇、四〇〇円</w:t>
            </w:r>
            <w:r>
              <w:br w:type="textWrapping" w:clear="all"/>
            </w:r>
            <w:r>
              <w:t>440,400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六号</w:t>
            </w:r>
            <w:r>
              <w:br w:type="textWrapping" w:clear="all"/>
            </w: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四二三、〇〇〇円</w:t>
            </w:r>
            <w:r>
              <w:br w:type="textWrapping" w:clear="all"/>
            </w:r>
            <w:r>
              <w:t>423,000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七号</w:t>
            </w:r>
            <w:r>
              <w:br w:type="textWrapping" w:clear="all"/>
            </w: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三八九、三〇〇円</w:t>
            </w:r>
            <w:r>
              <w:br w:type="textWrapping" w:clear="all"/>
            </w:r>
            <w:r>
              <w:t>389,300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八号</w:t>
            </w:r>
            <w:r>
              <w:br w:type="textWrapping" w:clear="all"/>
            </w: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三六七、一〇〇円</w:t>
            </w:r>
            <w:r>
              <w:br w:type="textWrapping" w:clear="all"/>
            </w:r>
            <w:r>
              <w:t>367,100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九号</w:t>
            </w:r>
            <w:r>
              <w:br w:type="textWrapping" w:clear="all"/>
            </w:r>
            <w:r>
              <w:t>Category 9</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三四三、八〇〇円</w:t>
            </w:r>
            <w:r>
              <w:br w:type="textWrapping" w:clear="all"/>
            </w:r>
            <w:r>
              <w:t>343,800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十号</w:t>
            </w:r>
            <w:r>
              <w:br w:type="textWrapping" w:clear="all"/>
            </w:r>
            <w:r>
              <w:t>Category 10</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三二二、四〇〇円</w:t>
            </w:r>
            <w:r>
              <w:br w:type="textWrapping" w:clear="all"/>
            </w:r>
            <w:r>
              <w:t>322,400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十一号</w:t>
            </w:r>
            <w:r>
              <w:br w:type="textWrapping" w:clear="all"/>
            </w:r>
            <w:r>
              <w:t>Category 11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三〇七、九〇〇円</w:t>
            </w:r>
            <w:r>
              <w:br w:type="textWrapping" w:clear="all"/>
            </w:r>
            <w:r>
              <w:t>307,900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十二号</w:t>
            </w:r>
            <w:r>
              <w:br w:type="textWrapping" w:clear="all"/>
            </w:r>
            <w:r>
              <w:t>Category 12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二九一、四〇〇円</w:t>
            </w:r>
            <w:r>
              <w:br w:type="textWrapping" w:clear="all"/>
            </w:r>
            <w:r>
              <w:t>291,400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十三号</w:t>
            </w:r>
            <w:r>
              <w:br w:type="textWrapping" w:clear="all"/>
            </w:r>
            <w:r>
              <w:t>Category 13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二八二、二〇〇円</w:t>
            </w:r>
            <w:r>
              <w:br w:type="textWrapping" w:clear="all"/>
            </w:r>
            <w:r>
              <w:t>282,200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十四号</w:t>
            </w:r>
            <w:r>
              <w:br w:type="textWrapping" w:clear="all"/>
            </w:r>
            <w:r>
              <w:t>Category 14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二六三、五〇〇円</w:t>
            </w:r>
            <w:r>
              <w:br w:type="textWrapping" w:clear="all"/>
            </w:r>
            <w:r>
              <w:t>263,500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十五号</w:t>
            </w:r>
            <w:r>
              <w:br w:type="textWrapping" w:clear="all"/>
            </w:r>
            <w:r>
              <w:t>Category 15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二五四、八〇〇円</w:t>
            </w:r>
            <w:r>
              <w:br w:type="textWrapping" w:clear="all"/>
            </w:r>
            <w:r>
              <w:t>254,800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十六号</w:t>
            </w:r>
            <w:r>
              <w:br w:type="textWrapping" w:clear="all"/>
            </w:r>
            <w:r>
              <w:t>Category 16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二四九、四〇〇円</w:t>
            </w:r>
            <w:r>
              <w:br w:type="textWrapping" w:clear="all"/>
            </w:r>
            <w:r>
              <w:t>249,400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十七号</w:t>
            </w:r>
            <w:r>
              <w:br w:type="textWrapping" w:clear="all"/>
            </w:r>
            <w:r>
              <w:t>Category 17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0FA" w:rsidRDefault="005B426F">
            <w:pPr>
              <w:pStyle w:val="jaen"/>
            </w:pPr>
            <w:r>
              <w:t>二四四、〇〇〇円</w:t>
            </w:r>
            <w:r>
              <w:br w:type="textWrapping" w:clear="all"/>
            </w:r>
            <w:r>
              <w:t>244, 000 yen</w:t>
            </w:r>
          </w:p>
        </w:tc>
        <w:tc>
          <w:tcPr>
            <w:tcW w:w="765" w:type="dxa"/>
            <w:tcMar>
              <w:top w:w="0" w:type="dxa"/>
              <w:left w:w="108" w:type="dxa"/>
              <w:bottom w:w="0" w:type="dxa"/>
              <w:right w:w="108" w:type="dxa"/>
            </w:tcMar>
          </w:tcPr>
          <w:p w:rsidR="00E500FA" w:rsidRDefault="005B426F">
            <w:pPr>
              <w:pStyle w:val="jaen"/>
            </w:pPr>
            <w:r>
              <w:br w:type="textWrapping" w:clear="all"/>
            </w:r>
          </w:p>
        </w:tc>
      </w:tr>
      <w:tr w:rsidR="00E500FA">
        <w:tblPrEx>
          <w:tblCellMar>
            <w:top w:w="0" w:type="dxa"/>
            <w:left w:w="0" w:type="dxa"/>
            <w:bottom w:w="0" w:type="dxa"/>
            <w:right w:w="0" w:type="dxa"/>
          </w:tblCellMar>
        </w:tblPrEx>
        <w:trPr>
          <w:cantSplit/>
        </w:trPr>
        <w:tc>
          <w:tcPr>
            <w:tcW w:w="2505" w:type="dxa"/>
            <w:tcMar>
              <w:top w:w="0" w:type="dxa"/>
              <w:left w:w="108" w:type="dxa"/>
              <w:bottom w:w="0" w:type="dxa"/>
              <w:right w:w="108" w:type="dxa"/>
            </w:tcMar>
          </w:tcPr>
          <w:p w:rsidR="00E500FA" w:rsidRDefault="005B426F">
            <w:pPr>
              <w:pStyle w:val="jaen"/>
            </w:pPr>
            <w:r>
              <w:br w:type="textWrapping" w:clear="all"/>
            </w:r>
          </w:p>
        </w:tc>
        <w:tc>
          <w:tcPr>
            <w:tcW w:w="2505" w:type="dxa"/>
            <w:tcMar>
              <w:top w:w="0" w:type="dxa"/>
              <w:left w:w="108" w:type="dxa"/>
              <w:bottom w:w="0" w:type="dxa"/>
              <w:right w:w="108" w:type="dxa"/>
            </w:tcMar>
          </w:tcPr>
          <w:p w:rsidR="00E500FA" w:rsidRDefault="005B426F">
            <w:pPr>
              <w:pStyle w:val="jaen"/>
            </w:pPr>
            <w:r>
              <w:br w:type="textWrapping" w:clear="all"/>
            </w:r>
          </w:p>
        </w:tc>
        <w:tc>
          <w:tcPr>
            <w:tcW w:w="2923" w:type="dxa"/>
            <w:tcMar>
              <w:top w:w="0" w:type="dxa"/>
              <w:left w:w="108" w:type="dxa"/>
              <w:bottom w:w="0" w:type="dxa"/>
              <w:right w:w="108" w:type="dxa"/>
            </w:tcMar>
          </w:tcPr>
          <w:p w:rsidR="00E500FA" w:rsidRDefault="005B426F">
            <w:pPr>
              <w:pStyle w:val="jaen"/>
            </w:pPr>
            <w:r>
              <w:br w:type="textWrapping" w:clear="all"/>
            </w:r>
          </w:p>
        </w:tc>
        <w:tc>
          <w:tcPr>
            <w:tcW w:w="765" w:type="dxa"/>
            <w:tcMar>
              <w:top w:w="0" w:type="dxa"/>
              <w:left w:w="108" w:type="dxa"/>
              <w:bottom w:w="0" w:type="dxa"/>
              <w:right w:w="108" w:type="dxa"/>
            </w:tcMar>
          </w:tcPr>
          <w:p w:rsidR="00E500FA" w:rsidRDefault="005B426F">
            <w:pPr>
              <w:pStyle w:val="jaen"/>
            </w:pPr>
            <w:r>
              <w:br w:type="textWrapping" w:clear="all"/>
            </w:r>
          </w:p>
        </w:tc>
      </w:tr>
    </w:tbl>
    <w:p w:rsidR="00E500FA" w:rsidRDefault="00E500FA"/>
    <w:sectPr w:rsidR="00E500FA" w:rsidSect="00E500F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00FA" w:rsidRDefault="00E500FA" w:rsidP="00E500FA">
      <w:r>
        <w:separator/>
      </w:r>
    </w:p>
  </w:endnote>
  <w:endnote w:type="continuationSeparator" w:id="0">
    <w:p w:rsidR="00E500FA" w:rsidRDefault="00E500FA" w:rsidP="00E5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0FA" w:rsidRDefault="00E500FA">
    <w:pPr>
      <w:pStyle w:val="a3"/>
    </w:pPr>
    <w:r>
      <w:fldChar w:fldCharType="begin"/>
    </w:r>
    <w:r>
      <w:instrText xml:space="preserve"> PAGE  \* MERGEFORMAT </w:instrText>
    </w:r>
    <w:r>
      <w:fldChar w:fldCharType="separate"/>
    </w:r>
    <w:r w:rsidR="005B42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00FA" w:rsidRDefault="00E500FA" w:rsidP="00E500FA">
      <w:r>
        <w:separator/>
      </w:r>
    </w:p>
  </w:footnote>
  <w:footnote w:type="continuationSeparator" w:id="0">
    <w:p w:rsidR="00E500FA" w:rsidRDefault="00E500FA" w:rsidP="00E50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997"/>
    <w:multiLevelType w:val="multilevel"/>
    <w:tmpl w:val="AE5ED0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506EAE"/>
    <w:multiLevelType w:val="multilevel"/>
    <w:tmpl w:val="C91CAA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F61C13"/>
    <w:multiLevelType w:val="multilevel"/>
    <w:tmpl w:val="71262F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D82D76"/>
    <w:multiLevelType w:val="multilevel"/>
    <w:tmpl w:val="904411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740DC3"/>
    <w:multiLevelType w:val="multilevel"/>
    <w:tmpl w:val="38A6C9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CA7273"/>
    <w:multiLevelType w:val="multilevel"/>
    <w:tmpl w:val="F65016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187D44"/>
    <w:multiLevelType w:val="multilevel"/>
    <w:tmpl w:val="ABA449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101340B"/>
    <w:multiLevelType w:val="multilevel"/>
    <w:tmpl w:val="82D834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1861925"/>
    <w:multiLevelType w:val="multilevel"/>
    <w:tmpl w:val="C6EAA2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307E76"/>
    <w:multiLevelType w:val="multilevel"/>
    <w:tmpl w:val="823836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057702"/>
    <w:multiLevelType w:val="multilevel"/>
    <w:tmpl w:val="BE961D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3AF3937"/>
    <w:multiLevelType w:val="multilevel"/>
    <w:tmpl w:val="82E2B0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77D7BB3"/>
    <w:multiLevelType w:val="multilevel"/>
    <w:tmpl w:val="8BE44C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23377025">
    <w:abstractNumId w:val="6"/>
  </w:num>
  <w:num w:numId="2" w16cid:durableId="2130661718">
    <w:abstractNumId w:val="5"/>
  </w:num>
  <w:num w:numId="3" w16cid:durableId="1717580315">
    <w:abstractNumId w:val="4"/>
  </w:num>
  <w:num w:numId="4" w16cid:durableId="1424373391">
    <w:abstractNumId w:val="7"/>
  </w:num>
  <w:num w:numId="5" w16cid:durableId="1423717697">
    <w:abstractNumId w:val="9"/>
  </w:num>
  <w:num w:numId="6" w16cid:durableId="1678187220">
    <w:abstractNumId w:val="3"/>
  </w:num>
  <w:num w:numId="7" w16cid:durableId="1481075133">
    <w:abstractNumId w:val="8"/>
  </w:num>
  <w:num w:numId="8" w16cid:durableId="390080470">
    <w:abstractNumId w:val="12"/>
  </w:num>
  <w:num w:numId="9" w16cid:durableId="1079251220">
    <w:abstractNumId w:val="10"/>
  </w:num>
  <w:num w:numId="10" w16cid:durableId="278487268">
    <w:abstractNumId w:val="0"/>
  </w:num>
  <w:num w:numId="11" w16cid:durableId="991177892">
    <w:abstractNumId w:val="1"/>
  </w:num>
  <w:num w:numId="12" w16cid:durableId="747771912">
    <w:abstractNumId w:val="11"/>
  </w:num>
  <w:num w:numId="13" w16cid:durableId="874585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00FA"/>
    <w:rsid w:val="005B426F"/>
    <w:rsid w:val="00E500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0F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00F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00FA"/>
    <w:rPr>
      <w:rFonts w:ascii="Century" w:eastAsia="Century" w:hAnsi="Century"/>
    </w:rPr>
  </w:style>
  <w:style w:type="paragraph" w:customStyle="1" w:styleId="ja0">
    <w:name w:val="款（ja）"/>
    <w:basedOn w:val="a"/>
    <w:rsid w:val="00E500FA"/>
    <w:pPr>
      <w:widowControl w:val="0"/>
      <w:ind w:left="1321" w:hanging="221"/>
    </w:pPr>
    <w:rPr>
      <w:rFonts w:ascii="ＭＳ 明朝" w:eastAsia="ＭＳ 明朝" w:hAnsi="ＭＳ 明朝" w:cs="ＭＳ 明朝"/>
      <w:b/>
    </w:rPr>
  </w:style>
  <w:style w:type="paragraph" w:customStyle="1" w:styleId="en0">
    <w:name w:val="款（en）"/>
    <w:basedOn w:val="ja0"/>
    <w:rsid w:val="00E500FA"/>
    <w:rPr>
      <w:rFonts w:ascii="Century" w:eastAsia="Century" w:hAnsi="Century" w:cs="Century"/>
    </w:rPr>
  </w:style>
  <w:style w:type="paragraph" w:customStyle="1" w:styleId="ja1">
    <w:name w:val="前文（ja）"/>
    <w:basedOn w:val="a"/>
    <w:rsid w:val="00E500FA"/>
    <w:pPr>
      <w:widowControl w:val="0"/>
      <w:ind w:firstLine="219"/>
    </w:pPr>
    <w:rPr>
      <w:rFonts w:ascii="ＭＳ 明朝" w:eastAsia="ＭＳ 明朝" w:hAnsi="ＭＳ 明朝" w:cs="ＭＳ 明朝"/>
    </w:rPr>
  </w:style>
  <w:style w:type="paragraph" w:customStyle="1" w:styleId="en1">
    <w:name w:val="前文（en）"/>
    <w:basedOn w:val="ja1"/>
    <w:rsid w:val="00E500FA"/>
    <w:rPr>
      <w:rFonts w:ascii="Century" w:eastAsia="Century" w:hAnsi="Century" w:cs="Century"/>
    </w:rPr>
  </w:style>
  <w:style w:type="paragraph" w:customStyle="1" w:styleId="ja2">
    <w:name w:val="附則（ja）"/>
    <w:basedOn w:val="a"/>
    <w:rsid w:val="00E500FA"/>
    <w:pPr>
      <w:widowControl w:val="0"/>
      <w:ind w:left="881" w:hanging="221"/>
    </w:pPr>
    <w:rPr>
      <w:rFonts w:ascii="ＭＳ 明朝" w:eastAsia="ＭＳ 明朝" w:hAnsi="ＭＳ 明朝" w:cs="ＭＳ 明朝"/>
      <w:b/>
    </w:rPr>
  </w:style>
  <w:style w:type="paragraph" w:customStyle="1" w:styleId="en2">
    <w:name w:val="附則（en）"/>
    <w:basedOn w:val="ja2"/>
    <w:rsid w:val="00E500FA"/>
    <w:rPr>
      <w:rFonts w:ascii="Century" w:hAnsi="Century" w:cs="Century"/>
    </w:rPr>
  </w:style>
  <w:style w:type="paragraph" w:customStyle="1" w:styleId="ja3">
    <w:name w:val="章（ja）"/>
    <w:basedOn w:val="a"/>
    <w:rsid w:val="00E500FA"/>
    <w:pPr>
      <w:widowControl w:val="0"/>
      <w:ind w:left="881" w:hanging="221"/>
    </w:pPr>
    <w:rPr>
      <w:rFonts w:ascii="ＭＳ 明朝" w:eastAsia="ＭＳ 明朝" w:hAnsi="ＭＳ 明朝" w:cs="ＭＳ 明朝"/>
      <w:b/>
    </w:rPr>
  </w:style>
  <w:style w:type="paragraph" w:customStyle="1" w:styleId="en3">
    <w:name w:val="章（en）"/>
    <w:basedOn w:val="ja3"/>
    <w:rsid w:val="00E500FA"/>
    <w:rPr>
      <w:rFonts w:ascii="Century" w:eastAsia="Century" w:hAnsi="Century" w:cs="Century"/>
    </w:rPr>
  </w:style>
  <w:style w:type="paragraph" w:customStyle="1" w:styleId="ja4">
    <w:name w:val="目次編（ja）"/>
    <w:basedOn w:val="a"/>
    <w:rsid w:val="00E500FA"/>
    <w:pPr>
      <w:widowControl w:val="0"/>
      <w:ind w:left="219" w:hanging="219"/>
    </w:pPr>
    <w:rPr>
      <w:rFonts w:ascii="ＭＳ 明朝" w:eastAsia="ＭＳ 明朝" w:hAnsi="ＭＳ 明朝"/>
    </w:rPr>
  </w:style>
  <w:style w:type="paragraph" w:customStyle="1" w:styleId="en4">
    <w:name w:val="目次編（en）"/>
    <w:basedOn w:val="ja4"/>
    <w:rsid w:val="00E500FA"/>
    <w:rPr>
      <w:rFonts w:ascii="Century" w:eastAsia="Century" w:hAnsi="Century"/>
    </w:rPr>
  </w:style>
  <w:style w:type="paragraph" w:customStyle="1" w:styleId="ja5">
    <w:name w:val="目次章（ja）"/>
    <w:basedOn w:val="a"/>
    <w:rsid w:val="00E500FA"/>
    <w:pPr>
      <w:widowControl w:val="0"/>
      <w:ind w:left="439" w:hanging="219"/>
    </w:pPr>
    <w:rPr>
      <w:rFonts w:ascii="ＭＳ 明朝" w:eastAsia="ＭＳ 明朝" w:hAnsi="ＭＳ 明朝"/>
    </w:rPr>
  </w:style>
  <w:style w:type="paragraph" w:customStyle="1" w:styleId="en5">
    <w:name w:val="目次章（en）"/>
    <w:basedOn w:val="ja5"/>
    <w:rsid w:val="00E500FA"/>
    <w:rPr>
      <w:rFonts w:ascii="Century" w:eastAsia="Century" w:hAnsi="Century"/>
    </w:rPr>
  </w:style>
  <w:style w:type="paragraph" w:customStyle="1" w:styleId="ja6">
    <w:name w:val="目次節（ja）"/>
    <w:basedOn w:val="a"/>
    <w:rsid w:val="00E500FA"/>
    <w:pPr>
      <w:widowControl w:val="0"/>
      <w:ind w:left="659" w:hanging="219"/>
    </w:pPr>
    <w:rPr>
      <w:rFonts w:ascii="ＭＳ 明朝" w:eastAsia="ＭＳ 明朝" w:hAnsi="ＭＳ 明朝"/>
    </w:rPr>
  </w:style>
  <w:style w:type="paragraph" w:customStyle="1" w:styleId="en6">
    <w:name w:val="目次節（en）"/>
    <w:basedOn w:val="ja6"/>
    <w:rsid w:val="00E500FA"/>
    <w:rPr>
      <w:rFonts w:ascii="Century" w:eastAsia="Century" w:hAnsi="Century"/>
    </w:rPr>
  </w:style>
  <w:style w:type="paragraph" w:customStyle="1" w:styleId="ja7">
    <w:name w:val="目次款（ja）"/>
    <w:basedOn w:val="a"/>
    <w:rsid w:val="00E500FA"/>
    <w:pPr>
      <w:widowControl w:val="0"/>
      <w:ind w:left="879" w:hanging="219"/>
    </w:pPr>
    <w:rPr>
      <w:rFonts w:ascii="ＭＳ 明朝" w:eastAsia="ＭＳ 明朝" w:hAnsi="ＭＳ 明朝" w:cs="Kochi Mincho"/>
    </w:rPr>
  </w:style>
  <w:style w:type="paragraph" w:customStyle="1" w:styleId="en7">
    <w:name w:val="目次款（en）"/>
    <w:basedOn w:val="ja7"/>
    <w:rsid w:val="00E500FA"/>
    <w:rPr>
      <w:rFonts w:ascii="Century" w:eastAsia="Century" w:hAnsi="Century"/>
    </w:rPr>
  </w:style>
  <w:style w:type="paragraph" w:customStyle="1" w:styleId="ja8">
    <w:name w:val="別表名（ja）"/>
    <w:basedOn w:val="a"/>
    <w:rsid w:val="00E500FA"/>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00FA"/>
    <w:rPr>
      <w:rFonts w:ascii="Century" w:eastAsia="Century" w:hAnsi="Century" w:cs="Century"/>
    </w:rPr>
  </w:style>
  <w:style w:type="paragraph" w:customStyle="1" w:styleId="ja9">
    <w:name w:val="目（ja）"/>
    <w:basedOn w:val="a"/>
    <w:rsid w:val="00E500FA"/>
    <w:pPr>
      <w:widowControl w:val="0"/>
      <w:ind w:left="1541" w:hanging="221"/>
    </w:pPr>
    <w:rPr>
      <w:rFonts w:ascii="ＭＳ 明朝" w:eastAsia="ＭＳ 明朝" w:hAnsi="ＭＳ 明朝" w:cs="ＭＳ 明朝"/>
      <w:b/>
    </w:rPr>
  </w:style>
  <w:style w:type="paragraph" w:customStyle="1" w:styleId="en9">
    <w:name w:val="目（en）"/>
    <w:basedOn w:val="ja9"/>
    <w:rsid w:val="00E500FA"/>
    <w:rPr>
      <w:rFonts w:ascii="Century" w:eastAsia="Century" w:hAnsi="Century" w:cs="Century"/>
    </w:rPr>
  </w:style>
  <w:style w:type="paragraph" w:customStyle="1" w:styleId="jaa">
    <w:name w:val="見出し（ja）"/>
    <w:basedOn w:val="a"/>
    <w:rsid w:val="00E500FA"/>
    <w:pPr>
      <w:widowControl w:val="0"/>
      <w:ind w:left="439" w:hanging="219"/>
    </w:pPr>
    <w:rPr>
      <w:rFonts w:ascii="ＭＳ 明朝" w:eastAsia="ＭＳ 明朝" w:hAnsi="ＭＳ 明朝" w:cs="ＭＳ 明朝"/>
    </w:rPr>
  </w:style>
  <w:style w:type="paragraph" w:customStyle="1" w:styleId="ena">
    <w:name w:val="見出し（en）"/>
    <w:basedOn w:val="jaa"/>
    <w:rsid w:val="00E500FA"/>
    <w:rPr>
      <w:rFonts w:ascii="Century" w:eastAsia="Century" w:hAnsi="Century" w:cs="Century"/>
    </w:rPr>
  </w:style>
  <w:style w:type="paragraph" w:styleId="a3">
    <w:name w:val="footer"/>
    <w:basedOn w:val="a"/>
    <w:rsid w:val="00E500F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00FA"/>
    <w:pPr>
      <w:widowControl w:val="0"/>
      <w:ind w:left="1099" w:hanging="219"/>
    </w:pPr>
    <w:rPr>
      <w:rFonts w:ascii="ＭＳ 明朝" w:eastAsia="ＭＳ 明朝" w:hAnsi="ＭＳ 明朝" w:cs="Kochi Mincho"/>
    </w:rPr>
  </w:style>
  <w:style w:type="paragraph" w:customStyle="1" w:styleId="enb">
    <w:name w:val="目次目（en）"/>
    <w:basedOn w:val="jab"/>
    <w:rsid w:val="00E500FA"/>
    <w:rPr>
      <w:rFonts w:ascii="Century" w:eastAsia="Century" w:hAnsi="Century"/>
    </w:rPr>
  </w:style>
  <w:style w:type="paragraph" w:customStyle="1" w:styleId="jac">
    <w:name w:val="目次附則（ja）"/>
    <w:basedOn w:val="a"/>
    <w:rsid w:val="00E500FA"/>
    <w:pPr>
      <w:widowControl w:val="0"/>
      <w:ind w:left="439" w:hanging="219"/>
    </w:pPr>
    <w:rPr>
      <w:rFonts w:ascii="ＭＳ 明朝" w:eastAsia="ＭＳ 明朝" w:hAnsi="ＭＳ 明朝" w:cs="Kochi Mincho"/>
    </w:rPr>
  </w:style>
  <w:style w:type="paragraph" w:customStyle="1" w:styleId="enc">
    <w:name w:val="目次附則（en）"/>
    <w:basedOn w:val="jac"/>
    <w:rsid w:val="00E500FA"/>
    <w:rPr>
      <w:rFonts w:ascii="Century" w:eastAsia="Century" w:hAnsi="Century" w:cs="Century"/>
    </w:rPr>
  </w:style>
  <w:style w:type="paragraph" w:customStyle="1" w:styleId="jad">
    <w:name w:val="目次前文（ja）"/>
    <w:basedOn w:val="jac"/>
    <w:rsid w:val="00E500FA"/>
  </w:style>
  <w:style w:type="paragraph" w:customStyle="1" w:styleId="end">
    <w:name w:val="目次前文（en）"/>
    <w:basedOn w:val="enc"/>
    <w:rsid w:val="00E500FA"/>
  </w:style>
  <w:style w:type="paragraph" w:customStyle="1" w:styleId="jae">
    <w:name w:val="制定文（ja）"/>
    <w:basedOn w:val="a"/>
    <w:rsid w:val="00E500FA"/>
    <w:pPr>
      <w:widowControl w:val="0"/>
      <w:ind w:firstLine="219"/>
    </w:pPr>
    <w:rPr>
      <w:rFonts w:ascii="ＭＳ 明朝" w:eastAsia="ＭＳ 明朝" w:hAnsi="ＭＳ 明朝" w:cs="ＭＳ 明朝"/>
    </w:rPr>
  </w:style>
  <w:style w:type="paragraph" w:customStyle="1" w:styleId="ene">
    <w:name w:val="制定文（en）"/>
    <w:basedOn w:val="jae"/>
    <w:rsid w:val="00E500FA"/>
    <w:rPr>
      <w:rFonts w:ascii="Century" w:eastAsia="Century" w:hAnsi="Century" w:cs="Century"/>
    </w:rPr>
  </w:style>
  <w:style w:type="paragraph" w:customStyle="1" w:styleId="jaf">
    <w:name w:val="法令番号（ja）"/>
    <w:basedOn w:val="a"/>
    <w:rsid w:val="00E500FA"/>
    <w:pPr>
      <w:widowControl w:val="0"/>
      <w:jc w:val="right"/>
    </w:pPr>
    <w:rPr>
      <w:rFonts w:ascii="ＭＳ 明朝" w:eastAsia="ＭＳ 明朝" w:hAnsi="ＭＳ 明朝" w:cs="Kochi Mincho"/>
    </w:rPr>
  </w:style>
  <w:style w:type="paragraph" w:customStyle="1" w:styleId="enf">
    <w:name w:val="法令番号（en）"/>
    <w:basedOn w:val="jaf"/>
    <w:rsid w:val="00E500FA"/>
    <w:rPr>
      <w:rFonts w:ascii="Century" w:eastAsia="Century" w:hAnsi="Century" w:cs="Century"/>
    </w:rPr>
  </w:style>
  <w:style w:type="paragraph" w:customStyle="1" w:styleId="jaf0">
    <w:name w:val="目次（ja）"/>
    <w:basedOn w:val="a"/>
    <w:rsid w:val="00E500FA"/>
    <w:rPr>
      <w:rFonts w:ascii="ＭＳ 明朝" w:eastAsia="ＭＳ 明朝" w:hAnsi="ＭＳ 明朝"/>
    </w:rPr>
  </w:style>
  <w:style w:type="paragraph" w:customStyle="1" w:styleId="enf0">
    <w:name w:val="目次（en）"/>
    <w:basedOn w:val="jaf0"/>
    <w:rsid w:val="00E500FA"/>
    <w:rPr>
      <w:rFonts w:ascii="Century" w:eastAsia="Century" w:hAnsi="Century"/>
    </w:rPr>
  </w:style>
  <w:style w:type="paragraph" w:customStyle="1" w:styleId="jaf1">
    <w:name w:val="編（ja）"/>
    <w:basedOn w:val="a"/>
    <w:rsid w:val="00E500FA"/>
    <w:pPr>
      <w:widowControl w:val="0"/>
      <w:ind w:left="661" w:hanging="221"/>
    </w:pPr>
    <w:rPr>
      <w:rFonts w:ascii="ＭＳ 明朝" w:eastAsia="ＭＳ 明朝" w:hAnsi="ＭＳ 明朝" w:cs="ＭＳ 明朝"/>
      <w:b/>
    </w:rPr>
  </w:style>
  <w:style w:type="paragraph" w:customStyle="1" w:styleId="enf1">
    <w:name w:val="編（en）"/>
    <w:basedOn w:val="jaf1"/>
    <w:rsid w:val="00E500FA"/>
    <w:rPr>
      <w:rFonts w:ascii="Century" w:eastAsia="Century" w:hAnsi="Century" w:cs="Century"/>
    </w:rPr>
  </w:style>
  <w:style w:type="paragraph" w:customStyle="1" w:styleId="jaf2">
    <w:name w:val="節（ja）"/>
    <w:basedOn w:val="a"/>
    <w:rsid w:val="00E500FA"/>
    <w:pPr>
      <w:widowControl w:val="0"/>
      <w:ind w:left="1101" w:hanging="221"/>
    </w:pPr>
    <w:rPr>
      <w:rFonts w:ascii="ＭＳ 明朝" w:eastAsia="ＭＳ 明朝" w:hAnsi="ＭＳ 明朝" w:cs="ＭＳ 明朝"/>
      <w:b/>
    </w:rPr>
  </w:style>
  <w:style w:type="paragraph" w:customStyle="1" w:styleId="enf2">
    <w:name w:val="節（en）"/>
    <w:basedOn w:val="jaf2"/>
    <w:rsid w:val="00E500FA"/>
    <w:rPr>
      <w:rFonts w:ascii="Century" w:eastAsia="Century" w:hAnsi="Century" w:cs="Century"/>
    </w:rPr>
  </w:style>
  <w:style w:type="paragraph" w:customStyle="1" w:styleId="jaf3">
    <w:name w:val="条（ja）"/>
    <w:basedOn w:val="a"/>
    <w:rsid w:val="00E500FA"/>
    <w:pPr>
      <w:widowControl w:val="0"/>
      <w:ind w:left="219" w:hanging="219"/>
    </w:pPr>
    <w:rPr>
      <w:rFonts w:ascii="ＭＳ 明朝" w:eastAsia="ＭＳ 明朝" w:hAnsi="ＭＳ 明朝" w:cs="ＭＳ 明朝"/>
    </w:rPr>
  </w:style>
  <w:style w:type="paragraph" w:customStyle="1" w:styleId="enf3">
    <w:name w:val="条（en）"/>
    <w:basedOn w:val="jaf3"/>
    <w:rsid w:val="00E500FA"/>
    <w:rPr>
      <w:rFonts w:ascii="Century" w:eastAsia="Century" w:hAnsi="Century" w:cs="Century"/>
    </w:rPr>
  </w:style>
  <w:style w:type="paragraph" w:customStyle="1" w:styleId="jaf4">
    <w:name w:val="項（ja）"/>
    <w:basedOn w:val="a"/>
    <w:rsid w:val="00E500FA"/>
    <w:pPr>
      <w:widowControl w:val="0"/>
      <w:ind w:left="219" w:hanging="219"/>
    </w:pPr>
    <w:rPr>
      <w:rFonts w:ascii="ＭＳ 明朝" w:eastAsia="ＭＳ 明朝" w:hAnsi="ＭＳ 明朝" w:cs="ＭＳ 明朝"/>
    </w:rPr>
  </w:style>
  <w:style w:type="paragraph" w:customStyle="1" w:styleId="enf4">
    <w:name w:val="項（en）"/>
    <w:basedOn w:val="jaf4"/>
    <w:rsid w:val="00E500FA"/>
    <w:rPr>
      <w:rFonts w:ascii="Century" w:eastAsia="Century" w:hAnsi="Century" w:cs="Century"/>
    </w:rPr>
  </w:style>
  <w:style w:type="paragraph" w:customStyle="1" w:styleId="jaf5">
    <w:name w:val="項　番号なし（ja）"/>
    <w:basedOn w:val="a"/>
    <w:rsid w:val="00E500FA"/>
    <w:pPr>
      <w:widowControl w:val="0"/>
      <w:ind w:firstLine="221"/>
    </w:pPr>
    <w:rPr>
      <w:rFonts w:ascii="ＭＳ 明朝" w:eastAsia="ＭＳ 明朝" w:hAnsi="ＭＳ 明朝" w:cs="ＭＳ 明朝"/>
    </w:rPr>
  </w:style>
  <w:style w:type="paragraph" w:customStyle="1" w:styleId="enf5">
    <w:name w:val="項　番号なし（en）"/>
    <w:basedOn w:val="jaf5"/>
    <w:rsid w:val="00E500FA"/>
    <w:rPr>
      <w:rFonts w:ascii="Century" w:eastAsia="Century" w:hAnsi="Century" w:cs="Century"/>
    </w:rPr>
  </w:style>
  <w:style w:type="paragraph" w:customStyle="1" w:styleId="jaf6">
    <w:name w:val="号（ja）"/>
    <w:basedOn w:val="a"/>
    <w:rsid w:val="00E500FA"/>
    <w:pPr>
      <w:widowControl w:val="0"/>
      <w:ind w:left="439" w:hanging="219"/>
    </w:pPr>
    <w:rPr>
      <w:rFonts w:ascii="ＭＳ 明朝" w:eastAsia="ＭＳ 明朝" w:hAnsi="ＭＳ 明朝" w:cs="ＭＳ 明朝"/>
    </w:rPr>
  </w:style>
  <w:style w:type="paragraph" w:customStyle="1" w:styleId="enf6">
    <w:name w:val="号（en）"/>
    <w:basedOn w:val="jaf6"/>
    <w:rsid w:val="00E500FA"/>
    <w:rPr>
      <w:rFonts w:ascii="Century" w:eastAsia="Century" w:hAnsi="Century" w:cs="Century"/>
    </w:rPr>
  </w:style>
  <w:style w:type="paragraph" w:customStyle="1" w:styleId="jaf7">
    <w:name w:val="号　番号なし（ja）"/>
    <w:basedOn w:val="a"/>
    <w:rsid w:val="00E500FA"/>
    <w:pPr>
      <w:widowControl w:val="0"/>
      <w:ind w:left="221" w:firstLine="221"/>
    </w:pPr>
    <w:rPr>
      <w:rFonts w:ascii="ＭＳ 明朝" w:eastAsia="ＭＳ 明朝" w:hAnsi="ＭＳ 明朝" w:cs="ＭＳ 明朝"/>
    </w:rPr>
  </w:style>
  <w:style w:type="paragraph" w:customStyle="1" w:styleId="enf7">
    <w:name w:val="号　番号なし（en）"/>
    <w:basedOn w:val="jaf7"/>
    <w:rsid w:val="00E500FA"/>
    <w:rPr>
      <w:rFonts w:ascii="Century" w:eastAsia="Century" w:hAnsi="Century" w:cs="Century"/>
    </w:rPr>
  </w:style>
  <w:style w:type="paragraph" w:customStyle="1" w:styleId="jaf8">
    <w:name w:val="備考号（ja）"/>
    <w:basedOn w:val="a"/>
    <w:rsid w:val="00E500FA"/>
    <w:pPr>
      <w:widowControl w:val="0"/>
      <w:ind w:left="659" w:hanging="219"/>
    </w:pPr>
    <w:rPr>
      <w:rFonts w:ascii="ＭＳ 明朝" w:eastAsia="ＭＳ 明朝" w:hAnsi="ＭＳ 明朝" w:cs="ＭＳ 明朝"/>
    </w:rPr>
  </w:style>
  <w:style w:type="paragraph" w:customStyle="1" w:styleId="enf8">
    <w:name w:val="備考号（en）"/>
    <w:basedOn w:val="jaf8"/>
    <w:rsid w:val="00E500FA"/>
    <w:rPr>
      <w:rFonts w:ascii="Century" w:eastAsia="Century" w:hAnsi="Century" w:cs="Century"/>
    </w:rPr>
  </w:style>
  <w:style w:type="paragraph" w:customStyle="1" w:styleId="jaf9">
    <w:name w:val="号細分（ja）"/>
    <w:basedOn w:val="a"/>
    <w:rsid w:val="00E500FA"/>
    <w:pPr>
      <w:widowControl w:val="0"/>
      <w:ind w:left="659" w:hanging="219"/>
    </w:pPr>
    <w:rPr>
      <w:rFonts w:ascii="ＭＳ 明朝" w:eastAsia="ＭＳ 明朝" w:hAnsi="ＭＳ 明朝" w:cs="ＭＳ 明朝"/>
    </w:rPr>
  </w:style>
  <w:style w:type="paragraph" w:customStyle="1" w:styleId="enf9">
    <w:name w:val="号細分（en）"/>
    <w:basedOn w:val="jaf9"/>
    <w:rsid w:val="00E500FA"/>
    <w:rPr>
      <w:rFonts w:ascii="Century" w:eastAsia="Century" w:hAnsi="Century" w:cs="Century"/>
    </w:rPr>
  </w:style>
  <w:style w:type="paragraph" w:customStyle="1" w:styleId="jafa">
    <w:name w:val="号細分　番号なし（ja）"/>
    <w:basedOn w:val="a"/>
    <w:rsid w:val="00E500FA"/>
    <w:pPr>
      <w:widowControl w:val="0"/>
      <w:ind w:left="439"/>
    </w:pPr>
    <w:rPr>
      <w:rFonts w:ascii="ＭＳ 明朝" w:eastAsia="ＭＳ 明朝" w:hAnsi="ＭＳ 明朝" w:cs="ＭＳ 明朝"/>
    </w:rPr>
  </w:style>
  <w:style w:type="paragraph" w:customStyle="1" w:styleId="enfa">
    <w:name w:val="号細分　番号なし（en）"/>
    <w:basedOn w:val="jafa"/>
    <w:rsid w:val="00E500FA"/>
    <w:rPr>
      <w:rFonts w:ascii="Century" w:eastAsia="Century" w:hAnsi="Century" w:cs="Century"/>
    </w:rPr>
  </w:style>
  <w:style w:type="paragraph" w:customStyle="1" w:styleId="jafb">
    <w:name w:val="備考号細分（ja）"/>
    <w:basedOn w:val="a"/>
    <w:rsid w:val="00E500FA"/>
    <w:pPr>
      <w:widowControl w:val="0"/>
      <w:ind w:left="1099" w:hanging="439"/>
    </w:pPr>
    <w:rPr>
      <w:rFonts w:ascii="ＭＳ 明朝" w:eastAsia="ＭＳ 明朝" w:hAnsi="ＭＳ 明朝" w:cs="ＭＳ 明朝"/>
    </w:rPr>
  </w:style>
  <w:style w:type="paragraph" w:customStyle="1" w:styleId="enfb">
    <w:name w:val="備考号細分（en）"/>
    <w:basedOn w:val="jafb"/>
    <w:rsid w:val="00E500FA"/>
    <w:rPr>
      <w:rFonts w:ascii="Century" w:eastAsia="Century" w:hAnsi="Century" w:cs="Century"/>
    </w:rPr>
  </w:style>
  <w:style w:type="paragraph" w:customStyle="1" w:styleId="jafc">
    <w:name w:val="号細細分（ja）"/>
    <w:basedOn w:val="a"/>
    <w:rsid w:val="00E500FA"/>
    <w:pPr>
      <w:widowControl w:val="0"/>
      <w:ind w:left="1099" w:hanging="439"/>
    </w:pPr>
    <w:rPr>
      <w:rFonts w:ascii="ＭＳ 明朝" w:eastAsia="ＭＳ 明朝" w:hAnsi="ＭＳ 明朝" w:cs="ＭＳ 明朝"/>
    </w:rPr>
  </w:style>
  <w:style w:type="paragraph" w:customStyle="1" w:styleId="enfc">
    <w:name w:val="号細細分（en）"/>
    <w:basedOn w:val="jafc"/>
    <w:rsid w:val="00E500FA"/>
    <w:rPr>
      <w:rFonts w:ascii="Century" w:eastAsia="Century" w:hAnsi="Century" w:cs="Century"/>
    </w:rPr>
  </w:style>
  <w:style w:type="paragraph" w:customStyle="1" w:styleId="jafd">
    <w:name w:val="号細細分　番号なし（ja）"/>
    <w:basedOn w:val="a"/>
    <w:rsid w:val="00E500FA"/>
    <w:pPr>
      <w:widowControl w:val="0"/>
      <w:ind w:left="659"/>
    </w:pPr>
    <w:rPr>
      <w:rFonts w:ascii="ＭＳ 明朝" w:eastAsia="ＭＳ 明朝" w:hAnsi="ＭＳ 明朝" w:cs="ＭＳ 明朝"/>
    </w:rPr>
  </w:style>
  <w:style w:type="paragraph" w:customStyle="1" w:styleId="enfd">
    <w:name w:val="号細細分　番号なし（en）"/>
    <w:basedOn w:val="jafd"/>
    <w:rsid w:val="00E500FA"/>
    <w:rPr>
      <w:rFonts w:ascii="Century" w:eastAsia="Century" w:hAnsi="Century" w:cs="Century"/>
    </w:rPr>
  </w:style>
  <w:style w:type="paragraph" w:customStyle="1" w:styleId="jafe">
    <w:name w:val="備考号細細分（ja）"/>
    <w:basedOn w:val="a"/>
    <w:rsid w:val="00E500FA"/>
    <w:pPr>
      <w:widowControl w:val="0"/>
      <w:ind w:left="1319" w:hanging="439"/>
    </w:pPr>
    <w:rPr>
      <w:rFonts w:ascii="ＭＳ 明朝" w:eastAsia="ＭＳ 明朝" w:hAnsi="ＭＳ 明朝" w:cs="ＭＳ 明朝"/>
    </w:rPr>
  </w:style>
  <w:style w:type="paragraph" w:customStyle="1" w:styleId="enfe">
    <w:name w:val="備考号細細分（en）"/>
    <w:basedOn w:val="jafe"/>
    <w:rsid w:val="00E500FA"/>
    <w:rPr>
      <w:rFonts w:ascii="Century" w:eastAsia="Century" w:hAnsi="Century" w:cs="Century"/>
    </w:rPr>
  </w:style>
  <w:style w:type="paragraph" w:customStyle="1" w:styleId="jaff">
    <w:name w:val="号細細細分（ja）"/>
    <w:basedOn w:val="a"/>
    <w:rsid w:val="00E500FA"/>
    <w:pPr>
      <w:widowControl w:val="0"/>
      <w:ind w:left="1319" w:hanging="439"/>
    </w:pPr>
    <w:rPr>
      <w:rFonts w:ascii="ＭＳ 明朝" w:eastAsia="ＭＳ 明朝" w:hAnsi="ＭＳ 明朝" w:cs="ＭＳ 明朝"/>
    </w:rPr>
  </w:style>
  <w:style w:type="paragraph" w:customStyle="1" w:styleId="enff">
    <w:name w:val="号細細細分（en）"/>
    <w:basedOn w:val="jaff"/>
    <w:rsid w:val="00E500FA"/>
    <w:rPr>
      <w:rFonts w:ascii="Century" w:eastAsia="Century" w:hAnsi="Century" w:cs="Century"/>
    </w:rPr>
  </w:style>
  <w:style w:type="paragraph" w:customStyle="1" w:styleId="jaff0">
    <w:name w:val="号細細細分　番号なし（ja）"/>
    <w:basedOn w:val="a"/>
    <w:rsid w:val="00E500FA"/>
    <w:pPr>
      <w:widowControl w:val="0"/>
      <w:ind w:left="879"/>
    </w:pPr>
    <w:rPr>
      <w:rFonts w:ascii="ＭＳ 明朝" w:eastAsia="ＭＳ 明朝" w:hAnsi="ＭＳ 明朝" w:cs="ＭＳ 明朝"/>
    </w:rPr>
  </w:style>
  <w:style w:type="paragraph" w:customStyle="1" w:styleId="enff0">
    <w:name w:val="号細細細分　番号なし（en）"/>
    <w:basedOn w:val="jaff0"/>
    <w:rsid w:val="00E500FA"/>
    <w:rPr>
      <w:rFonts w:ascii="Century" w:eastAsia="Century" w:hAnsi="Century" w:cs="Century"/>
    </w:rPr>
  </w:style>
  <w:style w:type="paragraph" w:customStyle="1" w:styleId="jaff1">
    <w:name w:val="備考号細細細分（ja）"/>
    <w:basedOn w:val="a"/>
    <w:rsid w:val="00E500FA"/>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00FA"/>
    <w:rPr>
      <w:rFonts w:ascii="Century" w:eastAsia="Century" w:hAnsi="Century" w:cs="Century"/>
    </w:rPr>
  </w:style>
  <w:style w:type="paragraph" w:customStyle="1" w:styleId="jaff2">
    <w:name w:val="類（ja）"/>
    <w:basedOn w:val="a"/>
    <w:rsid w:val="00E500FA"/>
    <w:pPr>
      <w:widowControl w:val="0"/>
      <w:ind w:left="439" w:hanging="219"/>
    </w:pPr>
    <w:rPr>
      <w:rFonts w:ascii="ＭＳ 明朝" w:eastAsia="ＭＳ 明朝" w:hAnsi="ＭＳ 明朝" w:cs="ＭＳ 明朝"/>
    </w:rPr>
  </w:style>
  <w:style w:type="paragraph" w:customStyle="1" w:styleId="enff2">
    <w:name w:val="類（en）"/>
    <w:basedOn w:val="jaff2"/>
    <w:rsid w:val="00E500FA"/>
    <w:rPr>
      <w:rFonts w:ascii="Century" w:eastAsia="Century" w:hAnsi="Century" w:cs="Century"/>
    </w:rPr>
  </w:style>
  <w:style w:type="paragraph" w:customStyle="1" w:styleId="jaff3">
    <w:name w:val="公布文（ja）"/>
    <w:basedOn w:val="a"/>
    <w:rsid w:val="00E500FA"/>
    <w:pPr>
      <w:widowControl w:val="0"/>
      <w:ind w:firstLine="219"/>
    </w:pPr>
    <w:rPr>
      <w:rFonts w:ascii="ＭＳ 明朝" w:eastAsia="ＭＳ 明朝" w:hAnsi="ＭＳ 明朝" w:cs="ＭＳ 明朝"/>
    </w:rPr>
  </w:style>
  <w:style w:type="paragraph" w:customStyle="1" w:styleId="enff3">
    <w:name w:val="公布文（en）"/>
    <w:basedOn w:val="jaff3"/>
    <w:rsid w:val="00E500FA"/>
    <w:rPr>
      <w:rFonts w:ascii="Century" w:eastAsia="Century" w:hAnsi="Century" w:cs="Century"/>
    </w:rPr>
  </w:style>
  <w:style w:type="paragraph" w:customStyle="1" w:styleId="jaen">
    <w:name w:val="表（ja：en）"/>
    <w:basedOn w:val="a"/>
    <w:rsid w:val="00E500FA"/>
    <w:pPr>
      <w:widowControl w:val="0"/>
      <w:snapToGrid w:val="0"/>
    </w:pPr>
    <w:rPr>
      <w:rFonts w:ascii="Century" w:eastAsia="ＭＳ 明朝" w:hAnsi="Century"/>
    </w:rPr>
  </w:style>
  <w:style w:type="paragraph" w:customStyle="1" w:styleId="jaff4">
    <w:name w:val="備考（ja）"/>
    <w:basedOn w:val="a"/>
    <w:rsid w:val="00E500FA"/>
    <w:pPr>
      <w:widowControl w:val="0"/>
      <w:ind w:left="439" w:hanging="219"/>
    </w:pPr>
    <w:rPr>
      <w:rFonts w:ascii="ＭＳ 明朝" w:eastAsia="ＭＳ 明朝" w:hAnsi="ＭＳ 明朝" w:cs="ＭＳ 明朝"/>
    </w:rPr>
  </w:style>
  <w:style w:type="paragraph" w:customStyle="1" w:styleId="enff4">
    <w:name w:val="備考（en）"/>
    <w:basedOn w:val="jaff4"/>
    <w:rsid w:val="00E500FA"/>
    <w:rPr>
      <w:rFonts w:ascii="Century" w:eastAsia="Century" w:hAnsi="Century" w:cs="Century"/>
    </w:rPr>
  </w:style>
  <w:style w:type="paragraph" w:customStyle="1" w:styleId="jaff5">
    <w:name w:val="表タイトル（ja）"/>
    <w:basedOn w:val="a"/>
    <w:rsid w:val="00E500FA"/>
    <w:pPr>
      <w:widowControl w:val="0"/>
      <w:ind w:left="219"/>
    </w:pPr>
    <w:rPr>
      <w:rFonts w:ascii="ＭＳ 明朝" w:eastAsia="ＭＳ 明朝" w:hAnsi="ＭＳ 明朝" w:cs="ＭＳ 明朝"/>
    </w:rPr>
  </w:style>
  <w:style w:type="paragraph" w:customStyle="1" w:styleId="enff5">
    <w:name w:val="表タイトル（en）"/>
    <w:basedOn w:val="jaff5"/>
    <w:rsid w:val="00E500FA"/>
    <w:rPr>
      <w:rFonts w:ascii="Century" w:eastAsia="Century" w:hAnsi="Century" w:cs="Century"/>
    </w:rPr>
  </w:style>
  <w:style w:type="paragraph" w:customStyle="1" w:styleId="jaff6">
    <w:name w:val="改正規定文（ja）"/>
    <w:basedOn w:val="a"/>
    <w:rsid w:val="00E500FA"/>
    <w:pPr>
      <w:widowControl w:val="0"/>
      <w:ind w:left="219" w:firstLine="219"/>
    </w:pPr>
    <w:rPr>
      <w:rFonts w:ascii="ＭＳ 明朝" w:eastAsia="ＭＳ 明朝" w:hAnsi="ＭＳ 明朝" w:cs="ＭＳ 明朝"/>
    </w:rPr>
  </w:style>
  <w:style w:type="paragraph" w:customStyle="1" w:styleId="enff6">
    <w:name w:val="改正規定文（en）"/>
    <w:basedOn w:val="jaff6"/>
    <w:rsid w:val="00E500FA"/>
    <w:rPr>
      <w:rFonts w:ascii="Century" w:eastAsia="Century" w:hAnsi="Century" w:cs="Century"/>
    </w:rPr>
  </w:style>
  <w:style w:type="paragraph" w:customStyle="1" w:styleId="jaff7">
    <w:name w:val="付記（ja）"/>
    <w:basedOn w:val="a"/>
    <w:rsid w:val="00E500FA"/>
    <w:pPr>
      <w:widowControl w:val="0"/>
      <w:ind w:left="219" w:firstLine="219"/>
    </w:pPr>
    <w:rPr>
      <w:rFonts w:ascii="ＭＳ 明朝" w:eastAsia="ＭＳ 明朝" w:hAnsi="ＭＳ 明朝" w:cs="ＭＳ 明朝"/>
    </w:rPr>
  </w:style>
  <w:style w:type="paragraph" w:customStyle="1" w:styleId="enff7">
    <w:name w:val="付記（en）"/>
    <w:basedOn w:val="jaff7"/>
    <w:rsid w:val="00E500FA"/>
    <w:rPr>
      <w:rFonts w:ascii="Century" w:eastAsia="Century" w:hAnsi="Century" w:cs="Century"/>
    </w:rPr>
  </w:style>
  <w:style w:type="paragraph" w:customStyle="1" w:styleId="jaff8">
    <w:name w:val="様式名（ja）"/>
    <w:basedOn w:val="a"/>
    <w:rsid w:val="00E500FA"/>
    <w:pPr>
      <w:widowControl w:val="0"/>
      <w:ind w:left="439" w:hanging="219"/>
    </w:pPr>
    <w:rPr>
      <w:rFonts w:ascii="ＭＳ 明朝" w:eastAsia="ＭＳ 明朝" w:hAnsi="ＭＳ 明朝" w:cs="ＭＳ 明朝"/>
    </w:rPr>
  </w:style>
  <w:style w:type="paragraph" w:customStyle="1" w:styleId="enff8">
    <w:name w:val="様式名（en）"/>
    <w:basedOn w:val="jaff8"/>
    <w:rsid w:val="00E500FA"/>
    <w:rPr>
      <w:rFonts w:ascii="Century" w:eastAsia="Century" w:hAnsi="Century" w:cs="Century"/>
    </w:rPr>
  </w:style>
  <w:style w:type="paragraph" w:customStyle="1" w:styleId="jaff9">
    <w:name w:val="様式項目（ja）"/>
    <w:basedOn w:val="a"/>
    <w:rsid w:val="00E500FA"/>
    <w:pPr>
      <w:widowControl w:val="0"/>
      <w:ind w:left="221" w:firstLine="221"/>
    </w:pPr>
    <w:rPr>
      <w:rFonts w:ascii="ＭＳ 明朝" w:eastAsia="ＭＳ 明朝" w:hAnsi="ＭＳ 明朝" w:cs="ＭＳ 明朝"/>
    </w:rPr>
  </w:style>
  <w:style w:type="paragraph" w:customStyle="1" w:styleId="enff9">
    <w:name w:val="様式項目（en）"/>
    <w:basedOn w:val="jaff9"/>
    <w:rsid w:val="00E500FA"/>
    <w:rPr>
      <w:rFonts w:ascii="Century" w:eastAsia="Century" w:hAnsi="Century" w:cs="Century"/>
    </w:rPr>
  </w:style>
  <w:style w:type="table" w:customStyle="1" w:styleId="1">
    <w:name w:val="表1"/>
    <w:rsid w:val="00E500FA"/>
    <w:tblPr>
      <w:tblInd w:w="340" w:type="dxa"/>
      <w:tblCellMar>
        <w:top w:w="0" w:type="dxa"/>
        <w:left w:w="0" w:type="dxa"/>
        <w:bottom w:w="0" w:type="dxa"/>
        <w:right w:w="0" w:type="dxa"/>
      </w:tblCellMar>
    </w:tblPr>
  </w:style>
  <w:style w:type="numbering" w:customStyle="1" w:styleId="WW8Num1">
    <w:name w:val="WW8Num1"/>
    <w:rsid w:val="00E500FA"/>
    <w:pPr>
      <w:numPr>
        <w:numId w:val="2"/>
      </w:numPr>
    </w:pPr>
  </w:style>
  <w:style w:type="numbering" w:customStyle="1" w:styleId="WW8Num2">
    <w:name w:val="WW8Num2"/>
    <w:rsid w:val="00E500FA"/>
    <w:pPr>
      <w:numPr>
        <w:numId w:val="3"/>
      </w:numPr>
    </w:pPr>
  </w:style>
  <w:style w:type="numbering" w:customStyle="1" w:styleId="WW8Num3">
    <w:name w:val="WW8Num3"/>
    <w:rsid w:val="00E500FA"/>
    <w:pPr>
      <w:numPr>
        <w:numId w:val="4"/>
      </w:numPr>
    </w:pPr>
  </w:style>
  <w:style w:type="numbering" w:customStyle="1" w:styleId="WW8Num4">
    <w:name w:val="WW8Num4"/>
    <w:rsid w:val="00E500FA"/>
    <w:pPr>
      <w:numPr>
        <w:numId w:val="5"/>
      </w:numPr>
    </w:pPr>
  </w:style>
  <w:style w:type="numbering" w:customStyle="1" w:styleId="WW8Num5">
    <w:name w:val="WW8Num5"/>
    <w:rsid w:val="00E500FA"/>
    <w:pPr>
      <w:numPr>
        <w:numId w:val="6"/>
      </w:numPr>
    </w:pPr>
  </w:style>
  <w:style w:type="numbering" w:customStyle="1" w:styleId="WW8Num6">
    <w:name w:val="WW8Num6"/>
    <w:rsid w:val="00E500FA"/>
    <w:pPr>
      <w:numPr>
        <w:numId w:val="7"/>
      </w:numPr>
    </w:pPr>
  </w:style>
  <w:style w:type="numbering" w:customStyle="1" w:styleId="WW8Num7">
    <w:name w:val="WW8Num7"/>
    <w:rsid w:val="00E500FA"/>
    <w:pPr>
      <w:numPr>
        <w:numId w:val="8"/>
      </w:numPr>
    </w:pPr>
  </w:style>
  <w:style w:type="numbering" w:customStyle="1" w:styleId="WW8Num8">
    <w:name w:val="WW8Num8"/>
    <w:rsid w:val="00E500FA"/>
    <w:pPr>
      <w:numPr>
        <w:numId w:val="9"/>
      </w:numPr>
    </w:pPr>
  </w:style>
  <w:style w:type="numbering" w:customStyle="1" w:styleId="WW8Num9">
    <w:name w:val="WW8Num9"/>
    <w:rsid w:val="00E500FA"/>
    <w:pPr>
      <w:numPr>
        <w:numId w:val="10"/>
      </w:numPr>
    </w:pPr>
  </w:style>
  <w:style w:type="numbering" w:customStyle="1" w:styleId="WW8Num10">
    <w:name w:val="WW8Num10"/>
    <w:rsid w:val="00E500FA"/>
    <w:pPr>
      <w:numPr>
        <w:numId w:val="11"/>
      </w:numPr>
    </w:pPr>
  </w:style>
  <w:style w:type="numbering" w:customStyle="1" w:styleId="WW8Num11">
    <w:name w:val="WW8Num11"/>
    <w:rsid w:val="00E500FA"/>
    <w:pPr>
      <w:numPr>
        <w:numId w:val="12"/>
      </w:numPr>
    </w:pPr>
  </w:style>
  <w:style w:type="numbering" w:customStyle="1" w:styleId="WW8Num12">
    <w:name w:val="WW8Num12"/>
    <w:rsid w:val="00E500F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2024-03-06T06:24:00Z</dcterms:created>
  <dcterms:modified xsi:type="dcterms:W3CDTF">2024-03-06T06:24:00Z</dcterms:modified>
</cp:coreProperties>
</file>