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6C95" w:rsidRDefault="00F15425">
      <w:pPr>
        <w:pStyle w:val="ja"/>
      </w:pPr>
      <w:r>
        <w:t>貿易関係貿易外取引等に関する省令（暫定版）</w:t>
      </w:r>
    </w:p>
    <w:p w:rsidR="00A66C95" w:rsidRDefault="00A66C95"/>
    <w:p w:rsidR="00A66C95" w:rsidRDefault="00F15425">
      <w:pPr>
        <w:pStyle w:val="jaf"/>
      </w:pPr>
      <w:r>
        <w:t>（平成十年三月四日通商産業省令第八号）</w:t>
      </w:r>
    </w:p>
    <w:p w:rsidR="00A66C95" w:rsidRDefault="00A66C95"/>
    <w:p w:rsidR="00A66C95" w:rsidRDefault="00F15425">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A66C95" w:rsidRDefault="00A66C95"/>
    <w:p w:rsidR="00A66C95" w:rsidRDefault="00F15425">
      <w:pPr>
        <w:pStyle w:val="jaa"/>
      </w:pPr>
      <w:r>
        <w:t>（許可の手続等）</w:t>
      </w:r>
    </w:p>
    <w:p w:rsidR="00A66C95" w:rsidRDefault="00F15425">
      <w:pPr>
        <w:pStyle w:val="jaf3"/>
      </w:pPr>
      <w:r>
        <w:t>第一条　経済産業大臣の許可を受けようとする次の各号に掲げる者は、当該各号に掲げる様式による許可申請書二通を、経済産業大臣に提出しなければならない。</w:t>
      </w:r>
    </w:p>
    <w:p w:rsidR="00A66C95" w:rsidRDefault="00F15425">
      <w:pPr>
        <w:pStyle w:val="jaf6"/>
      </w:pPr>
      <w:r>
        <w:t>一　次のイからハまでに掲げる支払等（支払又は支払の受領をいう。以下同じ。）について許可の申請をする者　別紙様式第一による支払等許可申請書</w:t>
      </w:r>
    </w:p>
    <w:p w:rsidR="00A66C95" w:rsidRDefault="00F15425">
      <w:pPr>
        <w:pStyle w:val="jaf9"/>
      </w:pPr>
      <w:r>
        <w:t>イ　外国為替令（以下「令」という。）第六条第二項の規定による経済産業大臣の許可を受けようとする居住者又は非居住者</w:t>
      </w:r>
    </w:p>
    <w:p w:rsidR="00A66C95" w:rsidRDefault="00F15425">
      <w:pPr>
        <w:pStyle w:val="jaf9"/>
      </w:pPr>
      <w:r>
        <w:t>ロ　令第六条第二項の規定による経済産業大臣の許可を受けるに際し、同条第三項の規定により二以上の規定による許可の申請を併せて行おうとする居住者又は非居住者</w:t>
      </w:r>
    </w:p>
    <w:p w:rsidR="00A66C95" w:rsidRDefault="00F15425">
      <w:pPr>
        <w:pStyle w:val="jaf9"/>
      </w:pPr>
      <w:r>
        <w:t>ハ　令第六条の二第四項の規定による経済産業大臣の許可を受けようとする同条第三項の規定により支払等について許可を受ける義務を課された者</w:t>
      </w:r>
    </w:p>
    <w:p w:rsidR="00A66C95" w:rsidRDefault="00F15425">
      <w:pPr>
        <w:pStyle w:val="jaf6"/>
      </w:pPr>
      <w:r>
        <w:t>二　次のイからハまでに掲げる特定資本取引を行うことについて許可の申請をする者　別紙様式第二による特定資本取引許可申請書</w:t>
      </w:r>
    </w:p>
    <w:p w:rsidR="00A66C95" w:rsidRDefault="00F15425">
      <w:pPr>
        <w:pStyle w:val="jaf9"/>
      </w:pPr>
      <w:r>
        <w:t>イ　令第十五条第二項の規定による経済産業大臣の許可を受けようとする居住者</w:t>
      </w:r>
    </w:p>
    <w:p w:rsidR="00A66C95" w:rsidRDefault="00F15425">
      <w:pPr>
        <w:pStyle w:val="jaf9"/>
      </w:pPr>
      <w:r>
        <w:t>ロ　令第十五条第二項の規定によ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rsidR="00A66C95" w:rsidRDefault="00F15425">
      <w:pPr>
        <w:pStyle w:val="jaf9"/>
      </w:pPr>
      <w:r>
        <w:t>ハ　令第十六条第二項の規定による経済産業大臣の許可を受けようとする同条第一項の規定により特定資本取引について許可を受ける義務を課された者</w:t>
      </w:r>
    </w:p>
    <w:p w:rsidR="00A66C95" w:rsidRDefault="00F15425">
      <w:pPr>
        <w:pStyle w:val="jaf6"/>
      </w:pPr>
      <w:r>
        <w:t>三　次のイ及びロに掲げる役務取引を行うことについて許可の申請をする者　別紙様式第三による役務取引許可申請書</w:t>
      </w:r>
    </w:p>
    <w:p w:rsidR="00A66C95" w:rsidRDefault="00F15425">
      <w:pPr>
        <w:pStyle w:val="jaf9"/>
      </w:pPr>
      <w:r>
        <w:t>イ　法第二十五条第一項若しくは第五項又は令第十八条第四項（役務取引に係るものに限る。）の規定による経済産業大臣の許可を受けようとする居住者又は非居住者</w:t>
      </w:r>
    </w:p>
    <w:p w:rsidR="00A66C95" w:rsidRDefault="00F15425">
      <w:pPr>
        <w:pStyle w:val="jaf9"/>
      </w:pPr>
      <w:r>
        <w:t>ロ　令第十八条の三第二項の規定による経済産業大臣の許可を受けようとする同条第一項の規定により役務取引について許可を受ける義務を課された者</w:t>
      </w:r>
    </w:p>
    <w:p w:rsidR="00A66C95" w:rsidRDefault="00F15425">
      <w:pPr>
        <w:pStyle w:val="jaf6"/>
      </w:pPr>
      <w:r>
        <w:lastRenderedPageBreak/>
        <w:t>三の二　令第十七条第二項の規定により法第二十五条第三項第一号に定める行為をすることについて許可の申請をする者　別紙様式第三の二による特定記録媒体等輸出等許可申請書</w:t>
      </w:r>
    </w:p>
    <w:p w:rsidR="00A66C95" w:rsidRDefault="00F15425">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A66C95" w:rsidRDefault="00F15425">
      <w:pPr>
        <w:pStyle w:val="jaf9"/>
      </w:pPr>
      <w:r>
        <w:t>イ　法第二十五条第四項又は令第十八条第四項（仲介貿易取引に係るものに限る。）の規定による経済産業大臣の許可を受けようとする居住者</w:t>
      </w:r>
    </w:p>
    <w:p w:rsidR="00A66C95" w:rsidRDefault="00F15425">
      <w:pPr>
        <w:pStyle w:val="jaf9"/>
      </w:pPr>
      <w:r>
        <w:t>ロ　令第十八条の三第二項の規定による経済産業大臣の許可を受けようとする同条第一項の規定により仲介貿易取引について許可を受ける義務を課された者</w:t>
      </w:r>
    </w:p>
    <w:p w:rsidR="00A66C95" w:rsidRDefault="00F15425">
      <w:pPr>
        <w:pStyle w:val="jaf4"/>
      </w:pPr>
      <w:r>
        <w:t>２　前項の申請書には、申請の理由を記載した書類一通及び事実を証する書類一通を添付しなければならない。</w:t>
      </w:r>
    </w:p>
    <w:p w:rsidR="00A66C95" w:rsidRDefault="00F15425">
      <w:pPr>
        <w:pStyle w:val="jaf4"/>
      </w:pPr>
      <w:r>
        <w:t>３　経済産業大臣は、第一項の申請（第三条の手続による場合を除く。）を許可したときは、当該申請書にその旨を記入し、許可証としてそのうち一通を申請者に交付するものとする。</w:t>
      </w:r>
    </w:p>
    <w:p w:rsidR="00A66C95" w:rsidRDefault="00A66C95"/>
    <w:p w:rsidR="00A66C95" w:rsidRDefault="00F15425">
      <w:pPr>
        <w:pStyle w:val="jaa"/>
      </w:pPr>
      <w:r>
        <w:t>（電子情報処理組織を使用した許可の手続等）</w:t>
      </w:r>
    </w:p>
    <w:p w:rsidR="00A66C95" w:rsidRDefault="00F15425">
      <w:pPr>
        <w:pStyle w:val="jaf3"/>
      </w:pPr>
      <w:r>
        <w:t>第一条の二　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会社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A66C95" w:rsidRDefault="00F15425">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A66C95" w:rsidRDefault="00F15425">
      <w:pPr>
        <w:pStyle w:val="jaf4"/>
      </w:pPr>
      <w:r>
        <w:t>３　経済産業大臣は、第一項の申請をする者が前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A66C95" w:rsidRDefault="00F15425">
      <w:pPr>
        <w:pStyle w:val="jaf4"/>
      </w:pPr>
      <w:r>
        <w:t>４　経済産業大臣は、第一項の申請を許可したときは、別紙様式第六の二による役務取引許可証に記載すべき事項を専用電子計算機に備えられたファイルに記録するものとする。</w:t>
      </w:r>
    </w:p>
    <w:p w:rsidR="00A66C95" w:rsidRDefault="00F15425">
      <w:pPr>
        <w:pStyle w:val="jaf4"/>
      </w:pPr>
      <w:r>
        <w:t>５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A66C95" w:rsidRDefault="00A66C95"/>
    <w:p w:rsidR="00A66C95" w:rsidRDefault="00F15425">
      <w:pPr>
        <w:pStyle w:val="jaa"/>
      </w:pPr>
      <w:r>
        <w:t>（申請者の届出）</w:t>
      </w:r>
    </w:p>
    <w:p w:rsidR="00A66C95" w:rsidRDefault="00F15425">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A66C95" w:rsidRDefault="00F15425">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出なければならない。</w:t>
      </w:r>
    </w:p>
    <w:p w:rsidR="00A66C95" w:rsidRDefault="00F15425">
      <w:pPr>
        <w:pStyle w:val="jaf4"/>
      </w:pPr>
      <w:r>
        <w:t>３　経済産業大臣は、第一項の届出をした者が電子情報処理組織の使用を継続することが適当でないと認めるときは、電子情報処理組織の使用を停止することができる。</w:t>
      </w:r>
    </w:p>
    <w:p w:rsidR="00A66C95" w:rsidRDefault="00F15425">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A66C95" w:rsidRDefault="00A66C95"/>
    <w:p w:rsidR="00A66C95" w:rsidRDefault="00F15425">
      <w:pPr>
        <w:pStyle w:val="jaa"/>
      </w:pPr>
      <w:r>
        <w:t>（有効期間の延長の手続等）</w:t>
      </w:r>
    </w:p>
    <w:p w:rsidR="00A66C95" w:rsidRDefault="00F15425">
      <w:pPr>
        <w:pStyle w:val="jaf3"/>
      </w:pPr>
      <w:r>
        <w:t>第二条　法第二十五条第一項、第四項若しくは第五項又は令第六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A66C95" w:rsidRDefault="00F15425">
      <w:pPr>
        <w:pStyle w:val="jaf4"/>
      </w:pPr>
      <w:r>
        <w:t>２　経済産業大臣は、特に必要があると認めるときは、前項に規定する許可について、同項の期間と異なる有効期間を定め、又はその有効期間を延長することができる。</w:t>
      </w:r>
    </w:p>
    <w:p w:rsidR="00A66C95" w:rsidRDefault="00F15425">
      <w:pPr>
        <w:pStyle w:val="jaf4"/>
      </w:pPr>
      <w:r>
        <w:t>３　次の各号に掲げる者は、当該各号に掲げる場合に該当するときは、別紙様式第五による申請書二通を経済産業大臣に提出しなければならない。</w:t>
      </w:r>
    </w:p>
    <w:p w:rsidR="00A66C95" w:rsidRDefault="00F15425">
      <w:pPr>
        <w:pStyle w:val="jaf6"/>
      </w:pPr>
      <w:r>
        <w:t>一　第一項に規定する許可を受けた者が前項の規定による有効期間の延長を申請しようとする場合</w:t>
      </w:r>
    </w:p>
    <w:p w:rsidR="00A66C95" w:rsidRDefault="00F15425">
      <w:pPr>
        <w:pStyle w:val="jaf6"/>
      </w:pPr>
      <w:r>
        <w:t>二　第一項に規定する許可を受けた者が当該許可に係る取引又は支払等の内容（当該許可証に記載された事項に限る。）の変更を申請しようとする場合</w:t>
      </w:r>
    </w:p>
    <w:p w:rsidR="00A66C95" w:rsidRDefault="00F15425">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A66C95" w:rsidRDefault="00F15425">
      <w:pPr>
        <w:pStyle w:val="jaf4"/>
      </w:pPr>
      <w:r>
        <w:t>５　経済産業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する。</w:t>
      </w:r>
    </w:p>
    <w:p w:rsidR="00A66C95" w:rsidRDefault="00A66C95"/>
    <w:p w:rsidR="00A66C95" w:rsidRDefault="00F15425">
      <w:pPr>
        <w:pStyle w:val="jaa"/>
      </w:pPr>
      <w:r>
        <w:t>（電子情報処理組織を使用した有効期間の延長の手続等）</w:t>
      </w:r>
    </w:p>
    <w:p w:rsidR="00A66C95" w:rsidRDefault="00F15425">
      <w:pPr>
        <w:pStyle w:val="jaf3"/>
      </w:pPr>
      <w:r>
        <w:t>第二条の二　第一条の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A66C95" w:rsidRDefault="00F15425">
      <w:pPr>
        <w:pStyle w:val="jaf6"/>
      </w:pPr>
      <w:r>
        <w:t>一　前条第二項の規定による有効期間の延長を申請しようとする場合</w:t>
      </w:r>
    </w:p>
    <w:p w:rsidR="00A66C95" w:rsidRDefault="00F15425">
      <w:pPr>
        <w:pStyle w:val="jaf6"/>
      </w:pPr>
      <w:r>
        <w:t>二　当該許可に係る取引又は支払等の内容（当該許可に関し専用電子計算機に備えられたファイルに記録された事項に限る。）の変更を申請しようとする場合</w:t>
      </w:r>
    </w:p>
    <w:p w:rsidR="00A66C95" w:rsidRDefault="00F15425">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A66C95" w:rsidRDefault="00F15425">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A66C95" w:rsidRDefault="00F15425">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A66C95" w:rsidRDefault="00A66C95"/>
    <w:p w:rsidR="00A66C95" w:rsidRDefault="00F15425">
      <w:pPr>
        <w:pStyle w:val="jaf3"/>
      </w:pPr>
      <w:r>
        <w:t>第三条から第六条まで　削除</w:t>
      </w:r>
    </w:p>
    <w:p w:rsidR="00A66C95" w:rsidRDefault="00A66C95"/>
    <w:p w:rsidR="00A66C95" w:rsidRDefault="00F15425">
      <w:pPr>
        <w:pStyle w:val="jaa"/>
      </w:pPr>
      <w:r>
        <w:t>（特別の許可の申請手続等）</w:t>
      </w:r>
    </w:p>
    <w:p w:rsidR="00A66C95" w:rsidRDefault="00F15425">
      <w:pPr>
        <w:pStyle w:val="jaf3"/>
      </w:pPr>
      <w:r>
        <w:t>第七条　経済産業大臣は、必要があるときは、次の各号に掲げる手続について、この省令の規定にかかわらず、特別な手続を定めることができる。</w:t>
      </w:r>
    </w:p>
    <w:p w:rsidR="00A66C95" w:rsidRDefault="00F15425">
      <w:pPr>
        <w:pStyle w:val="jaf6"/>
      </w:pPr>
      <w:r>
        <w:t>一　法第二十五条第一項、第四項若しくは第五項又は令第六条第二項、第六条の二第四項、第十五条第二項、第十六条第二項、第十七条第二項、第十八条第四項若しくは第十八条の三第二項の規定による経済産業大臣の許可を受ける手続</w:t>
      </w:r>
    </w:p>
    <w:p w:rsidR="00A66C95" w:rsidRDefault="00F15425">
      <w:pPr>
        <w:pStyle w:val="jaf6"/>
      </w:pPr>
      <w:r>
        <w:t>二　第一条の三の規定による経済産業大臣への届出の手続</w:t>
      </w:r>
    </w:p>
    <w:p w:rsidR="00A66C95" w:rsidRDefault="00F15425">
      <w:pPr>
        <w:pStyle w:val="jaf6"/>
      </w:pPr>
      <w:r>
        <w:t>三　第二条の規定による経済産業大臣の許可を受ける手続</w:t>
      </w:r>
    </w:p>
    <w:p w:rsidR="00A66C95" w:rsidRDefault="00A66C95"/>
    <w:p w:rsidR="00A66C95" w:rsidRDefault="00F15425">
      <w:pPr>
        <w:pStyle w:val="jaa"/>
      </w:pPr>
      <w:r>
        <w:t>（銀行等、資金移動業者又は電子決済手段等取引業者等の確認事務の実施手続）</w:t>
      </w:r>
    </w:p>
    <w:p w:rsidR="00A66C95" w:rsidRDefault="00F15425">
      <w:pPr>
        <w:pStyle w:val="jaf3"/>
      </w:pPr>
      <w:r>
        <w:t>第八条　銀行等（法第十六条の二に規定する銀行等をいう。以下同じ。）、資金移動業者（資金決済に関する法律（平成二十一年法律第五十九号）第二条第三項に規定する資金移動業者をいう。以下同じ。）又は電子決済手段等取引業者（法第十六条の二に規定する電子決済手段等取引業者等をいう。以下同じ。）は、その顧客の支払等が法第十七条第一号に掲げる支払等又は同条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又は当該顧客の当該支払等に係る電子決済手段等の移転等（法第十六条の二に規定する電子決済手段等の移転等をいう。以下同じ。）を行うものとする。</w:t>
      </w:r>
    </w:p>
    <w:p w:rsidR="00A66C95" w:rsidRDefault="00F15425">
      <w:pPr>
        <w:pStyle w:val="jaf4"/>
      </w:pPr>
      <w:r>
        <w:t>２　銀行等、資金移動業者又は電子決済手段等取引業者等は、その顧客の支払等が法第十七条第三号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又は当該顧客の当該支払等に係る電子決済手段等の移転等を行うものとする。</w:t>
      </w:r>
    </w:p>
    <w:p w:rsidR="00A66C95" w:rsidRDefault="00F15425">
      <w:pPr>
        <w:pStyle w:val="jaf4"/>
      </w:pPr>
      <w:r>
        <w:t>３　銀行等、資金移動業者又は電子決済手段等取引業者等は、前二項の規定による確認の上その顧客と支払等に係る為替取引又はその顧客の支払等に係る電子決済手段等の移転等を行ったときは、当該顧客から提示を受けた許可証等又は輸入承認証の裏面の「銀行等、資金移動業者又は電子決済手段等取引業者等の記載欄」に当該支払等に係る為替取引又は当該支払等に係る電子決済手段等の移転等を行った年月日、金額及び確認を行った者を記入の上、当該許可証等又は輸入承認証を当該顧客に返還するものとする。</w:t>
      </w:r>
    </w:p>
    <w:p w:rsidR="00A66C95" w:rsidRDefault="00A66C95"/>
    <w:p w:rsidR="00A66C95" w:rsidRDefault="00F15425">
      <w:pPr>
        <w:pStyle w:val="jaa"/>
      </w:pPr>
      <w:r>
        <w:t>（許可を要しない役務取引等）</w:t>
      </w:r>
    </w:p>
    <w:p w:rsidR="00A66C95" w:rsidRDefault="00F15425">
      <w:pPr>
        <w:pStyle w:val="jaf3"/>
      </w:pPr>
      <w:r>
        <w:t>第九条　令第十七条第二項に規定する経済産業大臣が指定する行為は、次の各号のいずれかに該当する行為とする。</w:t>
      </w:r>
    </w:p>
    <w:p w:rsidR="00A66C95" w:rsidRDefault="00F15425">
      <w:pPr>
        <w:pStyle w:val="jaf6"/>
      </w:pPr>
      <w:r>
        <w:t>一　次項各号に掲げる取引に関する行為</w:t>
      </w:r>
    </w:p>
    <w:p w:rsidR="00A66C95" w:rsidRDefault="00F15425">
      <w:pPr>
        <w:pStyle w:val="jaf6"/>
      </w:pPr>
      <w:r>
        <w:t>二　法第二十五条第一項の許可を受けた居住者からその許可された取引により技術の提供を受けた者が行う当該許可に係る取引に関する行為</w:t>
      </w:r>
    </w:p>
    <w:p w:rsidR="00A66C95" w:rsidRDefault="00F15425">
      <w:pPr>
        <w:pStyle w:val="jaf4"/>
      </w:pPr>
      <w:r>
        <w:t>２　令第十七条第五項に規定する経済産業大臣が指定する取引は、次の各号のいずれかに該当する取引とする。</w:t>
      </w:r>
    </w:p>
    <w:p w:rsidR="00A66C95" w:rsidRDefault="00F15425">
      <w:pPr>
        <w:pStyle w:val="jaf6"/>
      </w:pPr>
      <w:r>
        <w:t>一　経済産業大臣が行う取引</w:t>
      </w:r>
    </w:p>
    <w:p w:rsidR="00A66C95" w:rsidRDefault="00F15425">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A66C95" w:rsidRDefault="00F15425">
      <w:pPr>
        <w:pStyle w:val="jaf6"/>
      </w:pPr>
      <w:r>
        <w:t>二の二　令別表中欄に掲げる技術を外国において防衛大臣に提供することを目的とする取引であって、居住者が行うもの</w:t>
      </w:r>
    </w:p>
    <w:p w:rsidR="00A66C95" w:rsidRDefault="00F15425">
      <w:pPr>
        <w:pStyle w:val="jaf6"/>
      </w:pPr>
      <w:r>
        <w:t>三　日本国政府が外国政府に対して行う賠償又は無償の経済協力若しくは技術協力に関する協定に基づいて居住者又は非居住者が行う役務取引</w:t>
      </w:r>
    </w:p>
    <w:p w:rsidR="00A66C95" w:rsidRDefault="00F15425">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A66C95" w:rsidRDefault="00F15425">
      <w:pPr>
        <w:pStyle w:val="jaf6"/>
      </w:pPr>
      <w:r>
        <w:t>三の三　化学兵器の禁止及び特定物質の規制等に関する法律（平成七年法律第六十五号）第三十条で規定する国際機関の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A66C95" w:rsidRDefault="00F15425">
      <w:pPr>
        <w:pStyle w:val="jaf6"/>
      </w:pPr>
      <w:r>
        <w:t>四　法第二十五条第一項に規定する取引を行おうとする者が当該取引に係る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A66C95" w:rsidRDefault="00F15425">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当該外国以外の外国にある電気通信設備から行う当該技術を内容とする情報の送信を伴う取引であって、居住者が行うものを除く。</w:t>
      </w:r>
    </w:p>
    <w:p w:rsidR="00A66C95" w:rsidRDefault="00F15425">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A66C95" w:rsidRDefault="00F15425">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メートル以上のもの（以下「核兵器等」という。）の開発、製造、使用又は貯蔵（以下「開発等」という。）のために利用されるおそれがある場合として経済産業大臣が告示で定めるとき</w:t>
      </w:r>
    </w:p>
    <w:p w:rsidR="00A66C95" w:rsidRDefault="00F15425">
      <w:pPr>
        <w:pStyle w:val="jaf9"/>
      </w:pPr>
      <w:r>
        <w:t>ロ　当該技術が核兵器等の開発等のために利用されるおそれがある場合として経済産業大臣から許可の申請をすべき旨の通知を受けたとき</w:t>
      </w:r>
    </w:p>
    <w:p w:rsidR="00A66C95" w:rsidRDefault="00F15425">
      <w:pPr>
        <w:pStyle w:val="jaf6"/>
      </w:pPr>
      <w:r>
        <w:t>七　前号に掲げるもののほか、令別表の一六の項に掲げる技術を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rsidR="00A66C95" w:rsidRDefault="00F15425">
      <w:pPr>
        <w:pStyle w:val="jaf9"/>
      </w:pPr>
      <w:r>
        <w:t>イ　その技術が核兵器等の開発等のために利用されるおそれがある場合として経済産業大臣が告示で定めるとき。</w:t>
      </w:r>
    </w:p>
    <w:p w:rsidR="00A66C95" w:rsidRDefault="00F15425">
      <w:pPr>
        <w:pStyle w:val="jaf9"/>
      </w:pPr>
      <w:r>
        <w:t>ロ　その技術が核兵器等の開発等のために利用されるおそれがあるものとして経済産業大臣から許可の申請をすべき旨の通知を受けたとき。</w:t>
      </w:r>
    </w:p>
    <w:p w:rsidR="00A66C95" w:rsidRDefault="00F15425">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rsidR="00A66C95" w:rsidRDefault="00F15425">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A66C95" w:rsidRDefault="00F15425">
      <w:pPr>
        <w:pStyle w:val="jaf6"/>
      </w:pPr>
      <w:r>
        <w:t>八　削除</w:t>
      </w:r>
    </w:p>
    <w:p w:rsidR="00A66C95" w:rsidRDefault="00F15425">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rsidR="00A66C95" w:rsidRDefault="00F15425">
      <w:pPr>
        <w:pStyle w:val="jaf9"/>
      </w:pPr>
      <w:r>
        <w:t>イ　新聞、書籍、雑誌、カタログ、電気通信ネットワーク上のファイル等により、既に不特定多数の者に対して公開されている技術を提供する取引</w:t>
      </w:r>
    </w:p>
    <w:p w:rsidR="00A66C95" w:rsidRDefault="00F15425">
      <w:pPr>
        <w:pStyle w:val="jaf9"/>
      </w:pPr>
      <w:r>
        <w:t>ロ　学会誌、公開特許情報、公開シンポジウムの議事録等不特定多数の者が入手可能な技術を提供する取引</w:t>
      </w:r>
    </w:p>
    <w:p w:rsidR="00A66C95" w:rsidRDefault="00F15425">
      <w:pPr>
        <w:pStyle w:val="jaf9"/>
      </w:pPr>
      <w:r>
        <w:t>ハ　工場の見学コース、講演会、展示会等において不特定多数の者が入手又は聴講可能な技術を提供する取引</w:t>
      </w:r>
    </w:p>
    <w:p w:rsidR="00A66C95" w:rsidRDefault="00F15425">
      <w:pPr>
        <w:pStyle w:val="jaf9"/>
      </w:pPr>
      <w:r>
        <w:t>ニ　ソースコードが公開されているプログラムを提供する取引</w:t>
      </w:r>
    </w:p>
    <w:p w:rsidR="00A66C95" w:rsidRDefault="00F15425">
      <w:pPr>
        <w:pStyle w:val="jaf9"/>
      </w:pPr>
      <w:r>
        <w:t>ホ　学会発表用の原稿又は展示会等での配布資料の送付、雑誌への投稿等、当該技術を不特定多数の者が入手又は閲覧可能とすることを目的とする取引</w:t>
      </w:r>
    </w:p>
    <w:p w:rsidR="00A66C95" w:rsidRDefault="00F15425">
      <w:pPr>
        <w:pStyle w:val="jaf6"/>
      </w:pPr>
      <w:r>
        <w:t>十　基礎科学分野の研究活動において技術を提供する取引</w:t>
      </w:r>
    </w:p>
    <w:p w:rsidR="00A66C95" w:rsidRDefault="00F15425">
      <w:pPr>
        <w:pStyle w:val="jaf6"/>
      </w:pPr>
      <w:r>
        <w:t>十一　工業所有権の出願又は登録を行うために、当該出願又は登録に必要な最小限の技術を提供する取引</w:t>
      </w:r>
    </w:p>
    <w:p w:rsidR="00A66C95" w:rsidRDefault="00F15425">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A66C95" w:rsidRDefault="00F15425">
      <w:pPr>
        <w:pStyle w:val="jaf9"/>
      </w:pPr>
      <w:r>
        <w:t>イ　当該貨物の性能、特性が当初提供したものよりも向上するもの</w:t>
      </w:r>
    </w:p>
    <w:p w:rsidR="00A66C95" w:rsidRDefault="00F15425">
      <w:pPr>
        <w:pStyle w:val="jaf9"/>
      </w:pPr>
      <w:r>
        <w:t>ロ　修理技術であって、その内容が当該貨物の設計、製造技術と同等のもの</w:t>
      </w:r>
    </w:p>
    <w:p w:rsidR="00A66C95" w:rsidRDefault="00F15425">
      <w:pPr>
        <w:pStyle w:val="jaf9"/>
      </w:pPr>
      <w:r>
        <w:t>ハ　令別表中欄に掲げる技術であって、貨物の設計、製造に必要な技術が含まれるもの</w:t>
      </w:r>
    </w:p>
    <w:p w:rsidR="00A66C95" w:rsidRDefault="00F15425">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rsidR="00A66C95" w:rsidRDefault="00F15425">
      <w:pPr>
        <w:pStyle w:val="jaf9"/>
      </w:pPr>
      <w:r>
        <w:t>イ　プログラムの機能、特性が当初提供したものよりも向上するもの</w:t>
      </w:r>
    </w:p>
    <w:p w:rsidR="00A66C95" w:rsidRDefault="00F15425">
      <w:pPr>
        <w:pStyle w:val="jaf9"/>
      </w:pPr>
      <w:r>
        <w:t>ロ　修理技術であって、その内容がプログラムの設計、製造技術と同等のもの</w:t>
      </w:r>
    </w:p>
    <w:p w:rsidR="00A66C95" w:rsidRDefault="00F15425">
      <w:pPr>
        <w:pStyle w:val="jaf9"/>
      </w:pPr>
      <w:r>
        <w:t>ハ　令別表中欄に掲げる技術であって、プログラムの設計、製造に必要な技術が含まれるもの</w:t>
      </w:r>
    </w:p>
    <w:p w:rsidR="00A66C95" w:rsidRDefault="00F15425">
      <w:pPr>
        <w:pStyle w:val="jaf6"/>
      </w:pPr>
      <w:r>
        <w:t>十四　プログラムを提供する取引であって、次のいずれかに該当するもの</w:t>
      </w:r>
    </w:p>
    <w:p w:rsidR="00A66C95" w:rsidRDefault="00F15425">
      <w:pPr>
        <w:pStyle w:val="jaf9"/>
      </w:pPr>
      <w:r>
        <w:t>イ　令別表中欄に掲げるプログラム（経済産業大臣が告示で定めるものを除く。）であって、次の（一）及び（二）に該当するものを提供する取引。ただ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rsidR="00A66C95" w:rsidRDefault="00F15425">
      <w:pPr>
        <w:pStyle w:val="jafd"/>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A66C95" w:rsidRDefault="00F15425">
      <w:pPr>
        <w:pStyle w:val="jafd"/>
      </w:pPr>
      <w:r>
        <w:t>（二）　当該プログラムの使用に際して当該プログラムの供給者又は販売店の技術支援が不要であるように設計されているもの</w:t>
      </w:r>
    </w:p>
    <w:p w:rsidR="00A66C95" w:rsidRDefault="00F15425">
      <w:pPr>
        <w:pStyle w:val="jaf9"/>
      </w:pPr>
      <w:r>
        <w:t>ロ　削除</w:t>
      </w:r>
    </w:p>
    <w:p w:rsidR="00A66C95" w:rsidRDefault="00F15425">
      <w:pPr>
        <w:pStyle w:val="jaf9"/>
      </w:pPr>
      <w:r>
        <w:t>ハ　輸出令別表第一の中欄に掲げる貨物（経済産業大臣が告示で定めるものを除く。）と同時に提供される当該貨物を使用するために特別に設計されたプログラムであって、いかなる形でもソースコードが提供されないものを提供する取引</w:t>
      </w:r>
    </w:p>
    <w:p w:rsidR="00A66C95" w:rsidRDefault="00F15425">
      <w:pPr>
        <w:pStyle w:val="jaf9"/>
      </w:pPr>
      <w:r>
        <w:t>ニ　役務取引許可を受けて提供したプログラムについて、次の（一）又は（二）に該当するプログラムを当初役務取引許可を受けた取引の相手方又は利用する者に対して提供する取引</w:t>
      </w:r>
    </w:p>
    <w:p w:rsidR="00A66C95" w:rsidRDefault="00F15425">
      <w:pPr>
        <w:pStyle w:val="jafd"/>
      </w:pPr>
      <w:r>
        <w:t>（一）　許可を受けた範囲を超えない機能修正を行ったもの又は機能修正を行うためのもの</w:t>
      </w:r>
    </w:p>
    <w:p w:rsidR="00A66C95" w:rsidRDefault="00F15425">
      <w:pPr>
        <w:pStyle w:val="jafd"/>
      </w:pPr>
      <w:r>
        <w:t>（二）　本邦から輸出された貨物を本邦において修理した後再輸出される貨物と同時に提供されるプログラムであって、役務取引許可を受けて提供したものと同一のもの</w:t>
      </w:r>
    </w:p>
    <w:p w:rsidR="00A66C95" w:rsidRDefault="00F15425">
      <w:pPr>
        <w:pStyle w:val="jaf9"/>
      </w:pPr>
      <w:r>
        <w:t>ホ　令別表の二又は四から一五までの項の中欄に掲げるプログラム（オブジェクトコードのものに限り、経済産業大臣が告示で定めるものを除く。）の取引であって、貨物（輸出令別表第一の二又は四から一五までの項の中欄に掲げるものに限る。）の輸出に付随する据付、操作、保守若しくは修理のための必要最小限のもののうち、当該貨物の買主、荷受人又は需要者に対して提供する取引（輸出の許可を受けた日又は貨物の輸出契約の発効した日のいずれか遅い日以降に提供するものに限り、当該貨物の性能若しくは特性が当初提供したものより向上するもの又は当該貨物に対して新たな機能若しくは特性を提供するものを除く。）</w:t>
      </w:r>
    </w:p>
    <w:p w:rsidR="00A66C95" w:rsidRDefault="00F15425">
      <w:pPr>
        <w:pStyle w:val="jaf9"/>
      </w:pPr>
      <w:r>
        <w:t>ヘ　令別表の二又は四から一五までの項の中欄に掲げるプログラム（オブジェクトコードのものに限り、経済産業大臣が告示で定めるものを除く。）の取引であって、プログラム（同表の二又は四から一五までの項の中欄に掲げるものに限る。）の提供に付随するインストール、操作、保守若しくは修理のための必要最小限のもののうち、当該提供に係るプログラムの取引の相手方又は利用する者に対して提供する取引（役務取引の許可を受けた日又は当該提供に係るプログラムの提供契約の発効した日のいずれか遅い日以降に提供するものに限り、当該提供に係るプログラムの性能若しくは特性が当初提供したものより向上するもの又は当該提供に係るプログラムに対して新たな機能若しくは特性を提供するものを除く。）</w:t>
      </w:r>
    </w:p>
    <w:p w:rsidR="00A66C95" w:rsidRDefault="00F15425">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A66C95" w:rsidRDefault="00F15425">
      <w:pPr>
        <w:pStyle w:val="jaf6"/>
      </w:pPr>
      <w:r>
        <w:t>十六　暗号メカニズム若しくは暗号アルゴリズム又はこれらの参照コードを提供する取引であって、国際標準の策定のための国際会議への出席又は提案若しくは意見表明において必要となるもの</w:t>
      </w:r>
    </w:p>
    <w:p w:rsidR="00A66C95" w:rsidRDefault="00F15425">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rsidR="00A66C95" w:rsidRDefault="00F15425">
      <w:pPr>
        <w:pStyle w:val="jaf6"/>
      </w:pPr>
      <w:r>
        <w:t>一　令第十八条第一項に掲げる役務取引のうち、鉱産物（核原料物質及び核燃料物質を除く。）の加工又は貯蔵に係るもの及び当該役務取引の対価が一千万円相当額以内のもの</w:t>
      </w:r>
    </w:p>
    <w:p w:rsidR="00A66C95" w:rsidRDefault="00F15425">
      <w:pPr>
        <w:pStyle w:val="jaf6"/>
      </w:pPr>
      <w:r>
        <w:t>二　前項第一号から第三号までに掲げる取引</w:t>
      </w:r>
    </w:p>
    <w:p w:rsidR="00A66C95" w:rsidRDefault="00A66C95"/>
    <w:p w:rsidR="00A66C95" w:rsidRDefault="00F15425">
      <w:pPr>
        <w:pStyle w:val="jaa"/>
      </w:pPr>
      <w:r>
        <w:t>（報告）</w:t>
      </w:r>
    </w:p>
    <w:p w:rsidR="00A66C95" w:rsidRDefault="00F15425">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A66C95" w:rsidRDefault="00F15425">
      <w:pPr>
        <w:pStyle w:val="jaf4"/>
      </w:pPr>
      <w:r>
        <w:t>２　令第十八条の六第一項に規定する経済産業省令で定める特定資本取引は、令第十四条第一項各号及び同条第二項の規定により読み替えて適用する同条第一項各号に掲げる契約に基づく取引とする。</w:t>
      </w:r>
    </w:p>
    <w:p w:rsidR="00A66C95" w:rsidRDefault="00F15425">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A66C95" w:rsidRDefault="00F15425">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A66C95" w:rsidRDefault="00F15425">
      <w:pPr>
        <w:pStyle w:val="jaf4"/>
      </w:pPr>
      <w:r>
        <w:t>５　前二項の命令を受けた者は、遅滞なく、報告書を提出しなければならない。</w:t>
      </w:r>
    </w:p>
    <w:p w:rsidR="00A66C95" w:rsidRDefault="00A66C95"/>
    <w:p w:rsidR="00A66C95" w:rsidRDefault="00F15425">
      <w:pPr>
        <w:pStyle w:val="jaa"/>
      </w:pPr>
      <w:r>
        <w:t>（通知の送達等）</w:t>
      </w:r>
    </w:p>
    <w:p w:rsidR="00A66C95" w:rsidRDefault="00F15425">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A66C95" w:rsidRDefault="00F15425">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A66C95" w:rsidRDefault="00F15425">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A66C95" w:rsidRDefault="00F15425">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A66C95" w:rsidRDefault="00F15425">
      <w:pPr>
        <w:pStyle w:val="jaf4"/>
      </w:pPr>
      <w:r>
        <w:t>５　次の各号に掲げる場合には、第一項の交付送達は、前項の規定による交付に代え、当該各号に定める行為により行うことができる。</w:t>
      </w:r>
    </w:p>
    <w:p w:rsidR="00A66C95" w:rsidRDefault="00F15425">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A66C95" w:rsidRDefault="00F15425">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A66C95" w:rsidRDefault="00F15425">
      <w:pPr>
        <w:pStyle w:val="jaf4"/>
      </w:pPr>
      <w:r>
        <w:t>６　第一項から第五項までの規定は、経済産業大臣が令第六条の二第五項、第十六条第三項又は第十八条の三第三項の規定による通知を行おうとする場合について準用する。</w:t>
      </w:r>
    </w:p>
    <w:p w:rsidR="00A66C95" w:rsidRDefault="00A66C95"/>
    <w:p w:rsidR="00A66C95" w:rsidRDefault="00F15425">
      <w:pPr>
        <w:pStyle w:val="jaa"/>
      </w:pPr>
      <w:r>
        <w:t>（経済産業大臣に対する税関長の通知）</w:t>
      </w:r>
    </w:p>
    <w:p w:rsidR="00A66C95" w:rsidRDefault="00F15425">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A66C95" w:rsidRDefault="00F15425">
      <w:pPr>
        <w:pStyle w:val="jaf6"/>
      </w:pPr>
      <w:r>
        <w:t>一　特定記録媒体等の輸出者の氏名又は名称及び住所</w:t>
      </w:r>
    </w:p>
    <w:p w:rsidR="00A66C95" w:rsidRDefault="00F15425">
      <w:pPr>
        <w:pStyle w:val="jaf6"/>
      </w:pPr>
      <w:r>
        <w:t>二　特定記録媒体等の仕向地</w:t>
      </w:r>
    </w:p>
    <w:p w:rsidR="00A66C95" w:rsidRDefault="00F15425">
      <w:pPr>
        <w:pStyle w:val="jaf6"/>
      </w:pPr>
      <w:r>
        <w:t>三　特定記録媒体等を積み込もうとする船舶又は航空機の名称又は登録番号</w:t>
      </w:r>
    </w:p>
    <w:p w:rsidR="00A66C95" w:rsidRDefault="00F15425">
      <w:pPr>
        <w:pStyle w:val="jaf6"/>
      </w:pPr>
      <w:r>
        <w:t>四　前各号に掲げる事項のほか、税関申告番号、令第十七条第二項の規定による許可に係る許可番号その他税関長への輸出の申告に係る事項</w:t>
      </w:r>
    </w:p>
    <w:p w:rsidR="00A66C95" w:rsidRDefault="00A66C95"/>
    <w:p w:rsidR="00A66C95" w:rsidRDefault="00F15425">
      <w:pPr>
        <w:pStyle w:val="jaa"/>
      </w:pPr>
      <w:r>
        <w:t>（換算の方法）</w:t>
      </w:r>
    </w:p>
    <w:p w:rsidR="00A66C95" w:rsidRDefault="00F15425">
      <w:pPr>
        <w:pStyle w:val="jaf3"/>
      </w:pPr>
      <w:r>
        <w:t>第十三条　令第六条第一項、令第六条の二第三項若しくは令第七条の二に規定する支払等、令第十六条第一項に規定する特定資本取引に係る支払等又は令第十八条第一項に規定する役務取引のうち電子決済手段等（法第六条第一項第九号に規定する電子決済手段等をいう。以下同じ。）によりされるものについて、当該規定を適用する場合における本邦通貨と電子決済手段等との間又は異種の電子決済手段等相互間の換算は、当該規定においてその額について当該換算をすべき支払等又は取引が行われる日の属する月の前月の末日の当該支払等又は取引の対象となる電子決済手段等の相場を用いる方法その他の合理的と認められる方法により行うものとする。</w:t>
      </w:r>
    </w:p>
    <w:p w:rsidR="00A66C95" w:rsidRDefault="00F15425">
      <w:pPr>
        <w:pStyle w:val="jaf4"/>
      </w:pPr>
      <w:r>
        <w:t>２　令第六条の二第二項に規定する支払等のうち電子決済手段等によりされるものについて、当該規定を適用する場合における本邦通貨と電子決済手段等との間又は異種の電子決済手段等相互間の換算は、当該規定においてその額について当該換算をすべき支払等が行われる日における当該支払等の対象となる電子決済手段等の相場を用いる方法その他の合理的と認められる方法により行うものとする。</w:t>
      </w:r>
    </w:p>
    <w:p w:rsidR="00A66C95" w:rsidRDefault="00A66C95"/>
    <w:p w:rsidR="00A66C95" w:rsidRDefault="00F15425">
      <w:pPr>
        <w:pStyle w:val="jaf3"/>
      </w:pPr>
      <w:r>
        <w:t>第十四条　令第六条第一項に規定する支払等又は令第十八条第一項に規定する役務取引のうち外国通貨又は電子決済手段等以外の財産的価値（動産及び不動産を含む。以下「その他の財産的価値」という。）によりされるものについて、当該規定を適用する場合における本邦通貨とその他の財産的価値との間の換算は、当該規定においてその額について当該換算をすべき支払等又は取引が行われる日の属する月の前月の末日の当該支払等又は取引の対象となるその他の財産的価値の時価等の額を用いて行うものとする。</w:t>
      </w:r>
    </w:p>
    <w:p w:rsidR="00A66C95" w:rsidRDefault="00F15425">
      <w:pPr>
        <w:pStyle w:val="jaf5"/>
      </w:pPr>
      <w:r>
        <w:t>令第六条の二第二項に規定する支払等のうちその他の財産的価値によりされるものについて、当該規定を適用する場合における本邦通貨とその他の財産的価値との間の換算は、当該規定においてその額について当該換算をすべき支払等が行われる日における当該支払等の対象となるその他の財産的価値の時価等の額を用いて行うものとする。</w:t>
      </w:r>
    </w:p>
    <w:p w:rsidR="00A66C95" w:rsidRDefault="00A66C95"/>
    <w:p w:rsidR="00A66C95" w:rsidRDefault="00F15425">
      <w:pPr>
        <w:pStyle w:val="ja2"/>
      </w:pPr>
      <w:r>
        <w:t>附　則</w:t>
      </w:r>
    </w:p>
    <w:p w:rsidR="00A66C95" w:rsidRDefault="00A66C95"/>
    <w:p w:rsidR="00A66C95" w:rsidRDefault="00F15425">
      <w:pPr>
        <w:pStyle w:val="jaa"/>
      </w:pPr>
      <w:r>
        <w:t>（施行期日）</w:t>
      </w:r>
    </w:p>
    <w:p w:rsidR="00A66C95" w:rsidRDefault="00F15425">
      <w:pPr>
        <w:pStyle w:val="jaf4"/>
      </w:pPr>
      <w:r>
        <w:t>１　この省令は、平成十年四月一日から施行する。</w:t>
      </w:r>
    </w:p>
    <w:p w:rsidR="00A66C95" w:rsidRDefault="00A66C95"/>
    <w:p w:rsidR="00A66C95" w:rsidRDefault="00F15425">
      <w:pPr>
        <w:pStyle w:val="jaa"/>
      </w:pPr>
      <w:r>
        <w:t>（罰則に関する経過措置）</w:t>
      </w:r>
    </w:p>
    <w:p w:rsidR="00A66C95" w:rsidRDefault="00F15425">
      <w:pPr>
        <w:pStyle w:val="jaf4"/>
      </w:pPr>
      <w:r>
        <w:t>２　この省令の施行前にした行為に対する罰則の適用については、なお従前の例による。</w:t>
      </w:r>
    </w:p>
    <w:p w:rsidR="00A66C95" w:rsidRDefault="00A66C95"/>
    <w:p w:rsidR="00A66C95" w:rsidRDefault="00F15425">
      <w:pPr>
        <w:pStyle w:val="jaff8"/>
      </w:pPr>
      <w:r>
        <w:t>別紙様式第１（第１条関係）</w:t>
      </w:r>
    </w:p>
    <w:p w:rsidR="00A66C95" w:rsidRDefault="00A66C95"/>
    <w:p w:rsidR="00A66C95" w:rsidRDefault="00F15425">
      <w:pPr>
        <w:pStyle w:val="jaff8"/>
      </w:pPr>
      <w:r>
        <w:t>別紙様式第２（第１条関係）</w:t>
      </w:r>
    </w:p>
    <w:p w:rsidR="00A66C95" w:rsidRDefault="00A66C95"/>
    <w:p w:rsidR="00A66C95" w:rsidRDefault="00F15425">
      <w:pPr>
        <w:pStyle w:val="jaff8"/>
      </w:pPr>
      <w:r>
        <w:t>別紙様式第３（第１条関係）</w:t>
      </w:r>
    </w:p>
    <w:p w:rsidR="00A66C95" w:rsidRDefault="00A66C95"/>
    <w:p w:rsidR="00A66C95" w:rsidRDefault="00F15425">
      <w:pPr>
        <w:pStyle w:val="jaff8"/>
      </w:pPr>
      <w:r>
        <w:t>別紙様式第３の２（第１条関係）</w:t>
      </w:r>
    </w:p>
    <w:p w:rsidR="00A66C95" w:rsidRDefault="00A66C95"/>
    <w:p w:rsidR="00A66C95" w:rsidRDefault="00F15425">
      <w:pPr>
        <w:pStyle w:val="jaff8"/>
      </w:pPr>
      <w:r>
        <w:t>別紙様式第４（第１条関係）</w:t>
      </w:r>
    </w:p>
    <w:p w:rsidR="00A66C95" w:rsidRDefault="00A66C95"/>
    <w:p w:rsidR="00A66C95" w:rsidRDefault="00F15425">
      <w:pPr>
        <w:pStyle w:val="jaff8"/>
      </w:pPr>
      <w:r>
        <w:t>別紙様式第５（第２条関係）</w:t>
      </w:r>
    </w:p>
    <w:p w:rsidR="00A66C95" w:rsidRDefault="00A66C95"/>
    <w:p w:rsidR="00A66C95" w:rsidRDefault="00F15425">
      <w:pPr>
        <w:pStyle w:val="jaff8"/>
      </w:pPr>
      <w:r>
        <w:t>別紙様式第６　削除</w:t>
      </w:r>
    </w:p>
    <w:p w:rsidR="00A66C95" w:rsidRDefault="00A66C95"/>
    <w:p w:rsidR="00A66C95" w:rsidRDefault="00F15425">
      <w:pPr>
        <w:pStyle w:val="jaff8"/>
      </w:pPr>
      <w:r>
        <w:t>別紙様式第６の２（第１条の２関係）</w:t>
      </w:r>
    </w:p>
    <w:p w:rsidR="00A66C95" w:rsidRDefault="00A66C95"/>
    <w:p w:rsidR="00A66C95" w:rsidRDefault="00F15425">
      <w:pPr>
        <w:pStyle w:val="jaff8"/>
      </w:pPr>
      <w:r>
        <w:t>別紙様式第六の三</w:t>
      </w:r>
    </w:p>
    <w:sectPr w:rsidR="00A66C95" w:rsidSect="00A66C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6C95" w:rsidRDefault="00A66C95" w:rsidP="00A66C95">
      <w:r>
        <w:separator/>
      </w:r>
    </w:p>
  </w:endnote>
  <w:endnote w:type="continuationSeparator" w:id="0">
    <w:p w:rsidR="00A66C95" w:rsidRDefault="00A66C95" w:rsidP="00A6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6C95" w:rsidRDefault="00A66C95">
    <w:pPr>
      <w:pStyle w:val="a3"/>
    </w:pPr>
    <w:r>
      <w:fldChar w:fldCharType="begin"/>
    </w:r>
    <w:r>
      <w:instrText xml:space="preserve"> PAGE  \* MERGEFORMAT </w:instrText>
    </w:r>
    <w:r>
      <w:fldChar w:fldCharType="separate"/>
    </w:r>
    <w:r w:rsidR="00F154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6C95" w:rsidRDefault="00A66C95" w:rsidP="00A66C95">
      <w:r>
        <w:separator/>
      </w:r>
    </w:p>
  </w:footnote>
  <w:footnote w:type="continuationSeparator" w:id="0">
    <w:p w:rsidR="00A66C95" w:rsidRDefault="00A66C95" w:rsidP="00A66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20C2E"/>
    <w:multiLevelType w:val="multilevel"/>
    <w:tmpl w:val="C2CE05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186015"/>
    <w:multiLevelType w:val="multilevel"/>
    <w:tmpl w:val="825A35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FD7691"/>
    <w:multiLevelType w:val="multilevel"/>
    <w:tmpl w:val="E47894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15B7633"/>
    <w:multiLevelType w:val="multilevel"/>
    <w:tmpl w:val="9D704F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542A5A"/>
    <w:multiLevelType w:val="multilevel"/>
    <w:tmpl w:val="D60046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1335FB"/>
    <w:multiLevelType w:val="multilevel"/>
    <w:tmpl w:val="33E8D3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6B6601"/>
    <w:multiLevelType w:val="multilevel"/>
    <w:tmpl w:val="E8EADE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D728DB"/>
    <w:multiLevelType w:val="multilevel"/>
    <w:tmpl w:val="246A6F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EB008C"/>
    <w:multiLevelType w:val="multilevel"/>
    <w:tmpl w:val="2FD8BB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9C06B7"/>
    <w:multiLevelType w:val="multilevel"/>
    <w:tmpl w:val="758285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FE2C1F"/>
    <w:multiLevelType w:val="multilevel"/>
    <w:tmpl w:val="B4581A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DB21C8"/>
    <w:multiLevelType w:val="multilevel"/>
    <w:tmpl w:val="7F1CF4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825A2"/>
    <w:multiLevelType w:val="multilevel"/>
    <w:tmpl w:val="E1FAF5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367799494">
    <w:abstractNumId w:val="2"/>
  </w:num>
  <w:num w:numId="2" w16cid:durableId="2014992839">
    <w:abstractNumId w:val="8"/>
  </w:num>
  <w:num w:numId="3" w16cid:durableId="2130466557">
    <w:abstractNumId w:val="4"/>
  </w:num>
  <w:num w:numId="4" w16cid:durableId="597451120">
    <w:abstractNumId w:val="9"/>
  </w:num>
  <w:num w:numId="5" w16cid:durableId="207573533">
    <w:abstractNumId w:val="11"/>
  </w:num>
  <w:num w:numId="6" w16cid:durableId="1218783392">
    <w:abstractNumId w:val="6"/>
  </w:num>
  <w:num w:numId="7" w16cid:durableId="308442757">
    <w:abstractNumId w:val="5"/>
  </w:num>
  <w:num w:numId="8" w16cid:durableId="1585139670">
    <w:abstractNumId w:val="10"/>
  </w:num>
  <w:num w:numId="9" w16cid:durableId="418870763">
    <w:abstractNumId w:val="0"/>
  </w:num>
  <w:num w:numId="10" w16cid:durableId="1649823538">
    <w:abstractNumId w:val="3"/>
  </w:num>
  <w:num w:numId="11" w16cid:durableId="2031487508">
    <w:abstractNumId w:val="7"/>
  </w:num>
  <w:num w:numId="12" w16cid:durableId="1617104617">
    <w:abstractNumId w:val="12"/>
  </w:num>
  <w:num w:numId="13" w16cid:durableId="26530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6C95"/>
    <w:rsid w:val="00A66C95"/>
    <w:rsid w:val="00DC0357"/>
    <w:rsid w:val="00F154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6C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6C95"/>
    <w:rPr>
      <w:rFonts w:ascii="Century" w:eastAsia="Century" w:hAnsi="Century"/>
    </w:rPr>
  </w:style>
  <w:style w:type="paragraph" w:customStyle="1" w:styleId="ja0">
    <w:name w:val="款（ja）"/>
    <w:basedOn w:val="a"/>
    <w:rsid w:val="00A66C95"/>
    <w:pPr>
      <w:widowControl w:val="0"/>
      <w:ind w:left="1321" w:hanging="221"/>
    </w:pPr>
    <w:rPr>
      <w:rFonts w:ascii="ＭＳ 明朝" w:eastAsia="ＭＳ 明朝" w:hAnsi="ＭＳ 明朝" w:cs="ＭＳ 明朝"/>
      <w:b/>
    </w:rPr>
  </w:style>
  <w:style w:type="paragraph" w:customStyle="1" w:styleId="en0">
    <w:name w:val="款（en）"/>
    <w:basedOn w:val="ja0"/>
    <w:rsid w:val="00A66C95"/>
    <w:rPr>
      <w:rFonts w:ascii="Century" w:eastAsia="Century" w:hAnsi="Century" w:cs="Century"/>
    </w:rPr>
  </w:style>
  <w:style w:type="paragraph" w:customStyle="1" w:styleId="ja1">
    <w:name w:val="前文（ja）"/>
    <w:basedOn w:val="a"/>
    <w:rsid w:val="00A66C95"/>
    <w:pPr>
      <w:widowControl w:val="0"/>
      <w:ind w:firstLine="219"/>
    </w:pPr>
    <w:rPr>
      <w:rFonts w:ascii="ＭＳ 明朝" w:eastAsia="ＭＳ 明朝" w:hAnsi="ＭＳ 明朝" w:cs="ＭＳ 明朝"/>
    </w:rPr>
  </w:style>
  <w:style w:type="paragraph" w:customStyle="1" w:styleId="en1">
    <w:name w:val="前文（en）"/>
    <w:basedOn w:val="ja1"/>
    <w:rsid w:val="00A66C95"/>
    <w:rPr>
      <w:rFonts w:ascii="Century" w:eastAsia="Century" w:hAnsi="Century" w:cs="Century"/>
    </w:rPr>
  </w:style>
  <w:style w:type="paragraph" w:customStyle="1" w:styleId="ja2">
    <w:name w:val="附則（ja）"/>
    <w:basedOn w:val="a"/>
    <w:rsid w:val="00A66C95"/>
    <w:pPr>
      <w:widowControl w:val="0"/>
      <w:ind w:left="881" w:hanging="221"/>
    </w:pPr>
    <w:rPr>
      <w:rFonts w:ascii="ＭＳ 明朝" w:eastAsia="ＭＳ 明朝" w:hAnsi="ＭＳ 明朝" w:cs="ＭＳ 明朝"/>
      <w:b/>
    </w:rPr>
  </w:style>
  <w:style w:type="paragraph" w:customStyle="1" w:styleId="en2">
    <w:name w:val="附則（en）"/>
    <w:basedOn w:val="ja2"/>
    <w:rsid w:val="00A66C95"/>
    <w:rPr>
      <w:rFonts w:ascii="Century" w:hAnsi="Century" w:cs="Century"/>
    </w:rPr>
  </w:style>
  <w:style w:type="paragraph" w:customStyle="1" w:styleId="ja3">
    <w:name w:val="章（ja）"/>
    <w:basedOn w:val="a"/>
    <w:rsid w:val="00A66C95"/>
    <w:pPr>
      <w:widowControl w:val="0"/>
      <w:ind w:left="881" w:hanging="221"/>
    </w:pPr>
    <w:rPr>
      <w:rFonts w:ascii="ＭＳ 明朝" w:eastAsia="ＭＳ 明朝" w:hAnsi="ＭＳ 明朝" w:cs="ＭＳ 明朝"/>
      <w:b/>
    </w:rPr>
  </w:style>
  <w:style w:type="paragraph" w:customStyle="1" w:styleId="en3">
    <w:name w:val="章（en）"/>
    <w:basedOn w:val="ja3"/>
    <w:rsid w:val="00A66C95"/>
    <w:rPr>
      <w:rFonts w:ascii="Century" w:eastAsia="Century" w:hAnsi="Century" w:cs="Century"/>
    </w:rPr>
  </w:style>
  <w:style w:type="paragraph" w:customStyle="1" w:styleId="ja4">
    <w:name w:val="目次編（ja）"/>
    <w:basedOn w:val="a"/>
    <w:rsid w:val="00A66C95"/>
    <w:pPr>
      <w:widowControl w:val="0"/>
      <w:ind w:left="219" w:hanging="219"/>
    </w:pPr>
    <w:rPr>
      <w:rFonts w:ascii="ＭＳ 明朝" w:eastAsia="ＭＳ 明朝" w:hAnsi="ＭＳ 明朝"/>
    </w:rPr>
  </w:style>
  <w:style w:type="paragraph" w:customStyle="1" w:styleId="en4">
    <w:name w:val="目次編（en）"/>
    <w:basedOn w:val="ja4"/>
    <w:rsid w:val="00A66C95"/>
    <w:rPr>
      <w:rFonts w:ascii="Century" w:eastAsia="Century" w:hAnsi="Century"/>
    </w:rPr>
  </w:style>
  <w:style w:type="paragraph" w:customStyle="1" w:styleId="ja5">
    <w:name w:val="目次章（ja）"/>
    <w:basedOn w:val="a"/>
    <w:rsid w:val="00A66C95"/>
    <w:pPr>
      <w:widowControl w:val="0"/>
      <w:ind w:left="439" w:hanging="219"/>
    </w:pPr>
    <w:rPr>
      <w:rFonts w:ascii="ＭＳ 明朝" w:eastAsia="ＭＳ 明朝" w:hAnsi="ＭＳ 明朝"/>
    </w:rPr>
  </w:style>
  <w:style w:type="paragraph" w:customStyle="1" w:styleId="en5">
    <w:name w:val="目次章（en）"/>
    <w:basedOn w:val="ja5"/>
    <w:rsid w:val="00A66C95"/>
    <w:rPr>
      <w:rFonts w:ascii="Century" w:eastAsia="Century" w:hAnsi="Century"/>
    </w:rPr>
  </w:style>
  <w:style w:type="paragraph" w:customStyle="1" w:styleId="ja6">
    <w:name w:val="目次節（ja）"/>
    <w:basedOn w:val="a"/>
    <w:rsid w:val="00A66C95"/>
    <w:pPr>
      <w:widowControl w:val="0"/>
      <w:ind w:left="659" w:hanging="219"/>
    </w:pPr>
    <w:rPr>
      <w:rFonts w:ascii="ＭＳ 明朝" w:eastAsia="ＭＳ 明朝" w:hAnsi="ＭＳ 明朝"/>
    </w:rPr>
  </w:style>
  <w:style w:type="paragraph" w:customStyle="1" w:styleId="en6">
    <w:name w:val="目次節（en）"/>
    <w:basedOn w:val="ja6"/>
    <w:rsid w:val="00A66C95"/>
    <w:rPr>
      <w:rFonts w:ascii="Century" w:eastAsia="Century" w:hAnsi="Century"/>
    </w:rPr>
  </w:style>
  <w:style w:type="paragraph" w:customStyle="1" w:styleId="ja7">
    <w:name w:val="目次款（ja）"/>
    <w:basedOn w:val="a"/>
    <w:rsid w:val="00A66C95"/>
    <w:pPr>
      <w:widowControl w:val="0"/>
      <w:ind w:left="879" w:hanging="219"/>
    </w:pPr>
    <w:rPr>
      <w:rFonts w:ascii="ＭＳ 明朝" w:eastAsia="ＭＳ 明朝" w:hAnsi="ＭＳ 明朝" w:cs="Kochi Mincho"/>
    </w:rPr>
  </w:style>
  <w:style w:type="paragraph" w:customStyle="1" w:styleId="en7">
    <w:name w:val="目次款（en）"/>
    <w:basedOn w:val="ja7"/>
    <w:rsid w:val="00A66C95"/>
    <w:rPr>
      <w:rFonts w:ascii="Century" w:eastAsia="Century" w:hAnsi="Century"/>
    </w:rPr>
  </w:style>
  <w:style w:type="paragraph" w:customStyle="1" w:styleId="ja8">
    <w:name w:val="別表名（ja）"/>
    <w:basedOn w:val="a"/>
    <w:rsid w:val="00A66C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6C95"/>
    <w:rPr>
      <w:rFonts w:ascii="Century" w:eastAsia="Century" w:hAnsi="Century" w:cs="Century"/>
    </w:rPr>
  </w:style>
  <w:style w:type="paragraph" w:customStyle="1" w:styleId="ja9">
    <w:name w:val="目（ja）"/>
    <w:basedOn w:val="a"/>
    <w:rsid w:val="00A66C95"/>
    <w:pPr>
      <w:widowControl w:val="0"/>
      <w:ind w:left="1541" w:hanging="221"/>
    </w:pPr>
    <w:rPr>
      <w:rFonts w:ascii="ＭＳ 明朝" w:eastAsia="ＭＳ 明朝" w:hAnsi="ＭＳ 明朝" w:cs="ＭＳ 明朝"/>
      <w:b/>
    </w:rPr>
  </w:style>
  <w:style w:type="paragraph" w:customStyle="1" w:styleId="en9">
    <w:name w:val="目（en）"/>
    <w:basedOn w:val="ja9"/>
    <w:rsid w:val="00A66C95"/>
    <w:rPr>
      <w:rFonts w:ascii="Century" w:eastAsia="Century" w:hAnsi="Century" w:cs="Century"/>
    </w:rPr>
  </w:style>
  <w:style w:type="paragraph" w:customStyle="1" w:styleId="jaa">
    <w:name w:val="見出し（ja）"/>
    <w:basedOn w:val="a"/>
    <w:rsid w:val="00A66C95"/>
    <w:pPr>
      <w:widowControl w:val="0"/>
      <w:ind w:left="439" w:hanging="219"/>
    </w:pPr>
    <w:rPr>
      <w:rFonts w:ascii="ＭＳ 明朝" w:eastAsia="ＭＳ 明朝" w:hAnsi="ＭＳ 明朝" w:cs="ＭＳ 明朝"/>
    </w:rPr>
  </w:style>
  <w:style w:type="paragraph" w:customStyle="1" w:styleId="ena">
    <w:name w:val="見出し（en）"/>
    <w:basedOn w:val="jaa"/>
    <w:rsid w:val="00A66C95"/>
    <w:rPr>
      <w:rFonts w:ascii="Century" w:eastAsia="Century" w:hAnsi="Century" w:cs="Century"/>
    </w:rPr>
  </w:style>
  <w:style w:type="paragraph" w:styleId="a3">
    <w:name w:val="footer"/>
    <w:basedOn w:val="a"/>
    <w:rsid w:val="00A66C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6C95"/>
    <w:pPr>
      <w:widowControl w:val="0"/>
      <w:ind w:left="1099" w:hanging="219"/>
    </w:pPr>
    <w:rPr>
      <w:rFonts w:ascii="ＭＳ 明朝" w:eastAsia="ＭＳ 明朝" w:hAnsi="ＭＳ 明朝" w:cs="Kochi Mincho"/>
    </w:rPr>
  </w:style>
  <w:style w:type="paragraph" w:customStyle="1" w:styleId="enb">
    <w:name w:val="目次目（en）"/>
    <w:basedOn w:val="jab"/>
    <w:rsid w:val="00A66C95"/>
    <w:rPr>
      <w:rFonts w:ascii="Century" w:eastAsia="Century" w:hAnsi="Century"/>
    </w:rPr>
  </w:style>
  <w:style w:type="paragraph" w:customStyle="1" w:styleId="jac">
    <w:name w:val="目次附則（ja）"/>
    <w:basedOn w:val="a"/>
    <w:rsid w:val="00A66C95"/>
    <w:pPr>
      <w:widowControl w:val="0"/>
      <w:ind w:left="439" w:hanging="219"/>
    </w:pPr>
    <w:rPr>
      <w:rFonts w:ascii="ＭＳ 明朝" w:eastAsia="ＭＳ 明朝" w:hAnsi="ＭＳ 明朝" w:cs="Kochi Mincho"/>
    </w:rPr>
  </w:style>
  <w:style w:type="paragraph" w:customStyle="1" w:styleId="enc">
    <w:name w:val="目次附則（en）"/>
    <w:basedOn w:val="jac"/>
    <w:rsid w:val="00A66C95"/>
    <w:rPr>
      <w:rFonts w:ascii="Century" w:eastAsia="Century" w:hAnsi="Century" w:cs="Century"/>
    </w:rPr>
  </w:style>
  <w:style w:type="paragraph" w:customStyle="1" w:styleId="jad">
    <w:name w:val="目次前文（ja）"/>
    <w:basedOn w:val="jac"/>
    <w:rsid w:val="00A66C95"/>
  </w:style>
  <w:style w:type="paragraph" w:customStyle="1" w:styleId="end">
    <w:name w:val="目次前文（en）"/>
    <w:basedOn w:val="enc"/>
    <w:rsid w:val="00A66C95"/>
  </w:style>
  <w:style w:type="paragraph" w:customStyle="1" w:styleId="jae">
    <w:name w:val="制定文（ja）"/>
    <w:basedOn w:val="a"/>
    <w:rsid w:val="00A66C95"/>
    <w:pPr>
      <w:widowControl w:val="0"/>
      <w:ind w:firstLine="219"/>
    </w:pPr>
    <w:rPr>
      <w:rFonts w:ascii="ＭＳ 明朝" w:eastAsia="ＭＳ 明朝" w:hAnsi="ＭＳ 明朝" w:cs="ＭＳ 明朝"/>
    </w:rPr>
  </w:style>
  <w:style w:type="paragraph" w:customStyle="1" w:styleId="ene">
    <w:name w:val="制定文（en）"/>
    <w:basedOn w:val="jae"/>
    <w:rsid w:val="00A66C95"/>
    <w:rPr>
      <w:rFonts w:ascii="Century" w:eastAsia="Century" w:hAnsi="Century" w:cs="Century"/>
    </w:rPr>
  </w:style>
  <w:style w:type="paragraph" w:customStyle="1" w:styleId="jaf">
    <w:name w:val="法令番号（ja）"/>
    <w:basedOn w:val="a"/>
    <w:rsid w:val="00A66C95"/>
    <w:pPr>
      <w:widowControl w:val="0"/>
      <w:jc w:val="right"/>
    </w:pPr>
    <w:rPr>
      <w:rFonts w:ascii="ＭＳ 明朝" w:eastAsia="ＭＳ 明朝" w:hAnsi="ＭＳ 明朝" w:cs="Kochi Mincho"/>
    </w:rPr>
  </w:style>
  <w:style w:type="paragraph" w:customStyle="1" w:styleId="enf">
    <w:name w:val="法令番号（en）"/>
    <w:basedOn w:val="jaf"/>
    <w:rsid w:val="00A66C95"/>
    <w:rPr>
      <w:rFonts w:ascii="Century" w:eastAsia="Century" w:hAnsi="Century" w:cs="Century"/>
    </w:rPr>
  </w:style>
  <w:style w:type="paragraph" w:customStyle="1" w:styleId="jaf0">
    <w:name w:val="目次（ja）"/>
    <w:basedOn w:val="a"/>
    <w:rsid w:val="00A66C95"/>
    <w:rPr>
      <w:rFonts w:ascii="ＭＳ 明朝" w:eastAsia="ＭＳ 明朝" w:hAnsi="ＭＳ 明朝"/>
    </w:rPr>
  </w:style>
  <w:style w:type="paragraph" w:customStyle="1" w:styleId="enf0">
    <w:name w:val="目次（en）"/>
    <w:basedOn w:val="jaf0"/>
    <w:rsid w:val="00A66C95"/>
    <w:rPr>
      <w:rFonts w:ascii="Century" w:eastAsia="Century" w:hAnsi="Century"/>
    </w:rPr>
  </w:style>
  <w:style w:type="paragraph" w:customStyle="1" w:styleId="jaf1">
    <w:name w:val="編（ja）"/>
    <w:basedOn w:val="a"/>
    <w:rsid w:val="00A66C95"/>
    <w:pPr>
      <w:widowControl w:val="0"/>
      <w:ind w:left="661" w:hanging="221"/>
    </w:pPr>
    <w:rPr>
      <w:rFonts w:ascii="ＭＳ 明朝" w:eastAsia="ＭＳ 明朝" w:hAnsi="ＭＳ 明朝" w:cs="ＭＳ 明朝"/>
      <w:b/>
    </w:rPr>
  </w:style>
  <w:style w:type="paragraph" w:customStyle="1" w:styleId="enf1">
    <w:name w:val="編（en）"/>
    <w:basedOn w:val="jaf1"/>
    <w:rsid w:val="00A66C95"/>
    <w:rPr>
      <w:rFonts w:ascii="Century" w:eastAsia="Century" w:hAnsi="Century" w:cs="Century"/>
    </w:rPr>
  </w:style>
  <w:style w:type="paragraph" w:customStyle="1" w:styleId="jaf2">
    <w:name w:val="節（ja）"/>
    <w:basedOn w:val="a"/>
    <w:rsid w:val="00A66C95"/>
    <w:pPr>
      <w:widowControl w:val="0"/>
      <w:ind w:left="1101" w:hanging="221"/>
    </w:pPr>
    <w:rPr>
      <w:rFonts w:ascii="ＭＳ 明朝" w:eastAsia="ＭＳ 明朝" w:hAnsi="ＭＳ 明朝" w:cs="ＭＳ 明朝"/>
      <w:b/>
    </w:rPr>
  </w:style>
  <w:style w:type="paragraph" w:customStyle="1" w:styleId="enf2">
    <w:name w:val="節（en）"/>
    <w:basedOn w:val="jaf2"/>
    <w:rsid w:val="00A66C95"/>
    <w:rPr>
      <w:rFonts w:ascii="Century" w:eastAsia="Century" w:hAnsi="Century" w:cs="Century"/>
    </w:rPr>
  </w:style>
  <w:style w:type="paragraph" w:customStyle="1" w:styleId="jaf3">
    <w:name w:val="条（ja）"/>
    <w:basedOn w:val="a"/>
    <w:rsid w:val="00A66C95"/>
    <w:pPr>
      <w:widowControl w:val="0"/>
      <w:ind w:left="219" w:hanging="219"/>
    </w:pPr>
    <w:rPr>
      <w:rFonts w:ascii="ＭＳ 明朝" w:eastAsia="ＭＳ 明朝" w:hAnsi="ＭＳ 明朝" w:cs="ＭＳ 明朝"/>
    </w:rPr>
  </w:style>
  <w:style w:type="paragraph" w:customStyle="1" w:styleId="enf3">
    <w:name w:val="条（en）"/>
    <w:basedOn w:val="jaf3"/>
    <w:rsid w:val="00A66C95"/>
    <w:rPr>
      <w:rFonts w:ascii="Century" w:eastAsia="Century" w:hAnsi="Century" w:cs="Century"/>
    </w:rPr>
  </w:style>
  <w:style w:type="paragraph" w:customStyle="1" w:styleId="jaf4">
    <w:name w:val="項（ja）"/>
    <w:basedOn w:val="a"/>
    <w:rsid w:val="00A66C95"/>
    <w:pPr>
      <w:widowControl w:val="0"/>
      <w:ind w:left="219" w:hanging="219"/>
    </w:pPr>
    <w:rPr>
      <w:rFonts w:ascii="ＭＳ 明朝" w:eastAsia="ＭＳ 明朝" w:hAnsi="ＭＳ 明朝" w:cs="ＭＳ 明朝"/>
    </w:rPr>
  </w:style>
  <w:style w:type="paragraph" w:customStyle="1" w:styleId="enf4">
    <w:name w:val="項（en）"/>
    <w:basedOn w:val="jaf4"/>
    <w:rsid w:val="00A66C95"/>
    <w:rPr>
      <w:rFonts w:ascii="Century" w:eastAsia="Century" w:hAnsi="Century" w:cs="Century"/>
    </w:rPr>
  </w:style>
  <w:style w:type="paragraph" w:customStyle="1" w:styleId="jaf5">
    <w:name w:val="項　番号なし（ja）"/>
    <w:basedOn w:val="a"/>
    <w:rsid w:val="00A66C95"/>
    <w:pPr>
      <w:widowControl w:val="0"/>
      <w:ind w:firstLine="221"/>
    </w:pPr>
    <w:rPr>
      <w:rFonts w:ascii="ＭＳ 明朝" w:eastAsia="ＭＳ 明朝" w:hAnsi="ＭＳ 明朝" w:cs="ＭＳ 明朝"/>
    </w:rPr>
  </w:style>
  <w:style w:type="paragraph" w:customStyle="1" w:styleId="enf5">
    <w:name w:val="項　番号なし（en）"/>
    <w:basedOn w:val="jaf5"/>
    <w:rsid w:val="00A66C95"/>
    <w:rPr>
      <w:rFonts w:ascii="Century" w:eastAsia="Century" w:hAnsi="Century" w:cs="Century"/>
    </w:rPr>
  </w:style>
  <w:style w:type="paragraph" w:customStyle="1" w:styleId="jaf6">
    <w:name w:val="号（ja）"/>
    <w:basedOn w:val="a"/>
    <w:rsid w:val="00A66C95"/>
    <w:pPr>
      <w:widowControl w:val="0"/>
      <w:ind w:left="439" w:hanging="219"/>
    </w:pPr>
    <w:rPr>
      <w:rFonts w:ascii="ＭＳ 明朝" w:eastAsia="ＭＳ 明朝" w:hAnsi="ＭＳ 明朝" w:cs="ＭＳ 明朝"/>
    </w:rPr>
  </w:style>
  <w:style w:type="paragraph" w:customStyle="1" w:styleId="enf6">
    <w:name w:val="号（en）"/>
    <w:basedOn w:val="jaf6"/>
    <w:rsid w:val="00A66C95"/>
    <w:rPr>
      <w:rFonts w:ascii="Century" w:eastAsia="Century" w:hAnsi="Century" w:cs="Century"/>
    </w:rPr>
  </w:style>
  <w:style w:type="paragraph" w:customStyle="1" w:styleId="jaf7">
    <w:name w:val="号　番号なし（ja）"/>
    <w:basedOn w:val="a"/>
    <w:rsid w:val="00A66C95"/>
    <w:pPr>
      <w:widowControl w:val="0"/>
      <w:ind w:left="221" w:firstLine="221"/>
    </w:pPr>
    <w:rPr>
      <w:rFonts w:ascii="ＭＳ 明朝" w:eastAsia="ＭＳ 明朝" w:hAnsi="ＭＳ 明朝" w:cs="ＭＳ 明朝"/>
    </w:rPr>
  </w:style>
  <w:style w:type="paragraph" w:customStyle="1" w:styleId="enf7">
    <w:name w:val="号　番号なし（en）"/>
    <w:basedOn w:val="jaf7"/>
    <w:rsid w:val="00A66C95"/>
    <w:rPr>
      <w:rFonts w:ascii="Century" w:eastAsia="Century" w:hAnsi="Century" w:cs="Century"/>
    </w:rPr>
  </w:style>
  <w:style w:type="paragraph" w:customStyle="1" w:styleId="jaf8">
    <w:name w:val="備考号（ja）"/>
    <w:basedOn w:val="a"/>
    <w:rsid w:val="00A66C95"/>
    <w:pPr>
      <w:widowControl w:val="0"/>
      <w:ind w:left="659" w:hanging="219"/>
    </w:pPr>
    <w:rPr>
      <w:rFonts w:ascii="ＭＳ 明朝" w:eastAsia="ＭＳ 明朝" w:hAnsi="ＭＳ 明朝" w:cs="ＭＳ 明朝"/>
    </w:rPr>
  </w:style>
  <w:style w:type="paragraph" w:customStyle="1" w:styleId="enf8">
    <w:name w:val="備考号（en）"/>
    <w:basedOn w:val="jaf8"/>
    <w:rsid w:val="00A66C95"/>
    <w:rPr>
      <w:rFonts w:ascii="Century" w:eastAsia="Century" w:hAnsi="Century" w:cs="Century"/>
    </w:rPr>
  </w:style>
  <w:style w:type="paragraph" w:customStyle="1" w:styleId="jaf9">
    <w:name w:val="号細分（ja）"/>
    <w:basedOn w:val="a"/>
    <w:rsid w:val="00A66C95"/>
    <w:pPr>
      <w:widowControl w:val="0"/>
      <w:ind w:left="659" w:hanging="219"/>
    </w:pPr>
    <w:rPr>
      <w:rFonts w:ascii="ＭＳ 明朝" w:eastAsia="ＭＳ 明朝" w:hAnsi="ＭＳ 明朝" w:cs="ＭＳ 明朝"/>
    </w:rPr>
  </w:style>
  <w:style w:type="paragraph" w:customStyle="1" w:styleId="enf9">
    <w:name w:val="号細分（en）"/>
    <w:basedOn w:val="jaf9"/>
    <w:rsid w:val="00A66C95"/>
    <w:rPr>
      <w:rFonts w:ascii="Century" w:eastAsia="Century" w:hAnsi="Century" w:cs="Century"/>
    </w:rPr>
  </w:style>
  <w:style w:type="paragraph" w:customStyle="1" w:styleId="jafa">
    <w:name w:val="号細分　番号なし（ja）"/>
    <w:basedOn w:val="a"/>
    <w:rsid w:val="00A66C95"/>
    <w:pPr>
      <w:widowControl w:val="0"/>
      <w:ind w:left="439"/>
    </w:pPr>
    <w:rPr>
      <w:rFonts w:ascii="ＭＳ 明朝" w:eastAsia="ＭＳ 明朝" w:hAnsi="ＭＳ 明朝" w:cs="ＭＳ 明朝"/>
    </w:rPr>
  </w:style>
  <w:style w:type="paragraph" w:customStyle="1" w:styleId="enfa">
    <w:name w:val="号細分　番号なし（en）"/>
    <w:basedOn w:val="jafa"/>
    <w:rsid w:val="00A66C95"/>
    <w:rPr>
      <w:rFonts w:ascii="Century" w:eastAsia="Century" w:hAnsi="Century" w:cs="Century"/>
    </w:rPr>
  </w:style>
  <w:style w:type="paragraph" w:customStyle="1" w:styleId="jafb">
    <w:name w:val="備考号細分（ja）"/>
    <w:basedOn w:val="a"/>
    <w:rsid w:val="00A66C95"/>
    <w:pPr>
      <w:widowControl w:val="0"/>
      <w:ind w:left="1099" w:hanging="439"/>
    </w:pPr>
    <w:rPr>
      <w:rFonts w:ascii="ＭＳ 明朝" w:eastAsia="ＭＳ 明朝" w:hAnsi="ＭＳ 明朝" w:cs="ＭＳ 明朝"/>
    </w:rPr>
  </w:style>
  <w:style w:type="paragraph" w:customStyle="1" w:styleId="enfb">
    <w:name w:val="備考号細分（en）"/>
    <w:basedOn w:val="jafb"/>
    <w:rsid w:val="00A66C95"/>
    <w:rPr>
      <w:rFonts w:ascii="Century" w:eastAsia="Century" w:hAnsi="Century" w:cs="Century"/>
    </w:rPr>
  </w:style>
  <w:style w:type="paragraph" w:customStyle="1" w:styleId="jafc">
    <w:name w:val="号細細分（ja）"/>
    <w:basedOn w:val="a"/>
    <w:rsid w:val="00A66C95"/>
    <w:pPr>
      <w:widowControl w:val="0"/>
      <w:ind w:left="1099" w:hanging="439"/>
    </w:pPr>
    <w:rPr>
      <w:rFonts w:ascii="ＭＳ 明朝" w:eastAsia="ＭＳ 明朝" w:hAnsi="ＭＳ 明朝" w:cs="ＭＳ 明朝"/>
    </w:rPr>
  </w:style>
  <w:style w:type="paragraph" w:customStyle="1" w:styleId="enfc">
    <w:name w:val="号細細分（en）"/>
    <w:basedOn w:val="jafc"/>
    <w:rsid w:val="00A66C95"/>
    <w:rPr>
      <w:rFonts w:ascii="Century" w:eastAsia="Century" w:hAnsi="Century" w:cs="Century"/>
    </w:rPr>
  </w:style>
  <w:style w:type="paragraph" w:customStyle="1" w:styleId="jafd">
    <w:name w:val="号細細分　番号なし（ja）"/>
    <w:basedOn w:val="a"/>
    <w:rsid w:val="00A66C95"/>
    <w:pPr>
      <w:widowControl w:val="0"/>
      <w:ind w:left="659"/>
    </w:pPr>
    <w:rPr>
      <w:rFonts w:ascii="ＭＳ 明朝" w:eastAsia="ＭＳ 明朝" w:hAnsi="ＭＳ 明朝" w:cs="ＭＳ 明朝"/>
    </w:rPr>
  </w:style>
  <w:style w:type="paragraph" w:customStyle="1" w:styleId="enfd">
    <w:name w:val="号細細分　番号なし（en）"/>
    <w:basedOn w:val="jafd"/>
    <w:rsid w:val="00A66C95"/>
    <w:rPr>
      <w:rFonts w:ascii="Century" w:eastAsia="Century" w:hAnsi="Century" w:cs="Century"/>
    </w:rPr>
  </w:style>
  <w:style w:type="paragraph" w:customStyle="1" w:styleId="jafe">
    <w:name w:val="備考号細細分（ja）"/>
    <w:basedOn w:val="a"/>
    <w:rsid w:val="00A66C95"/>
    <w:pPr>
      <w:widowControl w:val="0"/>
      <w:ind w:left="1319" w:hanging="439"/>
    </w:pPr>
    <w:rPr>
      <w:rFonts w:ascii="ＭＳ 明朝" w:eastAsia="ＭＳ 明朝" w:hAnsi="ＭＳ 明朝" w:cs="ＭＳ 明朝"/>
    </w:rPr>
  </w:style>
  <w:style w:type="paragraph" w:customStyle="1" w:styleId="enfe">
    <w:name w:val="備考号細細分（en）"/>
    <w:basedOn w:val="jafe"/>
    <w:rsid w:val="00A66C95"/>
    <w:rPr>
      <w:rFonts w:ascii="Century" w:eastAsia="Century" w:hAnsi="Century" w:cs="Century"/>
    </w:rPr>
  </w:style>
  <w:style w:type="paragraph" w:customStyle="1" w:styleId="jaff">
    <w:name w:val="号細細細分（ja）"/>
    <w:basedOn w:val="a"/>
    <w:rsid w:val="00A66C95"/>
    <w:pPr>
      <w:widowControl w:val="0"/>
      <w:ind w:left="1319" w:hanging="439"/>
    </w:pPr>
    <w:rPr>
      <w:rFonts w:ascii="ＭＳ 明朝" w:eastAsia="ＭＳ 明朝" w:hAnsi="ＭＳ 明朝" w:cs="ＭＳ 明朝"/>
    </w:rPr>
  </w:style>
  <w:style w:type="paragraph" w:customStyle="1" w:styleId="enff">
    <w:name w:val="号細細細分（en）"/>
    <w:basedOn w:val="jaff"/>
    <w:rsid w:val="00A66C95"/>
    <w:rPr>
      <w:rFonts w:ascii="Century" w:eastAsia="Century" w:hAnsi="Century" w:cs="Century"/>
    </w:rPr>
  </w:style>
  <w:style w:type="paragraph" w:customStyle="1" w:styleId="jaff0">
    <w:name w:val="号細細細分　番号なし（ja）"/>
    <w:basedOn w:val="a"/>
    <w:rsid w:val="00A66C95"/>
    <w:pPr>
      <w:widowControl w:val="0"/>
      <w:ind w:left="879"/>
    </w:pPr>
    <w:rPr>
      <w:rFonts w:ascii="ＭＳ 明朝" w:eastAsia="ＭＳ 明朝" w:hAnsi="ＭＳ 明朝" w:cs="ＭＳ 明朝"/>
    </w:rPr>
  </w:style>
  <w:style w:type="paragraph" w:customStyle="1" w:styleId="enff0">
    <w:name w:val="号細細細分　番号なし（en）"/>
    <w:basedOn w:val="jaff0"/>
    <w:rsid w:val="00A66C95"/>
    <w:rPr>
      <w:rFonts w:ascii="Century" w:eastAsia="Century" w:hAnsi="Century" w:cs="Century"/>
    </w:rPr>
  </w:style>
  <w:style w:type="paragraph" w:customStyle="1" w:styleId="jaff1">
    <w:name w:val="備考号細細細分（ja）"/>
    <w:basedOn w:val="a"/>
    <w:rsid w:val="00A66C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6C95"/>
    <w:rPr>
      <w:rFonts w:ascii="Century" w:eastAsia="Century" w:hAnsi="Century" w:cs="Century"/>
    </w:rPr>
  </w:style>
  <w:style w:type="paragraph" w:customStyle="1" w:styleId="jaff2">
    <w:name w:val="類（ja）"/>
    <w:basedOn w:val="a"/>
    <w:rsid w:val="00A66C95"/>
    <w:pPr>
      <w:widowControl w:val="0"/>
      <w:ind w:left="439" w:hanging="219"/>
    </w:pPr>
    <w:rPr>
      <w:rFonts w:ascii="ＭＳ 明朝" w:eastAsia="ＭＳ 明朝" w:hAnsi="ＭＳ 明朝" w:cs="ＭＳ 明朝"/>
    </w:rPr>
  </w:style>
  <w:style w:type="paragraph" w:customStyle="1" w:styleId="enff2">
    <w:name w:val="類（en）"/>
    <w:basedOn w:val="jaff2"/>
    <w:rsid w:val="00A66C95"/>
    <w:rPr>
      <w:rFonts w:ascii="Century" w:eastAsia="Century" w:hAnsi="Century" w:cs="Century"/>
    </w:rPr>
  </w:style>
  <w:style w:type="paragraph" w:customStyle="1" w:styleId="jaff3">
    <w:name w:val="公布文（ja）"/>
    <w:basedOn w:val="a"/>
    <w:rsid w:val="00A66C95"/>
    <w:pPr>
      <w:widowControl w:val="0"/>
      <w:ind w:firstLine="219"/>
    </w:pPr>
    <w:rPr>
      <w:rFonts w:ascii="ＭＳ 明朝" w:eastAsia="ＭＳ 明朝" w:hAnsi="ＭＳ 明朝" w:cs="ＭＳ 明朝"/>
    </w:rPr>
  </w:style>
  <w:style w:type="paragraph" w:customStyle="1" w:styleId="enff3">
    <w:name w:val="公布文（en）"/>
    <w:basedOn w:val="jaff3"/>
    <w:rsid w:val="00A66C95"/>
    <w:rPr>
      <w:rFonts w:ascii="Century" w:eastAsia="Century" w:hAnsi="Century" w:cs="Century"/>
    </w:rPr>
  </w:style>
  <w:style w:type="paragraph" w:customStyle="1" w:styleId="jaen">
    <w:name w:val="表（ja：en）"/>
    <w:basedOn w:val="a"/>
    <w:rsid w:val="00A66C95"/>
    <w:pPr>
      <w:widowControl w:val="0"/>
      <w:snapToGrid w:val="0"/>
    </w:pPr>
    <w:rPr>
      <w:rFonts w:ascii="Century" w:eastAsia="ＭＳ 明朝" w:hAnsi="Century"/>
    </w:rPr>
  </w:style>
  <w:style w:type="paragraph" w:customStyle="1" w:styleId="jaff4">
    <w:name w:val="備考（ja）"/>
    <w:basedOn w:val="a"/>
    <w:rsid w:val="00A66C95"/>
    <w:pPr>
      <w:widowControl w:val="0"/>
      <w:ind w:left="439" w:hanging="219"/>
    </w:pPr>
    <w:rPr>
      <w:rFonts w:ascii="ＭＳ 明朝" w:eastAsia="ＭＳ 明朝" w:hAnsi="ＭＳ 明朝" w:cs="ＭＳ 明朝"/>
    </w:rPr>
  </w:style>
  <w:style w:type="paragraph" w:customStyle="1" w:styleId="enff4">
    <w:name w:val="備考（en）"/>
    <w:basedOn w:val="jaff4"/>
    <w:rsid w:val="00A66C95"/>
    <w:rPr>
      <w:rFonts w:ascii="Century" w:eastAsia="Century" w:hAnsi="Century" w:cs="Century"/>
    </w:rPr>
  </w:style>
  <w:style w:type="paragraph" w:customStyle="1" w:styleId="jaff5">
    <w:name w:val="表タイトル（ja）"/>
    <w:basedOn w:val="a"/>
    <w:rsid w:val="00A66C95"/>
    <w:pPr>
      <w:widowControl w:val="0"/>
      <w:ind w:left="219"/>
    </w:pPr>
    <w:rPr>
      <w:rFonts w:ascii="ＭＳ 明朝" w:eastAsia="ＭＳ 明朝" w:hAnsi="ＭＳ 明朝" w:cs="ＭＳ 明朝"/>
    </w:rPr>
  </w:style>
  <w:style w:type="paragraph" w:customStyle="1" w:styleId="enff5">
    <w:name w:val="表タイトル（en）"/>
    <w:basedOn w:val="jaff5"/>
    <w:rsid w:val="00A66C95"/>
    <w:rPr>
      <w:rFonts w:ascii="Century" w:eastAsia="Century" w:hAnsi="Century" w:cs="Century"/>
    </w:rPr>
  </w:style>
  <w:style w:type="paragraph" w:customStyle="1" w:styleId="jaff6">
    <w:name w:val="改正規定文（ja）"/>
    <w:basedOn w:val="a"/>
    <w:rsid w:val="00A66C95"/>
    <w:pPr>
      <w:widowControl w:val="0"/>
      <w:ind w:left="219" w:firstLine="219"/>
    </w:pPr>
    <w:rPr>
      <w:rFonts w:ascii="ＭＳ 明朝" w:eastAsia="ＭＳ 明朝" w:hAnsi="ＭＳ 明朝" w:cs="ＭＳ 明朝"/>
    </w:rPr>
  </w:style>
  <w:style w:type="paragraph" w:customStyle="1" w:styleId="enff6">
    <w:name w:val="改正規定文（en）"/>
    <w:basedOn w:val="jaff6"/>
    <w:rsid w:val="00A66C95"/>
    <w:rPr>
      <w:rFonts w:ascii="Century" w:eastAsia="Century" w:hAnsi="Century" w:cs="Century"/>
    </w:rPr>
  </w:style>
  <w:style w:type="paragraph" w:customStyle="1" w:styleId="jaff7">
    <w:name w:val="付記（ja）"/>
    <w:basedOn w:val="a"/>
    <w:rsid w:val="00A66C95"/>
    <w:pPr>
      <w:widowControl w:val="0"/>
      <w:ind w:left="219" w:firstLine="219"/>
    </w:pPr>
    <w:rPr>
      <w:rFonts w:ascii="ＭＳ 明朝" w:eastAsia="ＭＳ 明朝" w:hAnsi="ＭＳ 明朝" w:cs="ＭＳ 明朝"/>
    </w:rPr>
  </w:style>
  <w:style w:type="paragraph" w:customStyle="1" w:styleId="enff7">
    <w:name w:val="付記（en）"/>
    <w:basedOn w:val="jaff7"/>
    <w:rsid w:val="00A66C95"/>
    <w:rPr>
      <w:rFonts w:ascii="Century" w:eastAsia="Century" w:hAnsi="Century" w:cs="Century"/>
    </w:rPr>
  </w:style>
  <w:style w:type="paragraph" w:customStyle="1" w:styleId="jaff8">
    <w:name w:val="様式名（ja）"/>
    <w:basedOn w:val="a"/>
    <w:rsid w:val="00A66C95"/>
    <w:pPr>
      <w:widowControl w:val="0"/>
      <w:ind w:left="439" w:hanging="219"/>
    </w:pPr>
    <w:rPr>
      <w:rFonts w:ascii="ＭＳ 明朝" w:eastAsia="ＭＳ 明朝" w:hAnsi="ＭＳ 明朝" w:cs="ＭＳ 明朝"/>
    </w:rPr>
  </w:style>
  <w:style w:type="paragraph" w:customStyle="1" w:styleId="enff8">
    <w:name w:val="様式名（en）"/>
    <w:basedOn w:val="jaff8"/>
    <w:rsid w:val="00A66C95"/>
    <w:rPr>
      <w:rFonts w:ascii="Century" w:eastAsia="Century" w:hAnsi="Century" w:cs="Century"/>
    </w:rPr>
  </w:style>
  <w:style w:type="paragraph" w:customStyle="1" w:styleId="jaff9">
    <w:name w:val="様式項目（ja）"/>
    <w:basedOn w:val="a"/>
    <w:rsid w:val="00A66C95"/>
    <w:pPr>
      <w:widowControl w:val="0"/>
      <w:ind w:left="221" w:firstLine="221"/>
    </w:pPr>
    <w:rPr>
      <w:rFonts w:ascii="ＭＳ 明朝" w:eastAsia="ＭＳ 明朝" w:hAnsi="ＭＳ 明朝" w:cs="ＭＳ 明朝"/>
    </w:rPr>
  </w:style>
  <w:style w:type="paragraph" w:customStyle="1" w:styleId="enff9">
    <w:name w:val="様式項目（en）"/>
    <w:basedOn w:val="jaff9"/>
    <w:rsid w:val="00A66C95"/>
    <w:rPr>
      <w:rFonts w:ascii="Century" w:eastAsia="Century" w:hAnsi="Century" w:cs="Century"/>
    </w:rPr>
  </w:style>
  <w:style w:type="table" w:customStyle="1" w:styleId="1">
    <w:name w:val="表1"/>
    <w:rsid w:val="00A66C95"/>
    <w:tblPr>
      <w:tblInd w:w="340" w:type="dxa"/>
      <w:tblCellMar>
        <w:top w:w="0" w:type="dxa"/>
        <w:left w:w="0" w:type="dxa"/>
        <w:bottom w:w="0" w:type="dxa"/>
        <w:right w:w="0" w:type="dxa"/>
      </w:tblCellMar>
    </w:tblPr>
  </w:style>
  <w:style w:type="numbering" w:customStyle="1" w:styleId="WW8Num1">
    <w:name w:val="WW8Num1"/>
    <w:rsid w:val="00A66C95"/>
    <w:pPr>
      <w:numPr>
        <w:numId w:val="2"/>
      </w:numPr>
    </w:pPr>
  </w:style>
  <w:style w:type="numbering" w:customStyle="1" w:styleId="WW8Num2">
    <w:name w:val="WW8Num2"/>
    <w:rsid w:val="00A66C95"/>
    <w:pPr>
      <w:numPr>
        <w:numId w:val="3"/>
      </w:numPr>
    </w:pPr>
  </w:style>
  <w:style w:type="numbering" w:customStyle="1" w:styleId="WW8Num3">
    <w:name w:val="WW8Num3"/>
    <w:rsid w:val="00A66C95"/>
    <w:pPr>
      <w:numPr>
        <w:numId w:val="4"/>
      </w:numPr>
    </w:pPr>
  </w:style>
  <w:style w:type="numbering" w:customStyle="1" w:styleId="WW8Num4">
    <w:name w:val="WW8Num4"/>
    <w:rsid w:val="00A66C95"/>
    <w:pPr>
      <w:numPr>
        <w:numId w:val="5"/>
      </w:numPr>
    </w:pPr>
  </w:style>
  <w:style w:type="numbering" w:customStyle="1" w:styleId="WW8Num5">
    <w:name w:val="WW8Num5"/>
    <w:rsid w:val="00A66C95"/>
    <w:pPr>
      <w:numPr>
        <w:numId w:val="6"/>
      </w:numPr>
    </w:pPr>
  </w:style>
  <w:style w:type="numbering" w:customStyle="1" w:styleId="WW8Num6">
    <w:name w:val="WW8Num6"/>
    <w:rsid w:val="00A66C95"/>
    <w:pPr>
      <w:numPr>
        <w:numId w:val="7"/>
      </w:numPr>
    </w:pPr>
  </w:style>
  <w:style w:type="numbering" w:customStyle="1" w:styleId="WW8Num7">
    <w:name w:val="WW8Num7"/>
    <w:rsid w:val="00A66C95"/>
    <w:pPr>
      <w:numPr>
        <w:numId w:val="8"/>
      </w:numPr>
    </w:pPr>
  </w:style>
  <w:style w:type="numbering" w:customStyle="1" w:styleId="WW8Num8">
    <w:name w:val="WW8Num8"/>
    <w:rsid w:val="00A66C95"/>
    <w:pPr>
      <w:numPr>
        <w:numId w:val="9"/>
      </w:numPr>
    </w:pPr>
  </w:style>
  <w:style w:type="numbering" w:customStyle="1" w:styleId="WW8Num9">
    <w:name w:val="WW8Num9"/>
    <w:rsid w:val="00A66C95"/>
    <w:pPr>
      <w:numPr>
        <w:numId w:val="10"/>
      </w:numPr>
    </w:pPr>
  </w:style>
  <w:style w:type="numbering" w:customStyle="1" w:styleId="WW8Num10">
    <w:name w:val="WW8Num10"/>
    <w:rsid w:val="00A66C95"/>
    <w:pPr>
      <w:numPr>
        <w:numId w:val="11"/>
      </w:numPr>
    </w:pPr>
  </w:style>
  <w:style w:type="numbering" w:customStyle="1" w:styleId="WW8Num11">
    <w:name w:val="WW8Num11"/>
    <w:rsid w:val="00A66C95"/>
    <w:pPr>
      <w:numPr>
        <w:numId w:val="12"/>
      </w:numPr>
    </w:pPr>
  </w:style>
  <w:style w:type="numbering" w:customStyle="1" w:styleId="WW8Num12">
    <w:name w:val="WW8Num12"/>
    <w:rsid w:val="00A66C9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2045</Words>
  <Characters>11658</Characters>
  <Application>Microsoft Office Word</Application>
  <DocSecurity>0</DocSecurity>
  <Lines>97</Lines>
  <Paragraphs>27</Paragraphs>
  <ScaleCrop>false</ScaleCrop>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2025-05-29T05:44:00Z</dcterms:created>
  <dcterms:modified xsi:type="dcterms:W3CDTF">2025-05-29T05:44:00Z</dcterms:modified>
</cp:coreProperties>
</file>