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1CC" w:rsidRDefault="00E068E6">
      <w:pPr>
        <w:pStyle w:val="en"/>
      </w:pPr>
      <w:r>
        <w:t>Order for Enforcement of the Air Pollution Control Act</w:t>
      </w:r>
    </w:p>
    <w:p w:rsidR="008961CC" w:rsidRDefault="008961CC"/>
    <w:p w:rsidR="008961CC" w:rsidRDefault="00E068E6">
      <w:pPr>
        <w:pStyle w:val="enf"/>
      </w:pPr>
      <w:r>
        <w:t>(Cabinet Order No. 329 of November 30, 1968)</w:t>
      </w:r>
    </w:p>
    <w:p w:rsidR="008961CC" w:rsidRDefault="008961CC"/>
    <w:p w:rsidR="008961CC" w:rsidRDefault="00E068E6">
      <w:pPr>
        <w:pStyle w:val="ene"/>
      </w:pPr>
      <w:r>
        <w:t>Pursuant to the provisions of Article 2, paragraphs (3), (5), and (6), Article 3, paragraph (1), Article 22, Article 26, paragraph (1), and Article 31 of the Air Pollution Control Act (Act No. 97 of 1968) and in order to implement that Act, the Cabinet hereby establishes this Cabinet Order.</w:t>
      </w:r>
    </w:p>
    <w:p w:rsidR="008961CC" w:rsidRDefault="008961CC"/>
    <w:p w:rsidR="008961CC" w:rsidRDefault="00E068E6">
      <w:pPr>
        <w:pStyle w:val="ena"/>
      </w:pPr>
      <w:r>
        <w:t>(Hazardous Substances)</w:t>
      </w:r>
    </w:p>
    <w:p w:rsidR="008961CC" w:rsidRDefault="00E068E6">
      <w:pPr>
        <w:pStyle w:val="enf3"/>
      </w:pPr>
      <w:r>
        <w:t>Article 1  The substances specified by Cabinet Order as referred to in Article 2, paragraph (1), item (iii) of the Air Pollution Control Act (referred to as "the Act" below) are the following substances:</w:t>
      </w:r>
    </w:p>
    <w:p w:rsidR="008961CC" w:rsidRDefault="00E068E6">
      <w:pPr>
        <w:pStyle w:val="enf6"/>
      </w:pPr>
      <w:r>
        <w:t>(i) cadmium and its compounds;</w:t>
      </w:r>
    </w:p>
    <w:p w:rsidR="008961CC" w:rsidRDefault="00E068E6">
      <w:pPr>
        <w:pStyle w:val="enf6"/>
      </w:pPr>
      <w:r>
        <w:t>(ii) chlorine and hydrogen chloride;</w:t>
      </w:r>
    </w:p>
    <w:p w:rsidR="008961CC" w:rsidRDefault="00E068E6">
      <w:pPr>
        <w:pStyle w:val="enf6"/>
      </w:pPr>
      <w:r>
        <w:t>(iii) fluorine, hydrogen fluoride, and silicon fluoride;</w:t>
      </w:r>
    </w:p>
    <w:p w:rsidR="008961CC" w:rsidRDefault="00E068E6">
      <w:pPr>
        <w:pStyle w:val="enf6"/>
      </w:pPr>
      <w:r>
        <w:t>(iv) lead and its compounds; and</w:t>
      </w:r>
    </w:p>
    <w:p w:rsidR="008961CC" w:rsidRDefault="00E068E6">
      <w:pPr>
        <w:pStyle w:val="enf6"/>
      </w:pPr>
      <w:r>
        <w:t>(v) nitrogen oxides.</w:t>
      </w:r>
    </w:p>
    <w:p w:rsidR="008961CC" w:rsidRDefault="008961CC"/>
    <w:p w:rsidR="008961CC" w:rsidRDefault="00E068E6">
      <w:pPr>
        <w:pStyle w:val="ena"/>
      </w:pPr>
      <w:r>
        <w:t>(Facilities Generating Soot or Smoke)</w:t>
      </w:r>
    </w:p>
    <w:p w:rsidR="008961CC" w:rsidRDefault="00E068E6">
      <w:pPr>
        <w:pStyle w:val="enf3"/>
      </w:pPr>
      <w:r>
        <w:t>Article 2  The facilities specified by Cabinet Order as referred to in Article 2, paragraph (2) of the Act are the facilities stated in the middle column of Appended Table 1 of scale falling under the right column of that table.</w:t>
      </w:r>
    </w:p>
    <w:p w:rsidR="008961CC" w:rsidRDefault="008961CC"/>
    <w:p w:rsidR="008961CC" w:rsidRDefault="00E068E6">
      <w:pPr>
        <w:pStyle w:val="ena"/>
      </w:pPr>
      <w:r>
        <w:t>(Substances Excluded from Volatile Organic Compounds)</w:t>
      </w:r>
    </w:p>
    <w:p w:rsidR="008961CC" w:rsidRDefault="00E068E6">
      <w:pPr>
        <w:pStyle w:val="enf3"/>
      </w:pPr>
      <w:r>
        <w:t>Article 2-2  The substances specified by Cabinet Order as referred to in Article 2, paragraph (4) of the Act are the following substances:</w:t>
      </w:r>
    </w:p>
    <w:p w:rsidR="008961CC" w:rsidRDefault="00E068E6">
      <w:pPr>
        <w:pStyle w:val="enf6"/>
      </w:pPr>
      <w:r>
        <w:t>(i) methane;</w:t>
      </w:r>
    </w:p>
    <w:p w:rsidR="008961CC" w:rsidRDefault="00E068E6">
      <w:pPr>
        <w:pStyle w:val="enf6"/>
      </w:pPr>
      <w:r>
        <w:t>(ii) chlorodifluoromethane (alternatively HCFC-22);</w:t>
      </w:r>
    </w:p>
    <w:p w:rsidR="008961CC" w:rsidRDefault="00E068E6">
      <w:pPr>
        <w:pStyle w:val="enf6"/>
      </w:pPr>
      <w:r>
        <w:t>(iii) 2-chloro-1,1,1, 2-tetrafluoroethane (alternatively HCFC-124);</w:t>
      </w:r>
    </w:p>
    <w:p w:rsidR="008961CC" w:rsidRDefault="00E068E6">
      <w:pPr>
        <w:pStyle w:val="enf6"/>
      </w:pPr>
      <w:r>
        <w:t>(iv) 1,1-dichloro-1-fluoroethane (alternatively HCFC-141b);</w:t>
      </w:r>
    </w:p>
    <w:p w:rsidR="008961CC" w:rsidRDefault="00E068E6">
      <w:pPr>
        <w:pStyle w:val="enf6"/>
      </w:pPr>
      <w:r>
        <w:t>(v) 1-chloro-1,1-difluoroethane (alternatively HCFC-142b);</w:t>
      </w:r>
    </w:p>
    <w:p w:rsidR="008961CC" w:rsidRDefault="00E068E6">
      <w:pPr>
        <w:pStyle w:val="enf6"/>
      </w:pPr>
      <w:r>
        <w:t>(vi) 3,3-dichloro-1,1,1,2,2-pentafluoropropane (alternatively HCFC-225ca);</w:t>
      </w:r>
    </w:p>
    <w:p w:rsidR="008961CC" w:rsidRDefault="00E068E6">
      <w:pPr>
        <w:pStyle w:val="enf6"/>
      </w:pPr>
      <w:r>
        <w:t>(vii) 1,3-dichloro-1,1,2,2,3-pentafluoropropane (alternatively HCFC-225cb);</w:t>
      </w:r>
    </w:p>
    <w:p w:rsidR="008961CC" w:rsidRDefault="00E068E6">
      <w:pPr>
        <w:pStyle w:val="enf6"/>
      </w:pPr>
      <w:r>
        <w:t>(viii) 1,1,1,2,3,4,4,5,5,5-decafluoropentane (alternatively HFC-43-10mee).</w:t>
      </w:r>
    </w:p>
    <w:p w:rsidR="008961CC" w:rsidRDefault="008961CC"/>
    <w:p w:rsidR="008961CC" w:rsidRDefault="00E068E6">
      <w:pPr>
        <w:pStyle w:val="ena"/>
      </w:pPr>
      <w:r>
        <w:t>(Facilities Emitting Volatile Organic Compounds)</w:t>
      </w:r>
    </w:p>
    <w:p w:rsidR="008961CC" w:rsidRDefault="00E068E6">
      <w:pPr>
        <w:pStyle w:val="enf3"/>
      </w:pPr>
      <w:r>
        <w:t xml:space="preserve">Article 2-3  The facilities specified by Cabinet Order as referred to in Article 2, paragraph (5) of the Act are the facilities stated in the middle column of </w:t>
      </w:r>
      <w:r>
        <w:lastRenderedPageBreak/>
        <w:t>Appended Table 1-2 of scale falling under the right column of that table.</w:t>
      </w:r>
    </w:p>
    <w:p w:rsidR="008961CC" w:rsidRDefault="008961CC"/>
    <w:p w:rsidR="008961CC" w:rsidRDefault="00E068E6">
      <w:pPr>
        <w:pStyle w:val="ena"/>
      </w:pPr>
      <w:r>
        <w:t>(Specified Particulates)</w:t>
      </w:r>
    </w:p>
    <w:p w:rsidR="008961CC" w:rsidRDefault="00E068E6">
      <w:pPr>
        <w:pStyle w:val="enf3"/>
      </w:pPr>
      <w:r>
        <w:t>Article 2-4  The substance specified by Cabinet Order as referred to in Article 2, paragraph (8) of the Act is asbestos.</w:t>
      </w:r>
    </w:p>
    <w:p w:rsidR="008961CC" w:rsidRDefault="008961CC"/>
    <w:p w:rsidR="008961CC" w:rsidRDefault="00E068E6">
      <w:pPr>
        <w:pStyle w:val="ena"/>
      </w:pPr>
      <w:r>
        <w:t>(Facilities Generating Ordinary Particulates)</w:t>
      </w:r>
    </w:p>
    <w:p w:rsidR="008961CC" w:rsidRDefault="00E068E6">
      <w:pPr>
        <w:pStyle w:val="enf3"/>
      </w:pPr>
      <w:r>
        <w:t>Article 3  The facilities specified by Cabinet Order as referred to in Article 2, paragraph (9) of the Act are the facilities stated in the middle column of Appended Table 2 of scale falling under the right column of that table.</w:t>
      </w:r>
    </w:p>
    <w:p w:rsidR="008961CC" w:rsidRDefault="008961CC"/>
    <w:p w:rsidR="008961CC" w:rsidRDefault="00E068E6">
      <w:pPr>
        <w:pStyle w:val="ena"/>
      </w:pPr>
      <w:r>
        <w:t>(Facilities Generating Specified Particulates)</w:t>
      </w:r>
    </w:p>
    <w:p w:rsidR="008961CC" w:rsidRDefault="00E068E6">
      <w:pPr>
        <w:pStyle w:val="enf3"/>
      </w:pPr>
      <w:r>
        <w:t>Article 3-2  The facilities specified by Cabinet Order as referred to in Article 2, paragraph (10) of the Act are the facilities stated in the middle column of Appended Table 2-2 of scale falling under the right column of that table.</w:t>
      </w:r>
    </w:p>
    <w:p w:rsidR="008961CC" w:rsidRDefault="008961CC"/>
    <w:p w:rsidR="008961CC" w:rsidRDefault="00E068E6">
      <w:pPr>
        <w:pStyle w:val="ena"/>
      </w:pPr>
      <w:r>
        <w:t>(Specified Building Materials)</w:t>
      </w:r>
    </w:p>
    <w:p w:rsidR="008961CC" w:rsidRDefault="00E068E6">
      <w:pPr>
        <w:pStyle w:val="enf3"/>
      </w:pPr>
      <w:r>
        <w:t>Article 3-3  The building materials specified by Cabinet Order as referred to in Article 2, paragraph (11) of the Act are sprayed asbestos and other building materials containing asbestos.</w:t>
      </w:r>
    </w:p>
    <w:p w:rsidR="008961CC" w:rsidRDefault="008961CC"/>
    <w:p w:rsidR="008961CC" w:rsidRDefault="00E068E6">
      <w:pPr>
        <w:pStyle w:val="ena"/>
      </w:pPr>
      <w:r>
        <w:t>(Tasks Which Cause the Emission or Dispersal of Specified Particulates)</w:t>
      </w:r>
    </w:p>
    <w:p w:rsidR="008961CC" w:rsidRDefault="00E068E6">
      <w:pPr>
        <w:pStyle w:val="enf3"/>
      </w:pPr>
      <w:r>
        <w:t>Article 3-4  The tasks specified by Cabinet Order as referred to in Article 2, paragraph (11) of the Act are as follows:</w:t>
      </w:r>
    </w:p>
    <w:p w:rsidR="008961CC" w:rsidRDefault="00E068E6">
      <w:pPr>
        <w:pStyle w:val="enf6"/>
      </w:pPr>
      <w:r>
        <w:t>(i) a task for demolishing a building or other structure (referred to as a "building or other structure" below) which used specified building materials; and</w:t>
      </w:r>
    </w:p>
    <w:p w:rsidR="008961CC" w:rsidRDefault="00E068E6">
      <w:pPr>
        <w:pStyle w:val="enf6"/>
      </w:pPr>
      <w:r>
        <w:t>(ii) a task for renovating or repairing a building or other structure which used specified building materials.</w:t>
      </w:r>
    </w:p>
    <w:p w:rsidR="008961CC" w:rsidRDefault="008961CC"/>
    <w:p w:rsidR="008961CC" w:rsidRDefault="00E068E6">
      <w:pPr>
        <w:pStyle w:val="ena"/>
      </w:pPr>
      <w:r>
        <w:t>(Facilities Emitting Mercury)</w:t>
      </w:r>
    </w:p>
    <w:p w:rsidR="008961CC" w:rsidRDefault="00E068E6">
      <w:pPr>
        <w:pStyle w:val="enf3"/>
      </w:pPr>
      <w:r>
        <w:t>Article 3-5  The facilities specified by Cabinet Order as referred to in Article 2, paragraph (14) of the Act are the facilities stated in Annex D of the Convention or facilities performing the processes stated in Annex D of the Convention, which meet the standard established by Order of the Ministry of the Environment as being the standard referred to in Article 8, 2 (b) of the Convention.</w:t>
      </w:r>
    </w:p>
    <w:p w:rsidR="008961CC" w:rsidRDefault="008961CC"/>
    <w:p w:rsidR="008961CC" w:rsidRDefault="00E068E6">
      <w:pPr>
        <w:pStyle w:val="ena"/>
      </w:pPr>
      <w:r>
        <w:t>(Automobile Exhaust)</w:t>
      </w:r>
    </w:p>
    <w:p w:rsidR="008961CC" w:rsidRDefault="00E068E6">
      <w:pPr>
        <w:pStyle w:val="enf3"/>
      </w:pPr>
      <w:r>
        <w:t>Article 4  The substances specified by Cabinet Order as referred to in Article 2, paragraph (17) of the Act are the following substances:</w:t>
      </w:r>
    </w:p>
    <w:p w:rsidR="008961CC" w:rsidRDefault="00E068E6">
      <w:pPr>
        <w:pStyle w:val="enf6"/>
      </w:pPr>
      <w:r>
        <w:lastRenderedPageBreak/>
        <w:t>(i) carbon monoxide;</w:t>
      </w:r>
    </w:p>
    <w:p w:rsidR="008961CC" w:rsidRDefault="00E068E6">
      <w:pPr>
        <w:pStyle w:val="enf6"/>
      </w:pPr>
      <w:r>
        <w:t>(ii) hydrocarbons;</w:t>
      </w:r>
    </w:p>
    <w:p w:rsidR="008961CC" w:rsidRDefault="00E068E6">
      <w:pPr>
        <w:pStyle w:val="enf6"/>
      </w:pPr>
      <w:r>
        <w:t>(iii) lead compounds;</w:t>
      </w:r>
    </w:p>
    <w:p w:rsidR="008961CC" w:rsidRDefault="00E068E6">
      <w:pPr>
        <w:pStyle w:val="enf6"/>
      </w:pPr>
      <w:r>
        <w:t>(iv) nitrogen oxides;</w:t>
      </w:r>
    </w:p>
    <w:p w:rsidR="008961CC" w:rsidRDefault="00E068E6">
      <w:pPr>
        <w:pStyle w:val="enf6"/>
      </w:pPr>
      <w:r>
        <w:t>(v) particulate matter.</w:t>
      </w:r>
    </w:p>
    <w:p w:rsidR="008961CC" w:rsidRDefault="008961CC"/>
    <w:p w:rsidR="008961CC" w:rsidRDefault="00E068E6">
      <w:pPr>
        <w:pStyle w:val="ena"/>
      </w:pPr>
      <w:r>
        <w:t>(Division of Regions in Connection with Sulfur Oxide Emissions Standards)</w:t>
      </w:r>
    </w:p>
    <w:p w:rsidR="008961CC" w:rsidRDefault="00E068E6">
      <w:pPr>
        <w:pStyle w:val="enf3"/>
      </w:pPr>
      <w:r>
        <w:t>Article 5  The regional divisions specified by Cabinet Order as referred to in Article 3, paragraph (2), item (i) of the Act are to be as stated in Appended Table 3.</w:t>
      </w:r>
    </w:p>
    <w:p w:rsidR="008961CC" w:rsidRDefault="008961CC"/>
    <w:p w:rsidR="008961CC" w:rsidRDefault="00E068E6">
      <w:pPr>
        <w:pStyle w:val="ena"/>
      </w:pPr>
      <w:r>
        <w:t>(Air Pollution Limits)</w:t>
      </w:r>
    </w:p>
    <w:p w:rsidR="008961CC" w:rsidRDefault="00E068E6">
      <w:pPr>
        <w:pStyle w:val="enf3"/>
      </w:pPr>
      <w:r>
        <w:t>Article 6  (1) The limits specified by Cabinet Order as referred to in Article 3, paragraph (3) of the Act are to be as stated in item (i) for sulfur dioxides, and as stated in item (ii) for soot and dust:</w:t>
      </w:r>
    </w:p>
    <w:p w:rsidR="008961CC" w:rsidRDefault="00E068E6">
      <w:pPr>
        <w:pStyle w:val="enf6"/>
      </w:pPr>
      <w:r>
        <w:t>(i) 0.04 ppm as the one-day average of hourly values of sulfur dioxide content in the atmosphere (referred to as "hourly value" in this Article); provided, however, that this excludes cases in which the one-day average of hourly values exceeds 0.04 ppm on no more than seven days out of a year; and</w:t>
      </w:r>
    </w:p>
    <w:p w:rsidR="008961CC" w:rsidRDefault="00E068E6">
      <w:pPr>
        <w:pStyle w:val="enf6"/>
      </w:pPr>
      <w:r>
        <w:t>(ii) 0.15 mg per cubic meter as the year's average value for the amount of dust in the atmosphere.</w:t>
      </w:r>
    </w:p>
    <w:p w:rsidR="008961CC" w:rsidRDefault="00E068E6">
      <w:pPr>
        <w:pStyle w:val="enf4"/>
      </w:pPr>
      <w:r>
        <w:t>(2) Order of the Ministry of the Environment provides for the necessary matters in connection with the calculation of the hourly value, one-day average of hourly values, and other values provided for in the preceding paragraph.</w:t>
      </w:r>
    </w:p>
    <w:p w:rsidR="008961CC" w:rsidRDefault="008961CC"/>
    <w:p w:rsidR="008961CC" w:rsidRDefault="00E068E6">
      <w:pPr>
        <w:pStyle w:val="ena"/>
      </w:pPr>
      <w:r>
        <w:t>(Ordinance on Emission Standards)</w:t>
      </w:r>
    </w:p>
    <w:p w:rsidR="008961CC" w:rsidRDefault="00E068E6">
      <w:pPr>
        <w:pStyle w:val="enf3"/>
      </w:pPr>
      <w:r>
        <w:t>Article 7  (1) In an ordinance under Article 4, paragraph (1) of the Act, the permissible limits for the amount of soot and dust provided for in Article 3, paragraph (2), item (ii) of the Act are to be established for each type and scale of the facilities, as it relates to soot and dust, and the permissible limits for the amounts of hazardous substances provided for in item (iii) of that paragraph are to be established for each type of the hazardous substances and facilities, as it relates to hazardous subs</w:t>
      </w:r>
      <w:r>
        <w:t>tances.</w:t>
      </w:r>
    </w:p>
    <w:p w:rsidR="008961CC" w:rsidRDefault="00E068E6">
      <w:pPr>
        <w:pStyle w:val="enf4"/>
      </w:pPr>
      <w:r>
        <w:t xml:space="preserve">(2) Beyond what is provided in the preceding paragraph, if standards under Article 16, paragraph (1) of the Environment Basic Act (Act No. 91 of 1993) have been established for environmental conditions associated with air pollution (referred to as the "air quality standards" below), an ordinance under Article 4, paragraph (1) of the Act is to establish permissible limits to a necessary and sufficient extent to maintain those air quality standards (the ordinance excludes an ordinance established without any </w:t>
      </w:r>
      <w:r>
        <w:t xml:space="preserve">air quality standards in order to prevent the soil of agricultural land in specified areas designated </w:t>
      </w:r>
      <w:r>
        <w:lastRenderedPageBreak/>
        <w:t>pursuant to the provisions of Article 3, paragraph (1) of the Agricultural Land Soil Pollution Prevention Act (Act No. 139 of 1970) from being polluted by any of the specified hazardous substances stated in Article 2, paragraph (3) of that Act).</w:t>
      </w:r>
    </w:p>
    <w:p w:rsidR="008961CC" w:rsidRDefault="008961CC"/>
    <w:p w:rsidR="008961CC" w:rsidRDefault="00E068E6">
      <w:pPr>
        <w:pStyle w:val="ena"/>
      </w:pPr>
      <w:r>
        <w:t>(Designated Soot or Smoke)</w:t>
      </w:r>
    </w:p>
    <w:p w:rsidR="008961CC" w:rsidRDefault="00E068E6">
      <w:pPr>
        <w:pStyle w:val="enf3"/>
      </w:pPr>
      <w:r>
        <w:t>Article 7-2  The soot or smoke specified by Cabinet Order as referred to in Article 5-2, paragraph (1) of the Act are sulfur oxides and nitrogen oxides.</w:t>
      </w:r>
    </w:p>
    <w:p w:rsidR="008961CC" w:rsidRDefault="008961CC"/>
    <w:p w:rsidR="008961CC" w:rsidRDefault="00E068E6">
      <w:pPr>
        <w:pStyle w:val="ena"/>
      </w:pPr>
      <w:r>
        <w:t>(Designated Regions)</w:t>
      </w:r>
    </w:p>
    <w:p w:rsidR="008961CC" w:rsidRDefault="00E068E6">
      <w:pPr>
        <w:pStyle w:val="enf3"/>
      </w:pPr>
      <w:r>
        <w:t>Article 7-3  The regions specified by Cabinet Order as referred to in Article 5-2, paragraph (1) of the Act are the areas stated in Appended Table 3-2 for sulfur oxides and the areas stated in Appended Table 3-3 for nitrogen oxides.</w:t>
      </w:r>
    </w:p>
    <w:p w:rsidR="008961CC" w:rsidRDefault="008961CC"/>
    <w:p w:rsidR="008961CC" w:rsidRDefault="00E068E6">
      <w:pPr>
        <w:pStyle w:val="ena"/>
      </w:pPr>
      <w:r>
        <w:t>(Plans for Reducing the Total Amount of Designated Soot and Smoke)</w:t>
      </w:r>
    </w:p>
    <w:p w:rsidR="008961CC" w:rsidRDefault="00E068E6">
      <w:pPr>
        <w:pStyle w:val="enf3"/>
      </w:pPr>
      <w:r>
        <w:t>Article 7-4  (1) A plan for reducing the total amount of designated soot and smoke involving sulfur oxides is to establish the time period for achieving the plan with the goal of ensuring that the air quality standards for sulfur oxides are met in March of 1978.</w:t>
      </w:r>
    </w:p>
    <w:p w:rsidR="008961CC" w:rsidRDefault="00E068E6">
      <w:pPr>
        <w:pStyle w:val="enf4"/>
      </w:pPr>
      <w:r>
        <w:t>(2) A plan for reducing the total amount of designated soot and smoke involving nitrogen oxides is to establish a time period for achieving the plan with the goal of ensuring that the air quality standards for nitrogen oxides are met in March 1985.</w:t>
      </w:r>
    </w:p>
    <w:p w:rsidR="008961CC" w:rsidRDefault="00E068E6">
      <w:pPr>
        <w:pStyle w:val="enf4"/>
      </w:pPr>
      <w:r>
        <w:t>(3) A plan for reducing the total amount of designated soot and smoke is to provide for the fundamentals as a means of achieving the plan in itself, regarding the establishment of total emission regulation standards.</w:t>
      </w:r>
    </w:p>
    <w:p w:rsidR="008961CC" w:rsidRDefault="00E068E6">
      <w:pPr>
        <w:pStyle w:val="enf4"/>
      </w:pPr>
      <w:r>
        <w:t>(4) It is prohibited to establish three or more target amounts of reduction as the interim target referred to in Article 5-3, paragraph (1), item (iv) of the Act.</w:t>
      </w:r>
    </w:p>
    <w:p w:rsidR="008961CC" w:rsidRDefault="00E068E6">
      <w:pPr>
        <w:pStyle w:val="enf4"/>
      </w:pPr>
      <w:r>
        <w:t>(5) A plan for reducing the total amount of designated soot and smoke must give appropriate consideration to things such as the status of designated soot and smoke emissions for each scale and type of source at which they are generated, the prospects for raw material and fuel use for each scale of the specified factory and place of business, and the prospects for the installation of soot and smoke processing facilities at specified factories and places of business, in each of the periods needed for preparat</w:t>
      </w:r>
      <w:r>
        <w:t>ion of the plan.</w:t>
      </w:r>
    </w:p>
    <w:p w:rsidR="008961CC" w:rsidRDefault="008961CC"/>
    <w:p w:rsidR="008961CC" w:rsidRDefault="00E068E6">
      <w:pPr>
        <w:pStyle w:val="ena"/>
      </w:pPr>
      <w:r>
        <w:t>(Facilities Specified by Cabinet Order as Referred to in Article 13, paragraph (2) of the Act)</w:t>
      </w:r>
    </w:p>
    <w:p w:rsidR="008961CC" w:rsidRDefault="00E068E6">
      <w:pPr>
        <w:pStyle w:val="enf3"/>
      </w:pPr>
      <w:r>
        <w:t xml:space="preserve">Article 8  The facilities specified by Cabinet Order that as referred to in Article 13, paragraph (2) of the Act (including as applied mutatis mutandis pursuant to Article 14, paragraph (2) of the Act) are the facilities stated in row (xiv), row </w:t>
      </w:r>
      <w:r>
        <w:lastRenderedPageBreak/>
        <w:t xml:space="preserve">(xv), and rows (xx) through (xxvi) of Appended Table 1; the facilities specified by Cabinet Order as referred to in Article 13, paragraph (2) of the Act which is applied mutatis mutandis pursuant to Article 18-13, paragraph (3) of the Act are the facilities stated in row (i) of Appended Table 2; and the facilities specified by Cabinet Order as referred to in Article 13, paragraph (2) of the Act which is applied mutatis mutandis pursuant to Article 18-36, paragraph (3) of the Act are the facilities emitting </w:t>
      </w:r>
      <w:r>
        <w:t>mercury as specified by Order of the Ministry of the Environment for which it will take a considerable period of time to reach conformity with the emission standards under Article 18-27 (the facilities emitting mercury means the facilities emitting mercury as prescribed in Article 2, paragraph (14) of the Act; the same applies in Article 12, paragraph (9)).</w:t>
      </w:r>
    </w:p>
    <w:p w:rsidR="008961CC" w:rsidRDefault="008961CC"/>
    <w:p w:rsidR="008961CC" w:rsidRDefault="00E068E6">
      <w:pPr>
        <w:pStyle w:val="ena"/>
      </w:pPr>
      <w:r>
        <w:t>(Regions Specified by Cabinet Order That Are Referred to in Article 15, Paragraph (1) of the Act)</w:t>
      </w:r>
    </w:p>
    <w:p w:rsidR="008961CC" w:rsidRDefault="00E068E6">
      <w:pPr>
        <w:pStyle w:val="enf3"/>
      </w:pPr>
      <w:r>
        <w:t>Article 9  The regions specified by Cabinet Order as referred to in Article 15, paragraph (1) of the Act are the areas stated in Appended Table 4.</w:t>
      </w:r>
    </w:p>
    <w:p w:rsidR="008961CC" w:rsidRDefault="008961CC"/>
    <w:p w:rsidR="008961CC" w:rsidRDefault="00E068E6">
      <w:pPr>
        <w:pStyle w:val="ena"/>
      </w:pPr>
      <w:r>
        <w:t>(Specified Substances)</w:t>
      </w:r>
    </w:p>
    <w:p w:rsidR="008961CC" w:rsidRDefault="00E068E6">
      <w:pPr>
        <w:pStyle w:val="enf3"/>
      </w:pPr>
      <w:r>
        <w:t>Article 10  The substances specified by Cabinet Order as referred to in Article 17, paragraph (1) of the Act are the following substances:</w:t>
      </w:r>
    </w:p>
    <w:p w:rsidR="008961CC" w:rsidRDefault="00E068E6">
      <w:pPr>
        <w:pStyle w:val="enf6"/>
      </w:pPr>
      <w:r>
        <w:t>(i) ammonia;</w:t>
      </w:r>
    </w:p>
    <w:p w:rsidR="008961CC" w:rsidRDefault="00E068E6">
      <w:pPr>
        <w:pStyle w:val="enf6"/>
      </w:pPr>
      <w:r>
        <w:t>(ii) hydrogen fluoride;</w:t>
      </w:r>
    </w:p>
    <w:p w:rsidR="008961CC" w:rsidRDefault="00E068E6">
      <w:pPr>
        <w:pStyle w:val="enf6"/>
      </w:pPr>
      <w:r>
        <w:t>(iii) hydrogen cyanide;</w:t>
      </w:r>
    </w:p>
    <w:p w:rsidR="008961CC" w:rsidRDefault="00E068E6">
      <w:pPr>
        <w:pStyle w:val="enf6"/>
      </w:pPr>
      <w:r>
        <w:t>(iv) carbon monoxide;</w:t>
      </w:r>
    </w:p>
    <w:p w:rsidR="008961CC" w:rsidRDefault="00E068E6">
      <w:pPr>
        <w:pStyle w:val="enf6"/>
      </w:pPr>
      <w:r>
        <w:t>(v) formaldehyde;</w:t>
      </w:r>
    </w:p>
    <w:p w:rsidR="008961CC" w:rsidRDefault="00E068E6">
      <w:pPr>
        <w:pStyle w:val="enf6"/>
      </w:pPr>
      <w:r>
        <w:t>(vi) methanol;</w:t>
      </w:r>
    </w:p>
    <w:p w:rsidR="008961CC" w:rsidRDefault="00E068E6">
      <w:pPr>
        <w:pStyle w:val="enf6"/>
      </w:pPr>
      <w:r>
        <w:t>(vii) hydrogen sulfide;</w:t>
      </w:r>
    </w:p>
    <w:p w:rsidR="008961CC" w:rsidRDefault="00E068E6">
      <w:pPr>
        <w:pStyle w:val="enf6"/>
      </w:pPr>
      <w:r>
        <w:t>(viii) hydrogen phosphide;</w:t>
      </w:r>
    </w:p>
    <w:p w:rsidR="008961CC" w:rsidRDefault="00E068E6">
      <w:pPr>
        <w:pStyle w:val="enf6"/>
      </w:pPr>
      <w:r>
        <w:t>(ix) hydrogen chloride;</w:t>
      </w:r>
    </w:p>
    <w:p w:rsidR="008961CC" w:rsidRDefault="00E068E6">
      <w:pPr>
        <w:pStyle w:val="enf6"/>
      </w:pPr>
      <w:r>
        <w:t>(x) nitrogen dioxide;</w:t>
      </w:r>
    </w:p>
    <w:p w:rsidR="008961CC" w:rsidRDefault="00E068E6">
      <w:pPr>
        <w:pStyle w:val="enf6"/>
      </w:pPr>
      <w:r>
        <w:t>(xi) acrolein;</w:t>
      </w:r>
    </w:p>
    <w:p w:rsidR="008961CC" w:rsidRDefault="00E068E6">
      <w:pPr>
        <w:pStyle w:val="enf6"/>
      </w:pPr>
      <w:r>
        <w:t>(xii) sulfur dioxide;</w:t>
      </w:r>
    </w:p>
    <w:p w:rsidR="008961CC" w:rsidRDefault="00E068E6">
      <w:pPr>
        <w:pStyle w:val="enf6"/>
      </w:pPr>
      <w:r>
        <w:t>(xiii) chlorine;</w:t>
      </w:r>
    </w:p>
    <w:p w:rsidR="008961CC" w:rsidRDefault="00E068E6">
      <w:pPr>
        <w:pStyle w:val="enf6"/>
      </w:pPr>
      <w:r>
        <w:t>(xiv) carbon disulfide;</w:t>
      </w:r>
    </w:p>
    <w:p w:rsidR="008961CC" w:rsidRDefault="00E068E6">
      <w:pPr>
        <w:pStyle w:val="enf6"/>
      </w:pPr>
      <w:r>
        <w:t>(xv) benzene;</w:t>
      </w:r>
    </w:p>
    <w:p w:rsidR="008961CC" w:rsidRDefault="00E068E6">
      <w:pPr>
        <w:pStyle w:val="enf6"/>
      </w:pPr>
      <w:r>
        <w:t>(xvi) pyridine;</w:t>
      </w:r>
    </w:p>
    <w:p w:rsidR="008961CC" w:rsidRDefault="00E068E6">
      <w:pPr>
        <w:pStyle w:val="enf6"/>
      </w:pPr>
      <w:r>
        <w:t>(xvii) phenol;</w:t>
      </w:r>
    </w:p>
    <w:p w:rsidR="008961CC" w:rsidRDefault="00E068E6">
      <w:pPr>
        <w:pStyle w:val="enf6"/>
      </w:pPr>
      <w:r>
        <w:t>(xviii) sulfuric acid (including sulfur trioxide);</w:t>
      </w:r>
    </w:p>
    <w:p w:rsidR="008961CC" w:rsidRDefault="00E068E6">
      <w:pPr>
        <w:pStyle w:val="enf6"/>
      </w:pPr>
      <w:r>
        <w:t>(xix) silicon fluoride;</w:t>
      </w:r>
    </w:p>
    <w:p w:rsidR="008961CC" w:rsidRDefault="00E068E6">
      <w:pPr>
        <w:pStyle w:val="enf6"/>
      </w:pPr>
      <w:r>
        <w:t>(xx) phosgene;</w:t>
      </w:r>
    </w:p>
    <w:p w:rsidR="008961CC" w:rsidRDefault="00E068E6">
      <w:pPr>
        <w:pStyle w:val="enf6"/>
      </w:pPr>
      <w:r>
        <w:t>(xxi) selenium dioxide;</w:t>
      </w:r>
    </w:p>
    <w:p w:rsidR="008961CC" w:rsidRDefault="00E068E6">
      <w:pPr>
        <w:pStyle w:val="enf6"/>
      </w:pPr>
      <w:r>
        <w:lastRenderedPageBreak/>
        <w:t>(xxii) chlorosulphonic acid;</w:t>
      </w:r>
    </w:p>
    <w:p w:rsidR="008961CC" w:rsidRDefault="00E068E6">
      <w:pPr>
        <w:pStyle w:val="enf6"/>
      </w:pPr>
      <w:r>
        <w:t>(xxiii) yellow phosphorus;</w:t>
      </w:r>
    </w:p>
    <w:p w:rsidR="008961CC" w:rsidRDefault="00E068E6">
      <w:pPr>
        <w:pStyle w:val="enf6"/>
      </w:pPr>
      <w:r>
        <w:t>(xxiv) phosphorus trichloride;</w:t>
      </w:r>
    </w:p>
    <w:p w:rsidR="008961CC" w:rsidRDefault="00E068E6">
      <w:pPr>
        <w:pStyle w:val="enf6"/>
      </w:pPr>
      <w:r>
        <w:t>(xxv) bromine;</w:t>
      </w:r>
    </w:p>
    <w:p w:rsidR="008961CC" w:rsidRDefault="00E068E6">
      <w:pPr>
        <w:pStyle w:val="enf6"/>
      </w:pPr>
      <w:r>
        <w:t>(xxvi) nickel carbonyl;</w:t>
      </w:r>
    </w:p>
    <w:p w:rsidR="008961CC" w:rsidRDefault="00E068E6">
      <w:pPr>
        <w:pStyle w:val="enf6"/>
      </w:pPr>
      <w:r>
        <w:t>(xxvii) phosphorus pentachloride;</w:t>
      </w:r>
    </w:p>
    <w:p w:rsidR="008961CC" w:rsidRDefault="00E068E6">
      <w:pPr>
        <w:pStyle w:val="enf6"/>
      </w:pPr>
      <w:r>
        <w:t>(xxviii) mercaptan.</w:t>
      </w:r>
    </w:p>
    <w:p w:rsidR="008961CC" w:rsidRDefault="008961CC"/>
    <w:p w:rsidR="008961CC" w:rsidRDefault="00E068E6">
      <w:pPr>
        <w:pStyle w:val="ena"/>
      </w:pPr>
      <w:r>
        <w:t>(Specified Building Materials which are Sources of Emitting Specified Particulates in a Large Amount)</w:t>
      </w:r>
    </w:p>
    <w:p w:rsidR="008961CC" w:rsidRDefault="00E068E6">
      <w:pPr>
        <w:pStyle w:val="enf3"/>
      </w:pPr>
      <w:r>
        <w:t>Article 10-2  The specified building materials specified by Cabinet Order as referred to in Article 18-17, paragraph (1) of the Act are sprayed asbestos, asbestos-containing insulation materials, thermal insulating materials, and fireproof covering materials.</w:t>
      </w:r>
    </w:p>
    <w:p w:rsidR="008961CC" w:rsidRDefault="008961CC"/>
    <w:p w:rsidR="008961CC" w:rsidRDefault="00E068E6">
      <w:pPr>
        <w:pStyle w:val="ena"/>
      </w:pPr>
      <w:r>
        <w:t>(Facilities Requiring Emissions Control)</w:t>
      </w:r>
    </w:p>
    <w:p w:rsidR="008961CC" w:rsidRDefault="00E068E6">
      <w:pPr>
        <w:pStyle w:val="enf3"/>
      </w:pPr>
      <w:r>
        <w:t>Article 10-3  The facilities specified by Cabinet Order as referred to in Article 18-37 of the Act are the facilities stated in Appended Table 4-2.</w:t>
      </w:r>
    </w:p>
    <w:p w:rsidR="008961CC" w:rsidRDefault="008961CC"/>
    <w:p w:rsidR="008961CC" w:rsidRDefault="00E068E6">
      <w:pPr>
        <w:pStyle w:val="ena"/>
      </w:pPr>
      <w:r>
        <w:t>(Emergencies)</w:t>
      </w:r>
    </w:p>
    <w:p w:rsidR="008961CC" w:rsidRDefault="00E068E6">
      <w:pPr>
        <w:pStyle w:val="enf3"/>
      </w:pPr>
      <w:r>
        <w:t>Article 11  (1) The cases specified by Cabinet Order as referred to in Article 23, paragraph (1) of the Act concern when a substance stated in the left column of Appended Table 5 falls under the relevant case stated in the middle column of that table, and the air pollution status stated in that column is expected to be ongoing in view of the weather conditions.</w:t>
      </w:r>
    </w:p>
    <w:p w:rsidR="008961CC" w:rsidRDefault="00E068E6">
      <w:pPr>
        <w:pStyle w:val="enf4"/>
      </w:pPr>
      <w:r>
        <w:t>(2) The cases specified by Cabinet Order as referred to in Article 23, paragraph (2) of the Act concern when a substance stated in the left column of Appended Table 5 falls under the relevant case stated in the right column of that table, and the air pollution status stated in that column is expected to be ongoing in view of the weather conditions.</w:t>
      </w:r>
    </w:p>
    <w:p w:rsidR="008961CC" w:rsidRDefault="008961CC"/>
    <w:p w:rsidR="008961CC" w:rsidRDefault="00E068E6">
      <w:pPr>
        <w:pStyle w:val="ena"/>
      </w:pPr>
      <w:r>
        <w:t>(Reporting and Inspections)</w:t>
      </w:r>
    </w:p>
    <w:p w:rsidR="008961CC" w:rsidRDefault="00E068E6">
      <w:pPr>
        <w:pStyle w:val="enf3"/>
      </w:pPr>
      <w:r>
        <w:t>Article 12  (1) Pursuant to the provisions of Article 26, paragraph (1) of the Act, the Minister of the Environment or a prefectural governor may require a person that has in place a facility generating soot or smoke to report on the way in which the facility is used, the way in which soot and smoke are processed, the amount and concentration rate of soot and smoke, the matters prescribed by Order of the Ministry of the Environment under Article 6, paragraph (2) of the Act, the status of an incident involvi</w:t>
      </w:r>
      <w:r>
        <w:t>ng the facility, and measures taken at the time of the incident. In that case, if a person emitting soot and smoke from a facility generating soot or smoke as prescribed in Article 27, paragraph (1) of the Act is subjected to that requirement, the Minister or the prefectural governor is to issue the requirement only if this is found to be necessary in connection with the exercise of the authority under Article 14, paragraph (1) or (3), Article 15, paragraph (1) or (2), Article 15-2, paragraph (1) or (2), Ar</w:t>
      </w:r>
      <w:r>
        <w:t>ticle 23, paragraph (2), or Article 27, paragraph (3) of the Act.</w:t>
      </w:r>
    </w:p>
    <w:p w:rsidR="008961CC" w:rsidRDefault="00E068E6">
      <w:pPr>
        <w:pStyle w:val="enf4"/>
      </w:pPr>
      <w:r>
        <w:t xml:space="preserve">(2) Pursuant to the provisions of Article 26, paragraph (1) of the Act, the Minister of the Environment or a prefectural governor may have their relevant employees enter a factory or place of business of a person that has in place a facility generating soot or smoke, and inspect the facility generating soot or smoke, the soot or smoke processing facility and any related facilities, fuel or raw materials used in the facility generating soot or smoke, and any related records and documents. In that case, if a </w:t>
      </w:r>
      <w:r>
        <w:t>person emitting soot or smoke from a facility generating soot or smoke as prescribed in Article 27, paragraph (1) of the Act is subjected to that inspection, the Minister or the prefectural governor is to have the inspection conducted regarding the facility generating soot or smoke and the soot or smoke processing facility, fuel or raw materials used in the facility generating soot or smoke, and any related records and documents, only if this is found to be necessary in connection with the exercise of the a</w:t>
      </w:r>
      <w:r>
        <w:t>uthority under Article 14, paragraph (1) or (3), Article 15, paragraph (1) or (2), Article 15-2, paragraph (1) or (2), Article 23, paragraph (2), or Article 27, paragraph (3) of the Act.</w:t>
      </w:r>
    </w:p>
    <w:p w:rsidR="008961CC" w:rsidRDefault="00E068E6">
      <w:pPr>
        <w:pStyle w:val="enf4"/>
      </w:pPr>
      <w:r>
        <w:t>(3) Pursuant to the provisions of Article 26, paragraph (1) of the Act, the Minister of the Environment or a prefectural governor may require a person having installed a specified facility in a factory or place of business (excluding a person that has in place a specified facility prescribed by Article 27, paragraph (1) of the Act; the same applies in this paragraph) to report on the status of an incident at the specified facility and measures taken at the time of the incident, or may have their employees e</w:t>
      </w:r>
      <w:r>
        <w:t>nter the factory or place of business of the person and inspect the specified facility and its related facilities, and any related records and documents.</w:t>
      </w:r>
    </w:p>
    <w:p w:rsidR="008961CC" w:rsidRDefault="00E068E6">
      <w:pPr>
        <w:pStyle w:val="enf4"/>
      </w:pPr>
      <w:r>
        <w:t xml:space="preserve">(4) Pursuant to the provisions of Article 26, paragraph (1) of the Act, the Minister of the Environment or a prefectural governor may require a person that has in place a facility emitting volatile organic compounds to report on the structure of the facility and the way in which the facility is used, the way in which volatile organic compounds are processed, the concentration rate of volatile organic compounds, and the matters prescribed by Order of the Ministry of the Environment as referred to in Article </w:t>
      </w:r>
      <w:r>
        <w:t>17-5, paragraph (2) of the Act, or they may have their employees enter the factory or place of business of the person and inspect the facility emitting volatile organic compounds and its related facilities, and any related records and documents. In that case, if a person that has in place a facility emitting volatile organic compounds as prescribed in Article 27, paragraph (1) of the Act is subjected to that requirement or inspection, the Minister or the prefectural governor is to issue the requirement or h</w:t>
      </w:r>
      <w:r>
        <w:t>ave the inspection conducted, only if this is found to be necessary in connection with the exercise of the authority under Article 17-11, Article 23, paragraph (2), or Article 27, paragraph (3) of the Act.</w:t>
      </w:r>
    </w:p>
    <w:p w:rsidR="008961CC" w:rsidRDefault="00E068E6">
      <w:pPr>
        <w:pStyle w:val="enf4"/>
      </w:pPr>
      <w:r>
        <w:t>(5) Pursuant to the provisions of Article 26, paragraph (1) of the Act, the Minister of the Environment or a prefectural governor may require a person that has in place a facility generating ordinary particulates to report on the structure of the facility and the way in which the facility is used and managed, or may have their employees inspect the facility and its related facilities, and any related records and documents. In that case, if a person that has in place a facility generating ordinary particulat</w:t>
      </w:r>
      <w:r>
        <w:t>es as prescribed in Article 27, paragraph (1) of the Act is subjected to that requirement or inspection, the Minister or the prefectural governor is to issue the requirement or have the inspection conducted, only if this is found to be necessary in connection with the exercise of the authority under Article 18-4 or Article 27, paragraph (3) of the Act.</w:t>
      </w:r>
    </w:p>
    <w:p w:rsidR="008961CC" w:rsidRDefault="00E068E6">
      <w:pPr>
        <w:pStyle w:val="enf4"/>
      </w:pPr>
      <w:r>
        <w:t xml:space="preserve">(6) Pursuant to the provisions of Article 26, paragraph (1) of the Act, the Minister of the Environment or a prefectural governor may require a person emitting specified particulates to report on the way in which the facility is used, the way of processing the specified particulates and preventing dispersal of the specified particulates, and the matters prescribed by Order of the Ministry of the Environment as referred to in Article 18-6, paragraph (2) of the Act, or they may have their employees enter the </w:t>
      </w:r>
      <w:r>
        <w:t>factory or place of business of the person and inspect the facility and its related facilities, raw materials used in the facility, and any related records and documents. In that case, if a person that has in place a facility generating specified particulates as prescribed in Article 27, paragraph (1) of the Act is subjected to the requirement or inspection, the Minister or the prefectural governor is to issue the requirement or have the inspection conducted only if this is found to be necessary in connecti</w:t>
      </w:r>
      <w:r>
        <w:t>on with the exercise of the authority under Article 18-11 or Article 27, paragraph (3) of the Act.</w:t>
      </w:r>
    </w:p>
    <w:p w:rsidR="008961CC" w:rsidRDefault="00E068E6">
      <w:pPr>
        <w:pStyle w:val="enf4"/>
      </w:pPr>
      <w:r>
        <w:t>(7) Pursuant to the provisions of Article 26, paragraph (1) of the Act, the Minister of the Environment or a prefectural governor may require the orderer of any demolition work including renovations or repairs to report on an investigation under Article 18-15, paragraph (1) of the Act, the method and other matters for undertaking any tasks which cause the emission or dispersal of specified particulates (meaning the matters stated in items (ii) through (iv) of that paragraph; the same applies in the followin</w:t>
      </w:r>
      <w:r>
        <w:t>g paragraph), and the results of those tasks.</w:t>
      </w:r>
    </w:p>
    <w:p w:rsidR="008961CC" w:rsidRDefault="00E068E6">
      <w:pPr>
        <w:pStyle w:val="enf4"/>
      </w:pPr>
      <w:r>
        <w:t>(8) Pursuant to the provisions of Article 26, paragraph (1) of the Act, the Minister of the Environment or a prefectural governor may require the general contractor of any demolition work including renovations or repairs to report on an investigation under Article 18-15, paragraph (1) of the Act, the method and other matters for undertaking any tasks which cause the emission or dispersal of specified particulates and the results of those tasks, may require the self-contractor to report on an investigation u</w:t>
      </w:r>
      <w:r>
        <w:t>nder paragraph (4) of that Article, the method and other matters for undertaking any tasks which cause the emission or dispersal of specified particulates, and the results of those tasks, or may require the subcontractor to report on the method and other matters for undertaking any tasks which cause the emission or dispersal of specified particulates and the results of those tasks (limited to a scale suited to the allocation of the demolition work including renovations or repairs), or the Minister or the pr</w:t>
      </w:r>
      <w:r>
        <w:t>efectural governor may have their employees enter the buildings or other structures subject to the demolition work including renovations or repairs, the site of that demolition work, and the business locations, offices or other places of business of the general contractor, self-contractor, or subcontractor, and inspect the buildings or other structures subject to that demolition work, the waste or other materials generated in that demolition work, any related records and documents, and any equipment and mat</w:t>
      </w:r>
      <w:r>
        <w:t>erials used in the tasks which cause the emission or dispersal of specified particulates (including equipment and materials to control the emission or dispersal of specified particulates).</w:t>
      </w:r>
    </w:p>
    <w:p w:rsidR="008961CC" w:rsidRDefault="00E068E6">
      <w:pPr>
        <w:pStyle w:val="enf4"/>
      </w:pPr>
      <w:r>
        <w:t>(9) Pursuant to the provisions of Article 26, paragraph (1) of the Act, the Minister of the Environment or a prefectural governor may require a person that has in place a facility emitting mercury to report on the structure of the facility, the way in which the facility is used, the way in which mercury and its compounds are processed, the concentration rate of mercury, and the matters prescribed by Order of the Ministry of the Environment as referred to in Article 18-28, paragraph (2) of the Act, or they m</w:t>
      </w:r>
      <w:r>
        <w:t>ay have their employees enter the factory or place of business of the person, and inspect the facility emitting mercury and its related facilities, fuel or raw materials used in the facility emitting mercury, and any related records and documents. In that case, if a person that has in place a facility emitting mercury as prescribed in Article 27, paragraph (1) of the Act is subjected to that requirement or inspection, the Minister or the prefectural governor is to issue the requirement or have the inspectio</w:t>
      </w:r>
      <w:r>
        <w:t>n conducted, only if this is found to be necessary in connection with the exercise of the authority under Article 18-34 or Article 27, paragraph (3) of the Act.</w:t>
      </w:r>
    </w:p>
    <w:p w:rsidR="008961CC" w:rsidRDefault="008961CC"/>
    <w:p w:rsidR="008961CC" w:rsidRDefault="00E068E6">
      <w:pPr>
        <w:pStyle w:val="ena"/>
      </w:pPr>
      <w:r>
        <w:t>(Handling of Administrative Functions by the Mayor of a City Specified by Cabinet Order)</w:t>
      </w:r>
    </w:p>
    <w:p w:rsidR="008961CC" w:rsidRDefault="00E068E6">
      <w:pPr>
        <w:pStyle w:val="enf3"/>
      </w:pPr>
      <w:r>
        <w:t>Article 13  (1) Among the administrative functions which fall under the authority of a prefectural governor as provided for in the Act, the following functions are to be undertaken by the mayors of the cities of Otaru, Muroran, Tomakomai, Tokorozawa, Ichikawa, Matsudo, Ichihara, Hiratsuka, Fujisawa, Yokkaichi, Kakogawa, and Omuta (referred to as "mayors of Cabinet-Order cities" below): the functions stated in the items below which are involved in the regulation of the emission of soot and smoke, the regulat</w:t>
      </w:r>
      <w:r>
        <w:t>ion of particulates, and the regulation of the emission of mercury and mercury compounds (excluding functions associated with factories); the functions involved in the acceptance of a report under Article 17, paragraph (2) of the Act; the functions involved in the issuance of an order under paragraph (3) of that Article; the functions involved in the collection of reports and conduct of on-site inspections under Article 26, paragraph (1) of the Act in conjunction with the order; the functions involved in th</w:t>
      </w:r>
      <w:r>
        <w:t>e measurement under Article 20 of the Act; the functions involved in the demand under Article 21, paragraph (1) of the Act and statement of an opinion under paragraph (3) of that Article; the functions involved in the continuous monitoring under Article 22, paragraph (1) of the Act and the submission of a report under paragraph (2) of that Article; and the functions involved in the release under Article 24, paragraph (1) of the Act. In that case, the provisions concerning prefectural governors in relation t</w:t>
      </w:r>
      <w:r>
        <w:t>o the administrative functions prescribed by the Act or in the first sentence of this paragraph of this Cabinet Order are deemed to concern the mayors of the Cabinet-Order cities, and those provisions are to apply to the mayors of those Cabinet-Order cities:</w:t>
      </w:r>
    </w:p>
    <w:p w:rsidR="008961CC" w:rsidRDefault="00E068E6">
      <w:pPr>
        <w:pStyle w:val="enf6"/>
      </w:pPr>
      <w:r>
        <w:t xml:space="preserve">(i) administrative functions regarding the receipt of a notification under Article 6, paragraph (1), Article 7, paragraph (1), Article 8, paragraph (1), Article 11 (including as applied mutatis mutandis pursuant to the provisions of Article 18-13, paragraph (2) or Article 18-36, paragraph (2) of the Act), Article 12, paragraph (3) (including as applied mutatis mutandis pursuant to the provisions of Article 18-13, paragraph (2) or Article 18-36, paragraph (2) of the Act), Article 18, paragraphs (1) and (3), </w:t>
      </w:r>
      <w:r>
        <w:t>Article 18-2, paragraph (1), Article 18-6, paragraphs (1) and (3), Article 18-7, paragraph (1), Article 18-17, paragraphs (1) and (2), Article 18-28, paragraph (1), Article 18-29, paragraph (1), or Article 18-32, paragraph (1) of the Act;</w:t>
      </w:r>
    </w:p>
    <w:p w:rsidR="008961CC" w:rsidRDefault="00E068E6">
      <w:pPr>
        <w:pStyle w:val="enf6"/>
      </w:pPr>
      <w:r>
        <w:t>(ii) administrative functions regarding the issuance of an order under Article 9, Article 9-2, Article 14, paragraphs (1) and (3), Article 15, paragraph (2), Article 15-2, paragraph (2), Article 18-4, Article 18-8, Article 18-11, Article 18-18, Article 18-21, Article 18-31, and Article 18-34, paragraph (2) of the Act;</w:t>
      </w:r>
    </w:p>
    <w:p w:rsidR="008961CC" w:rsidRDefault="00E068E6">
      <w:pPr>
        <w:pStyle w:val="enf6"/>
      </w:pPr>
      <w:r>
        <w:t>(iii) administrative functions regarding the shortening of the period under Article 10, paragraph (2) of the Act (including as applied mutatis mutandis pursuant to the provisions of Article 18-13, paragraph (1) and Article 18-36, paragraph (1));</w:t>
      </w:r>
    </w:p>
    <w:p w:rsidR="008961CC" w:rsidRDefault="00E068E6">
      <w:pPr>
        <w:pStyle w:val="enf6"/>
      </w:pPr>
      <w:r>
        <w:t>(iv) administrative functions regarding the issuance of a recommendation under Article 15, paragraph (1), Article 15-2, paragraph (1), and Article 18-34, paragraph (1) of the Act;</w:t>
      </w:r>
    </w:p>
    <w:p w:rsidR="008961CC" w:rsidRDefault="00E068E6">
      <w:pPr>
        <w:pStyle w:val="enf6"/>
      </w:pPr>
      <w:r>
        <w:t>(v) administrative functions regarding the acceptance of a report under Article 18-15, paragraph (6) of the Act;</w:t>
      </w:r>
    </w:p>
    <w:p w:rsidR="008961CC" w:rsidRDefault="00E068E6">
      <w:pPr>
        <w:pStyle w:val="enf6"/>
      </w:pPr>
      <w:r>
        <w:t>(vi) administrative functions regarding the collection of reports and on-site inspections under Article 26, paragraph (1) of the Act (excluding the collection of reports and on-site inspections if these actions are found to be necessary in connection with the exercise of the authority under Article 23, paragraph (2) of the Act);</w:t>
      </w:r>
    </w:p>
    <w:p w:rsidR="008961CC" w:rsidRDefault="00E068E6">
      <w:pPr>
        <w:pStyle w:val="enf6"/>
      </w:pPr>
      <w:r>
        <w:t>(vii) administrative functions regarding the receipt of a notification under Article 27, paragraphs (2) and (4) of the Act;</w:t>
      </w:r>
    </w:p>
    <w:p w:rsidR="008961CC" w:rsidRDefault="00E068E6">
      <w:pPr>
        <w:pStyle w:val="enf6"/>
      </w:pPr>
      <w:r>
        <w:t>(viii) administrative functions regarding the demand under Article 27, paragraph (3) of the Act;</w:t>
      </w:r>
    </w:p>
    <w:p w:rsidR="008961CC" w:rsidRDefault="00E068E6">
      <w:pPr>
        <w:pStyle w:val="enf6"/>
      </w:pPr>
      <w:r>
        <w:t>(ix) administrative functions regarding the deliberation under Article 27, paragraph (5) of the Act;</w:t>
      </w:r>
    </w:p>
    <w:p w:rsidR="008961CC" w:rsidRDefault="00E068E6">
      <w:pPr>
        <w:pStyle w:val="enf6"/>
      </w:pPr>
      <w:r>
        <w:t>(x) administrative functions regarding the request for cooperation and statement of an opinion under Article 28, paragraph (2) of the Act.</w:t>
      </w:r>
    </w:p>
    <w:p w:rsidR="008961CC" w:rsidRDefault="00E068E6">
      <w:pPr>
        <w:pStyle w:val="enf4"/>
      </w:pPr>
      <w:r>
        <w:t>(2) Among the administrative functions prescribed by the preceding paragraph and administrative functions which fall under the authority of a prefectural governor as prescribed by the Act, the functions stated in the items of the preceding paragraph regarding the regulation of the emission of soot and smoke, particulates, or mercury and its compounds in relation to factories, as well as the following functions regarding the regulation of the emission of volatile organic compounds are to be undertaken by the</w:t>
      </w:r>
      <w:r>
        <w:t xml:space="preserve"> mayors of designated cities under Article 252-19, paragraph (1) of the Local Autonomy Act (Act No. 67 of 1947) (excluding Kitakyushu City) and the mayors of core cities under Article 252-22, paragraph (1) of that Act (referred to as "mayors of designated or core cities" in this paragraph). In this the case, the provisions concerning prefectural governors in relation to the administrative functions prescribed by the Act or in the first sentence of this paragraph of this Cabinet Order are deemed to concern t</w:t>
      </w:r>
      <w:r>
        <w:t>he mayors of the designated or core cities, and those provisions are to apply to the mayors of that designated or core cities:</w:t>
      </w:r>
    </w:p>
    <w:p w:rsidR="008961CC" w:rsidRDefault="00E068E6">
      <w:pPr>
        <w:pStyle w:val="enf6"/>
      </w:pPr>
      <w:r>
        <w:t>(i) administrative functions regarding the receipt of a notification under Article 11 and Article 12, paragraph (3) of the Act as applied mutatis mutandis pursuant to the provisions of Article 17-5, paragraph (1), Article 17-6, paragraph (1), Article 17-7, paragraph (1), and Article 17-13, paragraph (2) of the Act;</w:t>
      </w:r>
    </w:p>
    <w:p w:rsidR="008961CC" w:rsidRDefault="00E068E6">
      <w:pPr>
        <w:pStyle w:val="enf6"/>
      </w:pPr>
      <w:r>
        <w:t>(ii) administrative functions regarding the issuance of an order under Article 17-8 and Article 17-11 of the Act;</w:t>
      </w:r>
    </w:p>
    <w:p w:rsidR="008961CC" w:rsidRDefault="00E068E6">
      <w:pPr>
        <w:pStyle w:val="enf6"/>
      </w:pPr>
      <w:r>
        <w:t>(iii) administrative functions regarding the shortening of the period under Article 10, paragraph (2) as applied mutatis mutandis pursuant to the provisions of Article 17-13, paragraph (1) of the Act;</w:t>
      </w:r>
    </w:p>
    <w:p w:rsidR="008961CC" w:rsidRDefault="00E068E6">
      <w:pPr>
        <w:pStyle w:val="enf6"/>
      </w:pPr>
      <w:r>
        <w:t>(iv) administrative functions regarding the collection of reports and on-site inspections under Article 26, paragraph (1) of the Act (excluding when the collection of reports and on-site inspections are found to be necessary in connection with the exercise of the authority under Article 23, paragraph (2) of the Act);</w:t>
      </w:r>
    </w:p>
    <w:p w:rsidR="008961CC" w:rsidRDefault="00E068E6">
      <w:pPr>
        <w:pStyle w:val="enf6"/>
      </w:pPr>
      <w:r>
        <w:t>(v) administrative functions regarding the receipt of a notification under Article 27, paragraphs (2) and (4) of the Act;</w:t>
      </w:r>
    </w:p>
    <w:p w:rsidR="008961CC" w:rsidRDefault="00E068E6">
      <w:pPr>
        <w:pStyle w:val="enf6"/>
      </w:pPr>
      <w:r>
        <w:t>(vi) administrative functions regarding the demand under Article 27, paragraph (3) of the Act;</w:t>
      </w:r>
    </w:p>
    <w:p w:rsidR="008961CC" w:rsidRDefault="00E068E6">
      <w:pPr>
        <w:pStyle w:val="enf6"/>
      </w:pPr>
      <w:r>
        <w:t>(vii) administrative functions regarding the deliberation under Article 27, paragraph (5) of the Act;</w:t>
      </w:r>
    </w:p>
    <w:p w:rsidR="008961CC" w:rsidRDefault="00E068E6">
      <w:pPr>
        <w:pStyle w:val="enf6"/>
      </w:pPr>
      <w:r>
        <w:t>(viii) administrative functions regarding the request for cooperation and statement of an opinion under Article 28, paragraph (2) of the Act.</w:t>
      </w:r>
    </w:p>
    <w:p w:rsidR="008961CC" w:rsidRDefault="00E068E6">
      <w:pPr>
        <w:pStyle w:val="enf4"/>
      </w:pPr>
      <w:r>
        <w:t>(3) Functions prescribed in the preceding paragraph, functions regarding the measures under Article 23, paragraphs (1) and (2) of the Act, and functions regarding the collection of reports and on-site inspections under Article 26, paragraph (1) of the Act which are found to be necessary in connection with the exercise of the exercise authority under Article 23, paragraphs (1) and (2) of the Act are to be undertaken by the mayor of Kitakyushu City. In this case, provisions concerning prefectural governors as</w:t>
      </w:r>
      <w:r>
        <w:t>signed the functions provided for by the Act or in the first sentence of this paragraph of this Cabinet Order are deemed to concern the mayor of Kitakyushu City, and those provisions are to apply to the mayor of Kitakyushu City.</w:t>
      </w:r>
    </w:p>
    <w:p w:rsidR="008961CC" w:rsidRDefault="008961CC"/>
    <w:p w:rsidR="008961CC" w:rsidRDefault="00E068E6">
      <w:pPr>
        <w:pStyle w:val="en2"/>
      </w:pPr>
      <w:r>
        <w:t>Supplementary Provisions</w:t>
      </w:r>
    </w:p>
    <w:p w:rsidR="008961CC" w:rsidRDefault="008961CC"/>
    <w:p w:rsidR="008961CC" w:rsidRDefault="00E068E6">
      <w:pPr>
        <w:pStyle w:val="enf4"/>
      </w:pPr>
      <w:r>
        <w:t>(1) This Cabinet Order comes into effect on the effective date of the Act (December 1, 1968).</w:t>
      </w:r>
    </w:p>
    <w:p w:rsidR="008961CC" w:rsidRDefault="00E068E6">
      <w:pPr>
        <w:pStyle w:val="enf4"/>
      </w:pPr>
      <w:r>
        <w:t>(2) The Order for Enforcement of the Act on the Regulation of the Emission of Soot and Smoke (Act No. 438 of 1962) is hereby repealed.</w:t>
      </w:r>
    </w:p>
    <w:p w:rsidR="008961CC" w:rsidRDefault="008961CC"/>
    <w:p w:rsidR="008961CC" w:rsidRDefault="00E068E6">
      <w:pPr>
        <w:pStyle w:val="ena"/>
      </w:pPr>
      <w:r>
        <w:t>(Designated Substances)</w:t>
      </w:r>
    </w:p>
    <w:p w:rsidR="008961CC" w:rsidRDefault="00E068E6">
      <w:pPr>
        <w:pStyle w:val="enf4"/>
      </w:pPr>
      <w:r>
        <w:t>(3) The substances specified by Cabinet Order as referred to in paragraph (9) of the Supplementary Provisions of the Act are the following substances:</w:t>
      </w:r>
    </w:p>
    <w:p w:rsidR="008961CC" w:rsidRDefault="00E068E6">
      <w:pPr>
        <w:pStyle w:val="enf6"/>
      </w:pPr>
      <w:r>
        <w:t>(i) benzene;</w:t>
      </w:r>
    </w:p>
    <w:p w:rsidR="008961CC" w:rsidRDefault="00E068E6">
      <w:pPr>
        <w:pStyle w:val="enf6"/>
      </w:pPr>
      <w:r>
        <w:t>(ii) trichloroethylene;</w:t>
      </w:r>
    </w:p>
    <w:p w:rsidR="008961CC" w:rsidRDefault="00E068E6">
      <w:pPr>
        <w:pStyle w:val="enf6"/>
      </w:pPr>
      <w:r>
        <w:t>(iii) tetrachlorethylene.</w:t>
      </w:r>
    </w:p>
    <w:p w:rsidR="008961CC" w:rsidRDefault="008961CC"/>
    <w:p w:rsidR="008961CC" w:rsidRDefault="00E068E6">
      <w:pPr>
        <w:pStyle w:val="ena"/>
      </w:pPr>
      <w:r>
        <w:t>(Facilities Emitting Designated Substances)</w:t>
      </w:r>
    </w:p>
    <w:p w:rsidR="008961CC" w:rsidRDefault="00E068E6">
      <w:pPr>
        <w:pStyle w:val="enf4"/>
      </w:pPr>
      <w:r>
        <w:t>(4) The facilities specified by Cabinet Order as referred to in paragraph (9) of the Supplementary Provisions of the Act are the facilities stated in Appended Table 6.</w:t>
      </w:r>
    </w:p>
    <w:p w:rsidR="008961CC" w:rsidRDefault="008961CC"/>
    <w:p w:rsidR="008961CC" w:rsidRDefault="00E068E6">
      <w:pPr>
        <w:pStyle w:val="ena"/>
      </w:pPr>
      <w:r>
        <w:t>(Handling of Administrative Functions by the Mayors of Cities Specified by Cabinet Order)</w:t>
      </w:r>
    </w:p>
    <w:p w:rsidR="008961CC" w:rsidRDefault="00E068E6">
      <w:pPr>
        <w:pStyle w:val="enf4"/>
      </w:pPr>
      <w:r>
        <w:t>(5) Functions regarding the issuance of a recommendation under paragraph (10) of the Supplementary Provisions of the Act or the collection of reports under paragraph (11) of the Supplementary Provisions of the Act (the functions mentioned above exclude when related to factories) are to be undertaken by the mayors of Cabinet-Order cities. In this case, provisions concerning prefectural governors assigned the functions provided for by the Act or in the first sentence of this paragraph of this Cabinet Order ar</w:t>
      </w:r>
      <w:r>
        <w:t>e deemed to be concerning the mayors of Cabinet-Order cities, and those provisions are to apply to the mayors of Cabinet-Order cities.</w:t>
      </w:r>
    </w:p>
    <w:p w:rsidR="008961CC" w:rsidRDefault="00E068E6">
      <w:pPr>
        <w:pStyle w:val="enf4"/>
      </w:pPr>
      <w:r>
        <w:t xml:space="preserve">(6) Functions prescribed in the preceding paragraph, and functions regarding the issuance of a recommendation under paragraph (10) of the Supplementary Provisions of the Act or the collection of reports under paragraph (11) of the Supplementary Provisions of the Act in relation to factories are to be undertaken by the mayors of designated cities under Article 252-19, paragraph (1) of the Local Autonomy Act and the mayors of core cities under Article 252-22, paragraph (1) of that Act (referred to as "mayors </w:t>
      </w:r>
      <w:r>
        <w:t>of designated or core cities" in this paragraph). In this case, provisions concerning prefectural governors assigned the functions provided for by the Act or in the first sentence of this paragraph of this Cabinet Order are deemed to be concerning the mayors of designated or core cities, and those provisions are to apply to the mayors of designated or core cities.</w:t>
      </w:r>
    </w:p>
    <w:p w:rsidR="008961CC" w:rsidRDefault="008961CC"/>
    <w:p w:rsidR="008961CC" w:rsidRDefault="00E068E6">
      <w:pPr>
        <w:pStyle w:val="en2"/>
      </w:pPr>
      <w:r>
        <w:t>Supplementary Provisions  [Cabinet Order No. 24 of March 17, 1969]</w:t>
      </w:r>
    </w:p>
    <w:p w:rsidR="008961CC" w:rsidRDefault="008961CC"/>
    <w:p w:rsidR="008961CC" w:rsidRDefault="00E068E6">
      <w:pPr>
        <w:pStyle w:val="enf5"/>
      </w:pPr>
      <w:r>
        <w:t>This Cabinet Order comes into effect on March 20, 1969.</w:t>
      </w:r>
    </w:p>
    <w:p w:rsidR="008961CC" w:rsidRDefault="008961CC"/>
    <w:p w:rsidR="008961CC" w:rsidRDefault="00E068E6">
      <w:pPr>
        <w:pStyle w:val="en2"/>
      </w:pPr>
      <w:r>
        <w:t>Supplementary Provisions  [Cabinet Order No. 311 of December 25, 1969]</w:t>
      </w:r>
    </w:p>
    <w:p w:rsidR="008961CC" w:rsidRDefault="008961CC"/>
    <w:p w:rsidR="008961CC" w:rsidRDefault="00E068E6">
      <w:pPr>
        <w:pStyle w:val="enf5"/>
      </w:pPr>
      <w:r>
        <w:t>This Cabinet Order comes into effect on February 1, 1970.</w:t>
      </w:r>
    </w:p>
    <w:p w:rsidR="008961CC" w:rsidRDefault="008961CC"/>
    <w:p w:rsidR="008961CC" w:rsidRDefault="00E068E6">
      <w:pPr>
        <w:pStyle w:val="en2"/>
      </w:pPr>
      <w:r>
        <w:t>Supplementary Provisions  [Cabinet Order No. 253 of August 31, 1970]  [Extract]</w:t>
      </w:r>
    </w:p>
    <w:p w:rsidR="008961CC" w:rsidRDefault="008961CC"/>
    <w:p w:rsidR="008961CC" w:rsidRDefault="00E068E6">
      <w:pPr>
        <w:pStyle w:val="ena"/>
      </w:pPr>
      <w:r>
        <w:t>(Effective Date)</w:t>
      </w:r>
    </w:p>
    <w:p w:rsidR="008961CC" w:rsidRDefault="00E068E6">
      <w:pPr>
        <w:pStyle w:val="enf4"/>
      </w:pPr>
      <w:r>
        <w:t>(1) This Cabinet Order comes into effect on the effective date of the Act (November 1, 1970).</w:t>
      </w:r>
    </w:p>
    <w:p w:rsidR="008961CC" w:rsidRDefault="008961CC"/>
    <w:p w:rsidR="008961CC" w:rsidRDefault="00E068E6">
      <w:pPr>
        <w:pStyle w:val="en2"/>
      </w:pPr>
      <w:r>
        <w:t>Supplementary Provisions  [Cabinet Order No. 191 of June 17, 1971]</w:t>
      </w:r>
    </w:p>
    <w:p w:rsidR="008961CC" w:rsidRDefault="008961CC"/>
    <w:p w:rsidR="008961CC" w:rsidRDefault="00E068E6">
      <w:pPr>
        <w:pStyle w:val="enf5"/>
      </w:pPr>
      <w:r>
        <w:t>The provisions of Article 1 of this Cabinet Order come into effect as of the effective date of the Act Partially Amending the Air Pollution Control Act [Act No. 134 of 1970] (June 24, 1971), and the provisions of Article 2 come into effect as of October 1, 1971.</w:t>
      </w:r>
    </w:p>
    <w:p w:rsidR="008961CC" w:rsidRDefault="008961CC"/>
    <w:p w:rsidR="008961CC" w:rsidRDefault="00E068E6">
      <w:pPr>
        <w:pStyle w:val="en2"/>
      </w:pPr>
      <w:r>
        <w:t>Supplementary Provisions  [Cabinet Order No. 219 of June 30, 1971]  [Extract]</w:t>
      </w:r>
    </w:p>
    <w:p w:rsidR="008961CC" w:rsidRDefault="008961CC"/>
    <w:p w:rsidR="008961CC" w:rsidRDefault="00E068E6">
      <w:pPr>
        <w:pStyle w:val="ena"/>
      </w:pPr>
      <w:r>
        <w:t>(Effective Date)</w:t>
      </w:r>
    </w:p>
    <w:p w:rsidR="008961CC" w:rsidRDefault="00E068E6">
      <w:pPr>
        <w:pStyle w:val="enf3"/>
      </w:pPr>
      <w:r>
        <w:t>Article 1  This Cabinet Order comes into effect as of July 1, 1971.</w:t>
      </w:r>
    </w:p>
    <w:p w:rsidR="008961CC" w:rsidRDefault="008961CC"/>
    <w:p w:rsidR="008961CC" w:rsidRDefault="00E068E6">
      <w:pPr>
        <w:pStyle w:val="en2"/>
      </w:pPr>
      <w:r>
        <w:t>Supplementary Provisions  [Cabinet Order No. 379 of December 25, 1971]</w:t>
      </w:r>
    </w:p>
    <w:p w:rsidR="008961CC" w:rsidRDefault="008961CC"/>
    <w:p w:rsidR="008961CC" w:rsidRDefault="00E068E6">
      <w:pPr>
        <w:pStyle w:val="enf5"/>
      </w:pPr>
      <w:r>
        <w:t>This Cabinet Order comes into effect as of January 5, 1972.</w:t>
      </w:r>
    </w:p>
    <w:p w:rsidR="008961CC" w:rsidRDefault="008961CC"/>
    <w:p w:rsidR="008961CC" w:rsidRDefault="00E068E6">
      <w:pPr>
        <w:pStyle w:val="en2"/>
      </w:pPr>
      <w:r>
        <w:t>Supplementary Provisions  [Cabinet Order No. 40 of March 29, 1972]</w:t>
      </w:r>
    </w:p>
    <w:p w:rsidR="008961CC" w:rsidRDefault="008961CC"/>
    <w:p w:rsidR="008961CC" w:rsidRDefault="00E068E6">
      <w:pPr>
        <w:pStyle w:val="enf5"/>
      </w:pPr>
      <w:r>
        <w:t>This Cabinet Order comes into effect as of the date of promulgation.</w:t>
      </w:r>
    </w:p>
    <w:p w:rsidR="008961CC" w:rsidRDefault="008961CC"/>
    <w:p w:rsidR="008961CC" w:rsidRDefault="00E068E6">
      <w:pPr>
        <w:pStyle w:val="en2"/>
      </w:pPr>
      <w:r>
        <w:t>Supplementary Provisions  [Cabinet Order No. 409 of November 30, 1972]</w:t>
      </w:r>
    </w:p>
    <w:p w:rsidR="008961CC" w:rsidRDefault="008961CC"/>
    <w:p w:rsidR="008961CC" w:rsidRDefault="00E068E6">
      <w:pPr>
        <w:pStyle w:val="enf5"/>
      </w:pPr>
      <w:r>
        <w:t>This Cabinet Order comes into effect as of the date of promulgation.</w:t>
      </w:r>
    </w:p>
    <w:p w:rsidR="008961CC" w:rsidRDefault="008961CC"/>
    <w:p w:rsidR="008961CC" w:rsidRDefault="00E068E6">
      <w:pPr>
        <w:pStyle w:val="en2"/>
      </w:pPr>
      <w:r>
        <w:t>Supplementary Provisions  [Cabinet Order No. 223 of August 2, 1973]</w:t>
      </w:r>
    </w:p>
    <w:p w:rsidR="008961CC" w:rsidRDefault="008961CC"/>
    <w:p w:rsidR="008961CC" w:rsidRDefault="00E068E6">
      <w:pPr>
        <w:pStyle w:val="enf5"/>
      </w:pPr>
      <w:r>
        <w:t>This Cabinet Order comes into effect as of August 10, 1973.</w:t>
      </w:r>
    </w:p>
    <w:p w:rsidR="008961CC" w:rsidRDefault="008961CC"/>
    <w:p w:rsidR="008961CC" w:rsidRDefault="00E068E6">
      <w:pPr>
        <w:pStyle w:val="en2"/>
      </w:pPr>
      <w:r>
        <w:t>Supplementary Provisions  [Cabinet Order No. 62 of March 26, 1974]</w:t>
      </w:r>
    </w:p>
    <w:p w:rsidR="008961CC" w:rsidRDefault="008961CC"/>
    <w:p w:rsidR="008961CC" w:rsidRDefault="00E068E6">
      <w:pPr>
        <w:pStyle w:val="enf5"/>
      </w:pPr>
      <w:r>
        <w:t>This Cabinet Order comes into effect on April 1, 1974.</w:t>
      </w:r>
    </w:p>
    <w:p w:rsidR="008961CC" w:rsidRDefault="008961CC"/>
    <w:p w:rsidR="008961CC" w:rsidRDefault="00E068E6">
      <w:pPr>
        <w:pStyle w:val="en2"/>
      </w:pPr>
      <w:r>
        <w:t>Supplementary Provisions  [Cabinet Order No. 375 of November 27, 1974]  [Extract]</w:t>
      </w:r>
    </w:p>
    <w:p w:rsidR="008961CC" w:rsidRDefault="008961CC"/>
    <w:p w:rsidR="008961CC" w:rsidRDefault="00E068E6">
      <w:pPr>
        <w:pStyle w:val="ena"/>
      </w:pPr>
      <w:r>
        <w:t>(Effective Date)</w:t>
      </w:r>
    </w:p>
    <w:p w:rsidR="008961CC" w:rsidRDefault="00E068E6">
      <w:pPr>
        <w:pStyle w:val="enf4"/>
      </w:pPr>
      <w:r>
        <w:t>(1) This Cabinet Order comes into effect on the effective date of the Act Partially Amending the Air Pollution Control Act [Act No. 65 of 1974] (November 30, 1974).</w:t>
      </w:r>
    </w:p>
    <w:p w:rsidR="008961CC" w:rsidRDefault="008961CC"/>
    <w:p w:rsidR="008961CC" w:rsidRDefault="00E068E6">
      <w:pPr>
        <w:pStyle w:val="en2"/>
      </w:pPr>
      <w:r>
        <w:t>Supplementary Provisions  [Cabinet Order No. 349 of December 9, 1975]</w:t>
      </w:r>
    </w:p>
    <w:p w:rsidR="008961CC" w:rsidRDefault="008961CC"/>
    <w:p w:rsidR="008961CC" w:rsidRDefault="00E068E6">
      <w:pPr>
        <w:pStyle w:val="enf5"/>
      </w:pPr>
      <w:r>
        <w:t>This Cabinet Order comes into effect on December 10, 1975.</w:t>
      </w:r>
    </w:p>
    <w:p w:rsidR="008961CC" w:rsidRDefault="008961CC"/>
    <w:p w:rsidR="008961CC" w:rsidRDefault="00E068E6">
      <w:pPr>
        <w:pStyle w:val="en2"/>
      </w:pPr>
      <w:r>
        <w:t>Supplementary Provisions  [Cabinet Order No. 250 of September 28, 1976]</w:t>
      </w:r>
    </w:p>
    <w:p w:rsidR="008961CC" w:rsidRDefault="008961CC"/>
    <w:p w:rsidR="008961CC" w:rsidRDefault="00E068E6">
      <w:pPr>
        <w:pStyle w:val="enf5"/>
      </w:pPr>
      <w:r>
        <w:t>This Cabinet Order comes into effect on the date of promulgation.</w:t>
      </w:r>
    </w:p>
    <w:p w:rsidR="008961CC" w:rsidRDefault="008961CC"/>
    <w:p w:rsidR="008961CC" w:rsidRDefault="00E068E6">
      <w:pPr>
        <w:pStyle w:val="en2"/>
      </w:pPr>
      <w:r>
        <w:t>Supplementary Provisions  [Cabinet Order No. 66 of April 2, 1977]</w:t>
      </w:r>
    </w:p>
    <w:p w:rsidR="008961CC" w:rsidRDefault="008961CC"/>
    <w:p w:rsidR="008961CC" w:rsidRDefault="00E068E6">
      <w:pPr>
        <w:pStyle w:val="enf5"/>
      </w:pPr>
      <w:r>
        <w:t>This Cabinet Order comes into effect on the date of promulgation.</w:t>
      </w:r>
    </w:p>
    <w:p w:rsidR="008961CC" w:rsidRDefault="008961CC"/>
    <w:p w:rsidR="008961CC" w:rsidRDefault="00E068E6">
      <w:pPr>
        <w:pStyle w:val="en2"/>
      </w:pPr>
      <w:r>
        <w:t>Supplementary Provisions  [Cabinet Order No. 237 of September 4, 1979]  [Extract]</w:t>
      </w:r>
    </w:p>
    <w:p w:rsidR="008961CC" w:rsidRDefault="008961CC"/>
    <w:p w:rsidR="008961CC" w:rsidRDefault="00E068E6">
      <w:pPr>
        <w:pStyle w:val="ena"/>
      </w:pPr>
      <w:r>
        <w:t>(Effective Date)</w:t>
      </w:r>
    </w:p>
    <w:p w:rsidR="008961CC" w:rsidRDefault="00E068E6">
      <w:pPr>
        <w:pStyle w:val="enf4"/>
      </w:pPr>
      <w:r>
        <w:t>(1) This Cabinet Order comes into effect on April 1, 1980.</w:t>
      </w:r>
    </w:p>
    <w:p w:rsidR="008961CC" w:rsidRDefault="008961CC"/>
    <w:p w:rsidR="008961CC" w:rsidRDefault="00E068E6">
      <w:pPr>
        <w:pStyle w:val="en2"/>
      </w:pPr>
      <w:r>
        <w:t>Supplementary Provisions  [Cabinet Order No. 215 of June 2, 1981]</w:t>
      </w:r>
    </w:p>
    <w:p w:rsidR="008961CC" w:rsidRDefault="008961CC"/>
    <w:p w:rsidR="008961CC" w:rsidRDefault="00E068E6">
      <w:pPr>
        <w:pStyle w:val="enf5"/>
      </w:pPr>
      <w:r>
        <w:t>This Cabinet Order comes into effect on the date of promulgation.</w:t>
      </w:r>
    </w:p>
    <w:p w:rsidR="008961CC" w:rsidRDefault="008961CC"/>
    <w:p w:rsidR="008961CC" w:rsidRDefault="00E068E6">
      <w:pPr>
        <w:pStyle w:val="en2"/>
      </w:pPr>
      <w:r>
        <w:t>Supplementary Provisions  [Cabinet Order No. 38 of March 21, 1984]</w:t>
      </w:r>
    </w:p>
    <w:p w:rsidR="008961CC" w:rsidRDefault="008961CC"/>
    <w:p w:rsidR="008961CC" w:rsidRDefault="00E068E6">
      <w:pPr>
        <w:pStyle w:val="enf5"/>
      </w:pPr>
      <w:r>
        <w:t>This Cabinet Order comes into effect on April 1, 1984.</w:t>
      </w:r>
    </w:p>
    <w:p w:rsidR="008961CC" w:rsidRDefault="008961CC"/>
    <w:p w:rsidR="008961CC" w:rsidRDefault="00E068E6">
      <w:pPr>
        <w:pStyle w:val="en2"/>
      </w:pPr>
      <w:r>
        <w:t>Supplementary Provisions  [Cabinet Order No. 162 of June 6, 1985]</w:t>
      </w:r>
    </w:p>
    <w:p w:rsidR="008961CC" w:rsidRDefault="008961CC"/>
    <w:p w:rsidR="008961CC" w:rsidRDefault="00E068E6">
      <w:pPr>
        <w:pStyle w:val="enf4"/>
      </w:pPr>
      <w:r>
        <w:t>(1) This Cabinet Order comes into effect on September 10, 1985.</w:t>
      </w:r>
    </w:p>
    <w:p w:rsidR="008961CC" w:rsidRDefault="00E068E6">
      <w:pPr>
        <w:pStyle w:val="enf4"/>
      </w:pPr>
      <w:r>
        <w:t>(2) During the period from the effective date of this Cabinet Order until September 9, 1987, prior laws and regulations continue to govern the size of boilers constituting a facility generating soot or smoke, if the work to set them up begins before this Cabinet Order comes into effect.</w:t>
      </w:r>
    </w:p>
    <w:p w:rsidR="008961CC" w:rsidRDefault="008961CC"/>
    <w:p w:rsidR="008961CC" w:rsidRDefault="00E068E6">
      <w:pPr>
        <w:pStyle w:val="en2"/>
      </w:pPr>
      <w:r>
        <w:t>Supplementary Provisions  [Cabinet Order No. 361 of October 30, 1987]</w:t>
      </w:r>
    </w:p>
    <w:p w:rsidR="008961CC" w:rsidRDefault="008961CC"/>
    <w:p w:rsidR="008961CC" w:rsidRDefault="00E068E6">
      <w:pPr>
        <w:pStyle w:val="enf4"/>
      </w:pPr>
      <w:r>
        <w:t>(1) This Cabinet Order comes into effect on February 1, 1988.</w:t>
      </w:r>
    </w:p>
    <w:p w:rsidR="008961CC" w:rsidRDefault="00E068E6">
      <w:pPr>
        <w:pStyle w:val="enf4"/>
      </w:pPr>
      <w:r>
        <w:t>(2) During the period until January 31, 1990, the amended provisions stated in rows (xxix) and (xxx) of Appended Table 1 do not apply to gas turbines and diesel engines if the work to install them up begins before this Cabinet Order comes into effect.</w:t>
      </w:r>
    </w:p>
    <w:p w:rsidR="008961CC" w:rsidRDefault="008961CC"/>
    <w:p w:rsidR="008961CC" w:rsidRDefault="00E068E6">
      <w:pPr>
        <w:pStyle w:val="en2"/>
      </w:pPr>
      <w:r>
        <w:t>Supplementary Provisions  [Cabinet Order No. 261 of September 6, 1988]  [Extract]</w:t>
      </w:r>
    </w:p>
    <w:p w:rsidR="008961CC" w:rsidRDefault="008961CC"/>
    <w:p w:rsidR="008961CC" w:rsidRDefault="00E068E6">
      <w:pPr>
        <w:pStyle w:val="ena"/>
      </w:pPr>
      <w:r>
        <w:t>(Effective Date)</w:t>
      </w:r>
    </w:p>
    <w:p w:rsidR="008961CC" w:rsidRDefault="00E068E6">
      <w:pPr>
        <w:pStyle w:val="enf4"/>
      </w:pPr>
      <w:r>
        <w:t>(1) This Cabinet Order comes into effect on April 1, 1989.</w:t>
      </w:r>
    </w:p>
    <w:p w:rsidR="008961CC" w:rsidRDefault="008961CC"/>
    <w:p w:rsidR="008961CC" w:rsidRDefault="00E068E6">
      <w:pPr>
        <w:pStyle w:val="en2"/>
      </w:pPr>
      <w:r>
        <w:t>Supplementary Provisions  [Cabinet Order No. 329 of December 19, 1989]  [Extract]</w:t>
      </w:r>
    </w:p>
    <w:p w:rsidR="008961CC" w:rsidRDefault="008961CC"/>
    <w:p w:rsidR="008961CC" w:rsidRDefault="00E068E6">
      <w:pPr>
        <w:pStyle w:val="ena"/>
      </w:pPr>
      <w:r>
        <w:t>(Effective Date)</w:t>
      </w:r>
    </w:p>
    <w:p w:rsidR="008961CC" w:rsidRDefault="00E068E6">
      <w:pPr>
        <w:pStyle w:val="enf4"/>
      </w:pPr>
      <w:r>
        <w:t>(1) This Cabinet Order comes into effect on the effective date of the Act Partially Amending the Air Pollution Control Act (February 27, 1989).</w:t>
      </w:r>
    </w:p>
    <w:p w:rsidR="008961CC" w:rsidRDefault="008961CC"/>
    <w:p w:rsidR="008961CC" w:rsidRDefault="00E068E6">
      <w:pPr>
        <w:pStyle w:val="en2"/>
      </w:pPr>
      <w:r>
        <w:t>Supplementary Provisions  [Cabinet Order No. 320 of November 2, 1990]</w:t>
      </w:r>
    </w:p>
    <w:p w:rsidR="008961CC" w:rsidRDefault="008961CC"/>
    <w:p w:rsidR="008961CC" w:rsidRDefault="00E068E6">
      <w:pPr>
        <w:pStyle w:val="enf5"/>
      </w:pPr>
      <w:r>
        <w:t>This Cabinet Order comes into effect on February 1, 1991.</w:t>
      </w:r>
    </w:p>
    <w:p w:rsidR="008961CC" w:rsidRDefault="008961CC"/>
    <w:p w:rsidR="008961CC" w:rsidRDefault="00E068E6">
      <w:pPr>
        <w:pStyle w:val="en2"/>
      </w:pPr>
      <w:r>
        <w:t>Supplementary Provisions  [Cabinet Order No. 370 of November 19, 1993]  [Extract]</w:t>
      </w:r>
    </w:p>
    <w:p w:rsidR="008961CC" w:rsidRDefault="008961CC"/>
    <w:p w:rsidR="008961CC" w:rsidRDefault="00E068E6">
      <w:pPr>
        <w:pStyle w:val="enf5"/>
      </w:pPr>
      <w:r>
        <w:t>This Cabinet Order comes into effect on the date of promulgation.</w:t>
      </w:r>
    </w:p>
    <w:p w:rsidR="008961CC" w:rsidRDefault="008961CC"/>
    <w:p w:rsidR="008961CC" w:rsidRDefault="00E068E6">
      <w:pPr>
        <w:pStyle w:val="en2"/>
      </w:pPr>
      <w:r>
        <w:t>Supplementary Provisions  [Cabinet Order No. 38 of March 11, 1994]</w:t>
      </w:r>
    </w:p>
    <w:p w:rsidR="008961CC" w:rsidRDefault="008961CC"/>
    <w:p w:rsidR="008961CC" w:rsidRDefault="00E068E6">
      <w:pPr>
        <w:pStyle w:val="enf5"/>
      </w:pPr>
      <w:r>
        <w:t>This Cabinet Order comes into effect on April 1, 1994.</w:t>
      </w:r>
    </w:p>
    <w:p w:rsidR="008961CC" w:rsidRDefault="008961CC"/>
    <w:p w:rsidR="008961CC" w:rsidRDefault="00E068E6">
      <w:pPr>
        <w:pStyle w:val="en2"/>
      </w:pPr>
      <w:r>
        <w:t>Supplementary Provisions  [Cabinet Order No. 398 of December 21, 1994]</w:t>
      </w:r>
    </w:p>
    <w:p w:rsidR="008961CC" w:rsidRDefault="008961CC"/>
    <w:p w:rsidR="008961CC" w:rsidRDefault="00E068E6">
      <w:pPr>
        <w:pStyle w:val="enf5"/>
      </w:pPr>
      <w:r>
        <w:t>This Cabinet Order comes into effect on the day on which the provisions amending Part II, Chapter 12 of the Local Autonomy Act, which are included in the Act Partially Amending the Local Autonomy Act, the provisions of Chapter 1 of the Act on Arrangement of Relevant Acts to Accompany the Entry into Effect of the Act Partially Amending the Local Autonomy Act, and the provisions of paragraph (2) of the Supplementary Provisions of that Act come into effect (April 1, 1995).</w:t>
      </w:r>
    </w:p>
    <w:p w:rsidR="008961CC" w:rsidRDefault="008961CC"/>
    <w:p w:rsidR="008961CC" w:rsidRDefault="00E068E6">
      <w:pPr>
        <w:pStyle w:val="en2"/>
      </w:pPr>
      <w:r>
        <w:t>Supplementary Provisions  [Cabinet Order No. 70 of March 23, 1995]</w:t>
      </w:r>
    </w:p>
    <w:p w:rsidR="008961CC" w:rsidRDefault="008961CC"/>
    <w:p w:rsidR="008961CC" w:rsidRDefault="00E068E6">
      <w:pPr>
        <w:pStyle w:val="enf5"/>
      </w:pPr>
      <w:r>
        <w:t>This Cabinet Order comes into effect on April 1, 1995.</w:t>
      </w:r>
    </w:p>
    <w:p w:rsidR="008961CC" w:rsidRDefault="008961CC"/>
    <w:p w:rsidR="008961CC" w:rsidRDefault="00E068E6">
      <w:pPr>
        <w:pStyle w:val="en2"/>
      </w:pPr>
      <w:r>
        <w:t>Supplementary Provisions  [Cabinet Order No. 408 of December 8, 1995]  [Extract]</w:t>
      </w:r>
    </w:p>
    <w:p w:rsidR="008961CC" w:rsidRDefault="008961CC"/>
    <w:p w:rsidR="008961CC" w:rsidRDefault="00E068E6">
      <w:pPr>
        <w:pStyle w:val="ena"/>
      </w:pPr>
      <w:r>
        <w:t>(Effective Date)</w:t>
      </w:r>
    </w:p>
    <w:p w:rsidR="008961CC" w:rsidRDefault="00E068E6">
      <w:pPr>
        <w:pStyle w:val="enf4"/>
      </w:pPr>
      <w:r>
        <w:t>(1) This Cabinet Order comes into effect on April 1, 1996.</w:t>
      </w:r>
    </w:p>
    <w:p w:rsidR="008961CC" w:rsidRDefault="008961CC"/>
    <w:p w:rsidR="008961CC" w:rsidRDefault="00E068E6">
      <w:pPr>
        <w:pStyle w:val="en2"/>
      </w:pPr>
      <w:r>
        <w:t>Supplementary Provisions  [Cabinet Order No. 28 of March 6, 1996]</w:t>
      </w:r>
    </w:p>
    <w:p w:rsidR="008961CC" w:rsidRDefault="008961CC"/>
    <w:p w:rsidR="008961CC" w:rsidRDefault="00E068E6">
      <w:pPr>
        <w:pStyle w:val="enf5"/>
      </w:pPr>
      <w:r>
        <w:t>This Cabinet Order comes into effect as of April 1, 1996.</w:t>
      </w:r>
    </w:p>
    <w:p w:rsidR="008961CC" w:rsidRDefault="008961CC"/>
    <w:p w:rsidR="008961CC" w:rsidRDefault="00E068E6">
      <w:pPr>
        <w:pStyle w:val="en2"/>
      </w:pPr>
      <w:r>
        <w:t>Supplementary Provisions  [Cabinet Order No. 289 of September 26, 1996]  [Extract]</w:t>
      </w:r>
    </w:p>
    <w:p w:rsidR="008961CC" w:rsidRDefault="008961CC"/>
    <w:p w:rsidR="008961CC" w:rsidRDefault="00E068E6">
      <w:pPr>
        <w:pStyle w:val="ena"/>
      </w:pPr>
      <w:r>
        <w:t>(Effective Date)</w:t>
      </w:r>
    </w:p>
    <w:p w:rsidR="008961CC" w:rsidRDefault="00E068E6">
      <w:pPr>
        <w:pStyle w:val="enf4"/>
      </w:pPr>
      <w:r>
        <w:t>(1) This Cabinet Order comes into effect as of April 1, 1997.</w:t>
      </w:r>
    </w:p>
    <w:p w:rsidR="008961CC" w:rsidRDefault="008961CC"/>
    <w:p w:rsidR="008961CC" w:rsidRDefault="00E068E6">
      <w:pPr>
        <w:pStyle w:val="en2"/>
      </w:pPr>
      <w:r>
        <w:t>Supplementary Provisions  [Cabinet Order No. 6 of January 24, 1997]  [Extract]</w:t>
      </w:r>
    </w:p>
    <w:p w:rsidR="008961CC" w:rsidRDefault="008961CC"/>
    <w:p w:rsidR="008961CC" w:rsidRDefault="00E068E6">
      <w:pPr>
        <w:pStyle w:val="ena"/>
      </w:pPr>
      <w:r>
        <w:t>(Effective Date)</w:t>
      </w:r>
    </w:p>
    <w:p w:rsidR="008961CC" w:rsidRDefault="00E068E6">
      <w:pPr>
        <w:pStyle w:val="enf4"/>
      </w:pPr>
      <w:r>
        <w:t>(1) This Cabinet Order comes into effect as of April 1, 1997.</w:t>
      </w:r>
    </w:p>
    <w:p w:rsidR="008961CC" w:rsidRDefault="008961CC"/>
    <w:p w:rsidR="008961CC" w:rsidRDefault="00E068E6">
      <w:pPr>
        <w:pStyle w:val="ena"/>
      </w:pPr>
      <w:r>
        <w:t>(Transitional Measures)</w:t>
      </w:r>
    </w:p>
    <w:p w:rsidR="008961CC" w:rsidRDefault="00E068E6">
      <w:pPr>
        <w:pStyle w:val="enf4"/>
      </w:pPr>
      <w:r>
        <w:t>(2) The provisions of Article 18-17 and Article 18-18 of the Act do not apply to any tasks stated in the items of Article 3-4 of the Order for Enforcement of the Air Pollution Control Act amended by this Cabinet Order, if those tasks have already stared before this Cabinet Order comes into effect.</w:t>
      </w:r>
    </w:p>
    <w:p w:rsidR="008961CC" w:rsidRDefault="008961CC"/>
    <w:p w:rsidR="008961CC" w:rsidRDefault="00E068E6">
      <w:pPr>
        <w:pStyle w:val="en2"/>
      </w:pPr>
      <w:r>
        <w:t>Supplementary Provisions  [Cabinet Order No. 270 of August 29, 1997]</w:t>
      </w:r>
    </w:p>
    <w:p w:rsidR="008961CC" w:rsidRDefault="008961CC"/>
    <w:p w:rsidR="008961CC" w:rsidRDefault="00E068E6">
      <w:pPr>
        <w:pStyle w:val="enf5"/>
      </w:pPr>
      <w:r>
        <w:t>This Cabinet Order comes into effect on December 1, 1997.</w:t>
      </w:r>
    </w:p>
    <w:p w:rsidR="008961CC" w:rsidRDefault="008961CC"/>
    <w:p w:rsidR="008961CC" w:rsidRDefault="00E068E6">
      <w:pPr>
        <w:pStyle w:val="en2"/>
      </w:pPr>
      <w:r>
        <w:t>Supplementary Provisions  [Cabinet Order No. 406 of December 24, 1998]</w:t>
      </w:r>
    </w:p>
    <w:p w:rsidR="008961CC" w:rsidRDefault="008961CC"/>
    <w:p w:rsidR="008961CC" w:rsidRDefault="00E068E6">
      <w:pPr>
        <w:pStyle w:val="enf5"/>
      </w:pPr>
      <w:r>
        <w:t>This Cabinet Order comes into effect as of the date of promulgation; provided, however, that the provisions in Article 2 which amend Article 13, paragraph (1) of the Order for Enforcement of the Air Pollution Control Act and the provisions of Article 3 (excluding the provisions amending Article 10, item (x) of the Order for Enforcement of the Water Pollution Control Act) come into effect on April 1, 1999.</w:t>
      </w:r>
    </w:p>
    <w:p w:rsidR="008961CC" w:rsidRDefault="008961CC"/>
    <w:p w:rsidR="008961CC" w:rsidRDefault="00E068E6">
      <w:pPr>
        <w:pStyle w:val="en2"/>
      </w:pPr>
      <w:r>
        <w:t>Supplementary Provisions  [Cabinet Order No. 387 of December 3, 1999]  [Extract]</w:t>
      </w:r>
    </w:p>
    <w:p w:rsidR="008961CC" w:rsidRDefault="008961CC"/>
    <w:p w:rsidR="008961CC" w:rsidRDefault="00E068E6">
      <w:pPr>
        <w:pStyle w:val="ena"/>
      </w:pPr>
      <w:r>
        <w:t>(Effective Date)</w:t>
      </w:r>
    </w:p>
    <w:p w:rsidR="008961CC" w:rsidRDefault="00E068E6">
      <w:pPr>
        <w:pStyle w:val="enf3"/>
      </w:pPr>
      <w:r>
        <w:t>Article 1  This Cabinet Order comes into effect on April 1, 2000.</w:t>
      </w:r>
    </w:p>
    <w:p w:rsidR="008961CC" w:rsidRDefault="008961CC"/>
    <w:p w:rsidR="008961CC" w:rsidRDefault="00E068E6">
      <w:pPr>
        <w:pStyle w:val="en2"/>
      </w:pPr>
      <w:r>
        <w:t>Supplementary Provisions  [Cabinet Order No. 434 of December 27, 1999]</w:t>
      </w:r>
    </w:p>
    <w:p w:rsidR="008961CC" w:rsidRDefault="008961CC"/>
    <w:p w:rsidR="008961CC" w:rsidRDefault="00E068E6">
      <w:pPr>
        <w:pStyle w:val="ena"/>
      </w:pPr>
      <w:r>
        <w:t>(Effective Date)</w:t>
      </w:r>
    </w:p>
    <w:p w:rsidR="008961CC" w:rsidRDefault="00E068E6">
      <w:pPr>
        <w:pStyle w:val="enf4"/>
      </w:pPr>
      <w:r>
        <w:t>(1) This Cabinet Order comes into effect on the date on which the Act on Special Measures against Dioxins comes into effect (January 15, 2000); provided, however, that the provisions of Article 1 come into effect on the date on which one year has elapsed since that date, and the provisions in Article 4 which amend Article 14, item (i) of the Order for Enforcement of the Act on Improvement of Pollution Prevention Systems in Specified Factories and Appended Table 2 of that Order come into effect on July 16, 2</w:t>
      </w:r>
      <w:r>
        <w:t>001.</w:t>
      </w:r>
    </w:p>
    <w:p w:rsidR="008961CC" w:rsidRDefault="008961CC"/>
    <w:p w:rsidR="008961CC" w:rsidRDefault="00E068E6">
      <w:pPr>
        <w:pStyle w:val="ena"/>
      </w:pPr>
      <w:r>
        <w:t>(Transitional Provisions)</w:t>
      </w:r>
    </w:p>
    <w:p w:rsidR="008961CC" w:rsidRDefault="00E068E6">
      <w:pPr>
        <w:pStyle w:val="enf4"/>
      </w:pPr>
      <w:r>
        <w:t>(2) Prior laws and regulations continue to govern the applicability of penal provisions to actions engaged before this Cabinet Order comes into effect.</w:t>
      </w:r>
    </w:p>
    <w:p w:rsidR="008961CC" w:rsidRDefault="008961CC"/>
    <w:p w:rsidR="008961CC" w:rsidRDefault="00E068E6">
      <w:pPr>
        <w:pStyle w:val="en2"/>
      </w:pPr>
      <w:r>
        <w:t>Supplementary Provisions  [Cabinet Order No. 313 of June 7, 2000]  [Extract]</w:t>
      </w:r>
    </w:p>
    <w:p w:rsidR="008961CC" w:rsidRDefault="008961CC"/>
    <w:p w:rsidR="008961CC" w:rsidRDefault="00E068E6">
      <w:pPr>
        <w:pStyle w:val="ena"/>
      </w:pPr>
      <w:r>
        <w:t>(Effective Date)</w:t>
      </w:r>
    </w:p>
    <w:p w:rsidR="008961CC" w:rsidRDefault="00E068E6">
      <w:pPr>
        <w:pStyle w:val="enf3"/>
      </w:pPr>
      <w:r>
        <w:t>Article 1  This Cabinet Order comes into effect on the effective date of the Act Partially Amending the Cabinet Act [Act No. 88 of 1999] (January 6, 2001).</w:t>
      </w:r>
    </w:p>
    <w:p w:rsidR="008961CC" w:rsidRDefault="008961CC"/>
    <w:p w:rsidR="008961CC" w:rsidRDefault="00E068E6">
      <w:pPr>
        <w:pStyle w:val="en2"/>
      </w:pPr>
      <w:r>
        <w:t>Supplementary Provisions  [Cabinet Order No. 53 of March 16, 2001]</w:t>
      </w:r>
    </w:p>
    <w:p w:rsidR="008961CC" w:rsidRDefault="008961CC"/>
    <w:p w:rsidR="008961CC" w:rsidRDefault="00E068E6">
      <w:pPr>
        <w:pStyle w:val="enf5"/>
      </w:pPr>
      <w:r>
        <w:t>This Cabinet Order comes into effect on April 1, 2001.</w:t>
      </w:r>
    </w:p>
    <w:p w:rsidR="008961CC" w:rsidRDefault="008961CC"/>
    <w:p w:rsidR="008961CC" w:rsidRDefault="00E068E6">
      <w:pPr>
        <w:pStyle w:val="en2"/>
      </w:pPr>
      <w:r>
        <w:t>Supplementary Provisions  [Cabinet Order No. 181 of April 26, 2001]</w:t>
      </w:r>
    </w:p>
    <w:p w:rsidR="008961CC" w:rsidRDefault="008961CC"/>
    <w:p w:rsidR="008961CC" w:rsidRDefault="00E068E6">
      <w:pPr>
        <w:pStyle w:val="enf5"/>
      </w:pPr>
      <w:r>
        <w:t>This Cabinet Order comes into effect on May 1, 2001.</w:t>
      </w:r>
    </w:p>
    <w:p w:rsidR="008961CC" w:rsidRDefault="008961CC"/>
    <w:p w:rsidR="008961CC" w:rsidRDefault="00E068E6">
      <w:pPr>
        <w:pStyle w:val="en2"/>
      </w:pPr>
      <w:r>
        <w:t>Supplementary Provisions  [Cabinet Order No. 32 of October 5, 2001]  [Extract]</w:t>
      </w:r>
    </w:p>
    <w:p w:rsidR="008961CC" w:rsidRDefault="008961CC"/>
    <w:p w:rsidR="008961CC" w:rsidRDefault="00E068E6">
      <w:pPr>
        <w:pStyle w:val="ena"/>
      </w:pPr>
      <w:r>
        <w:t>(Effective Date)</w:t>
      </w:r>
    </w:p>
    <w:p w:rsidR="008961CC" w:rsidRDefault="00E068E6">
      <w:pPr>
        <w:pStyle w:val="enf3"/>
      </w:pPr>
      <w:r>
        <w:t>Article 1  This Cabinet Order comes into effect on April 1, 2002.</w:t>
      </w:r>
    </w:p>
    <w:p w:rsidR="008961CC" w:rsidRDefault="008961CC"/>
    <w:p w:rsidR="008961CC" w:rsidRDefault="00E068E6">
      <w:pPr>
        <w:pStyle w:val="en2"/>
      </w:pPr>
      <w:r>
        <w:t>Supplementary Provisions  [Cabinet Order No. 319 of October 30, 2002]  [Extract]</w:t>
      </w:r>
    </w:p>
    <w:p w:rsidR="008961CC" w:rsidRDefault="008961CC"/>
    <w:p w:rsidR="008961CC" w:rsidRDefault="00E068E6">
      <w:pPr>
        <w:pStyle w:val="ena"/>
      </w:pPr>
      <w:r>
        <w:t>(Effective Date)</w:t>
      </w:r>
    </w:p>
    <w:p w:rsidR="008961CC" w:rsidRDefault="00E068E6">
      <w:pPr>
        <w:pStyle w:val="enf4"/>
      </w:pPr>
      <w:r>
        <w:t>(1) This Cabinet Order comes into effect on April 1, 2003.</w:t>
      </w:r>
    </w:p>
    <w:p w:rsidR="008961CC" w:rsidRDefault="008961CC"/>
    <w:p w:rsidR="008961CC" w:rsidRDefault="00E068E6">
      <w:pPr>
        <w:pStyle w:val="en2"/>
      </w:pPr>
      <w:r>
        <w:t>Supplementary Provisions  [Cabinet Order No. 327 of November 1, 2002]  [Extract]</w:t>
      </w:r>
    </w:p>
    <w:p w:rsidR="008961CC" w:rsidRDefault="008961CC"/>
    <w:p w:rsidR="008961CC" w:rsidRDefault="00E068E6">
      <w:pPr>
        <w:pStyle w:val="ena"/>
      </w:pPr>
      <w:r>
        <w:t>(Effective Date)</w:t>
      </w:r>
    </w:p>
    <w:p w:rsidR="008961CC" w:rsidRDefault="00E068E6">
      <w:pPr>
        <w:pStyle w:val="enf3"/>
      </w:pPr>
      <w:r>
        <w:t>Article 1  This Cabinet Order comes into effect on April 1, 2003.</w:t>
      </w:r>
    </w:p>
    <w:p w:rsidR="008961CC" w:rsidRDefault="008961CC"/>
    <w:p w:rsidR="008961CC" w:rsidRDefault="00E068E6">
      <w:pPr>
        <w:pStyle w:val="en2"/>
      </w:pPr>
      <w:r>
        <w:t>Supplementary Provisions  [Cabinet Order No. 323 of October 27, 2004]  [Extract]</w:t>
      </w:r>
    </w:p>
    <w:p w:rsidR="008961CC" w:rsidRDefault="008961CC"/>
    <w:p w:rsidR="008961CC" w:rsidRDefault="00E068E6">
      <w:pPr>
        <w:pStyle w:val="ena"/>
      </w:pPr>
      <w:r>
        <w:t>(Effective Date)</w:t>
      </w:r>
    </w:p>
    <w:p w:rsidR="008961CC" w:rsidRDefault="00E068E6">
      <w:pPr>
        <w:pStyle w:val="enf3"/>
      </w:pPr>
      <w:r>
        <w:t>Article 1  This Cabinet Order comes into effect on April 1, 2005.</w:t>
      </w:r>
    </w:p>
    <w:p w:rsidR="008961CC" w:rsidRDefault="008961CC"/>
    <w:p w:rsidR="008961CC" w:rsidRDefault="00E068E6">
      <w:pPr>
        <w:pStyle w:val="en2"/>
      </w:pPr>
      <w:r>
        <w:t>Supplementary Provisions  [Cabinet Order No. 189 of May 27, 2005]  [Extract]</w:t>
      </w:r>
    </w:p>
    <w:p w:rsidR="008961CC" w:rsidRDefault="008961CC"/>
    <w:p w:rsidR="008961CC" w:rsidRDefault="00E068E6">
      <w:pPr>
        <w:pStyle w:val="ena"/>
      </w:pPr>
      <w:r>
        <w:t>(Effective Date)</w:t>
      </w:r>
    </w:p>
    <w:p w:rsidR="008961CC" w:rsidRDefault="00E068E6">
      <w:pPr>
        <w:pStyle w:val="enf3"/>
      </w:pPr>
      <w:r>
        <w:t>Article 1  This Cabinet Order comes into effect on June 1, 2005.</w:t>
      </w:r>
    </w:p>
    <w:p w:rsidR="008961CC" w:rsidRDefault="008961CC"/>
    <w:p w:rsidR="008961CC" w:rsidRDefault="00E068E6">
      <w:pPr>
        <w:pStyle w:val="en2"/>
      </w:pPr>
      <w:r>
        <w:t>Supplementary Provisions  [Cabinet Order No. 204 of June 8, 2005]  [Extract]</w:t>
      </w:r>
    </w:p>
    <w:p w:rsidR="008961CC" w:rsidRDefault="008961CC"/>
    <w:p w:rsidR="008961CC" w:rsidRDefault="00E068E6">
      <w:pPr>
        <w:pStyle w:val="ena"/>
      </w:pPr>
      <w:r>
        <w:t>(Effective Date)</w:t>
      </w:r>
    </w:p>
    <w:p w:rsidR="008961CC" w:rsidRDefault="00E068E6">
      <w:pPr>
        <w:pStyle w:val="enf3"/>
      </w:pPr>
      <w:r>
        <w:t>Article 1  This Cabinet Order comes into effect on October 1, 2005.</w:t>
      </w:r>
    </w:p>
    <w:p w:rsidR="008961CC" w:rsidRDefault="008961CC"/>
    <w:p w:rsidR="008961CC" w:rsidRDefault="00E068E6">
      <w:pPr>
        <w:pStyle w:val="en2"/>
      </w:pPr>
      <w:r>
        <w:t>Supplementary Provisions  [Cabinet Order No. 207 of June 10, 2005]</w:t>
      </w:r>
    </w:p>
    <w:p w:rsidR="008961CC" w:rsidRDefault="008961CC"/>
    <w:p w:rsidR="008961CC" w:rsidRDefault="00E068E6">
      <w:pPr>
        <w:pStyle w:val="enf5"/>
      </w:pPr>
      <w:r>
        <w:t>This Cabinet Order comes into effect on April 1, 2006.</w:t>
      </w:r>
    </w:p>
    <w:p w:rsidR="008961CC" w:rsidRDefault="008961CC"/>
    <w:p w:rsidR="008961CC" w:rsidRDefault="00E068E6">
      <w:pPr>
        <w:pStyle w:val="en2"/>
      </w:pPr>
      <w:r>
        <w:t>Supplementary Provisions  [Cabinet Order No. 378 of December 21, 2005]</w:t>
      </w:r>
    </w:p>
    <w:p w:rsidR="008961CC" w:rsidRDefault="008961CC"/>
    <w:p w:rsidR="008961CC" w:rsidRDefault="00E068E6">
      <w:pPr>
        <w:pStyle w:val="ena"/>
      </w:pPr>
      <w:r>
        <w:t>(Effective Date)</w:t>
      </w:r>
    </w:p>
    <w:p w:rsidR="008961CC" w:rsidRDefault="00E068E6">
      <w:pPr>
        <w:pStyle w:val="enf4"/>
      </w:pPr>
      <w:r>
        <w:t>(1) This Cabinet Order comes into effect as of March 1, 2006.</w:t>
      </w:r>
    </w:p>
    <w:p w:rsidR="008961CC" w:rsidRDefault="008961CC"/>
    <w:p w:rsidR="008961CC" w:rsidRDefault="00E068E6">
      <w:pPr>
        <w:pStyle w:val="ena"/>
      </w:pPr>
      <w:r>
        <w:t>(Transitional Measures)</w:t>
      </w:r>
    </w:p>
    <w:p w:rsidR="008961CC" w:rsidRDefault="00E068E6">
      <w:pPr>
        <w:pStyle w:val="enf4"/>
      </w:pPr>
      <w:r>
        <w:t>(2) The provisions of Article 18-17 and Article 18-18 of the Air Pollution Control Act do not apply to any task which is stated in the items of Article 3-4 of the Order for Enforcement of the Air Pollution Control Act amended by this Cabinet Order, but was not stated in the items of Article 3-4 of the Order for Enforcement of the Air Pollution Control Act before the amendment by this Cabinet Order and has already started before this Cabinet Order comes into effect.</w:t>
      </w:r>
    </w:p>
    <w:p w:rsidR="008961CC" w:rsidRDefault="008961CC"/>
    <w:p w:rsidR="008961CC" w:rsidRDefault="00E068E6">
      <w:pPr>
        <w:pStyle w:val="en2"/>
      </w:pPr>
      <w:r>
        <w:t>Supplementary Provisions  [Cabinet Order No. 269 of August 11, 2006]</w:t>
      </w:r>
    </w:p>
    <w:p w:rsidR="008961CC" w:rsidRDefault="008961CC"/>
    <w:p w:rsidR="008961CC" w:rsidRDefault="00E068E6">
      <w:pPr>
        <w:pStyle w:val="ena"/>
      </w:pPr>
      <w:r>
        <w:t>(Effective Date)</w:t>
      </w:r>
    </w:p>
    <w:p w:rsidR="008961CC" w:rsidRDefault="00E068E6">
      <w:pPr>
        <w:pStyle w:val="enf4"/>
      </w:pPr>
      <w:r>
        <w:t>(1) This Cabinet Order comes into effect on the effective date of the Act Partially Amending the Air Pollution Control Act and Related Acts for Preventing Asbestos Health Damage (October 1, 2006).</w:t>
      </w:r>
    </w:p>
    <w:p w:rsidR="008961CC" w:rsidRDefault="008961CC"/>
    <w:p w:rsidR="008961CC" w:rsidRDefault="00E068E6">
      <w:pPr>
        <w:pStyle w:val="ena"/>
      </w:pPr>
      <w:r>
        <w:t>(Transitional Measures)</w:t>
      </w:r>
    </w:p>
    <w:p w:rsidR="008961CC" w:rsidRDefault="00E068E6">
      <w:pPr>
        <w:pStyle w:val="enf4"/>
      </w:pPr>
      <w:r>
        <w:t>(2) The provisions of Article 18-17 and Article 18-18 of the Air Pollution Control Act do not apply to any task which is stated in the items of Article 3-4 of the Order for Enforcement of the Air Pollution Control Act amended by this Cabinet Order, but is not stated in the items of Article 3-4 of the Order for Enforcement of the Air Pollution Control Act before the amendment by this Cabinet Order and has already started before this Cabinet Order comes into effect.</w:t>
      </w:r>
    </w:p>
    <w:p w:rsidR="008961CC" w:rsidRDefault="008961CC"/>
    <w:p w:rsidR="008961CC" w:rsidRDefault="00E068E6">
      <w:pPr>
        <w:pStyle w:val="en2"/>
      </w:pPr>
      <w:r>
        <w:t>Supplementary Provisions  [Cabinet Order No. 339 of November 21, 2007]  [Extract]</w:t>
      </w:r>
    </w:p>
    <w:p w:rsidR="008961CC" w:rsidRDefault="008961CC"/>
    <w:p w:rsidR="008961CC" w:rsidRDefault="00E068E6">
      <w:pPr>
        <w:pStyle w:val="ena"/>
      </w:pPr>
      <w:r>
        <w:t>(Effective Date)</w:t>
      </w:r>
    </w:p>
    <w:p w:rsidR="008961CC" w:rsidRDefault="00E068E6">
      <w:pPr>
        <w:pStyle w:val="enf3"/>
      </w:pPr>
      <w:r>
        <w:t>Article 1  This Cabinet Order comes into effect as of April 1, 2008.</w:t>
      </w:r>
    </w:p>
    <w:p w:rsidR="008961CC" w:rsidRDefault="008961CC"/>
    <w:p w:rsidR="008961CC" w:rsidRDefault="00E068E6">
      <w:pPr>
        <w:pStyle w:val="en2"/>
      </w:pPr>
      <w:r>
        <w:t>Supplementary Provisions  [Cabinet Order No. 316 of October 16, 2008]  [Extract]</w:t>
      </w:r>
    </w:p>
    <w:p w:rsidR="008961CC" w:rsidRDefault="008961CC"/>
    <w:p w:rsidR="008961CC" w:rsidRDefault="00E068E6">
      <w:pPr>
        <w:pStyle w:val="ena"/>
      </w:pPr>
      <w:r>
        <w:t>(Effective Date)</w:t>
      </w:r>
    </w:p>
    <w:p w:rsidR="008961CC" w:rsidRDefault="00E068E6">
      <w:pPr>
        <w:pStyle w:val="enf3"/>
      </w:pPr>
      <w:r>
        <w:t>Article 1  This Cabinet Order comes into effect on April 1, 2009.</w:t>
      </w:r>
    </w:p>
    <w:p w:rsidR="008961CC" w:rsidRDefault="008961CC"/>
    <w:p w:rsidR="008961CC" w:rsidRDefault="00E068E6">
      <w:pPr>
        <w:pStyle w:val="en2"/>
      </w:pPr>
      <w:r>
        <w:t>Supplementary Provisions  [Cabinet Order No. 180 of August 4, 2010]</w:t>
      </w:r>
    </w:p>
    <w:p w:rsidR="008961CC" w:rsidRDefault="008961CC"/>
    <w:p w:rsidR="008961CC" w:rsidRDefault="00E068E6">
      <w:pPr>
        <w:pStyle w:val="enf5"/>
      </w:pPr>
      <w:r>
        <w:t>This Cabinet Order comes into effect on the effective date prescribed in the proviso of Article 1 of the Supplementary Provisions of the Act Partially Amending the Air Pollution Control Act and the Water Pollution Control Act (August 10, 2010).</w:t>
      </w:r>
    </w:p>
    <w:p w:rsidR="008961CC" w:rsidRDefault="008961CC"/>
    <w:p w:rsidR="008961CC" w:rsidRDefault="00E068E6">
      <w:pPr>
        <w:pStyle w:val="en2"/>
      </w:pPr>
      <w:r>
        <w:t>Supplementary Provisions  [Cabinet Order No. 213 of October 20, 2010]  [Extract]</w:t>
      </w:r>
    </w:p>
    <w:p w:rsidR="008961CC" w:rsidRDefault="008961CC"/>
    <w:p w:rsidR="008961CC" w:rsidRDefault="00E068E6">
      <w:pPr>
        <w:pStyle w:val="ena"/>
      </w:pPr>
      <w:r>
        <w:t>(Effective Date)</w:t>
      </w:r>
    </w:p>
    <w:p w:rsidR="008961CC" w:rsidRDefault="00E068E6">
      <w:pPr>
        <w:pStyle w:val="enf3"/>
      </w:pPr>
      <w:r>
        <w:t>Article 1  This Cabinet Order comes into effect on April 1, 2011.</w:t>
      </w:r>
    </w:p>
    <w:p w:rsidR="008961CC" w:rsidRDefault="008961CC"/>
    <w:p w:rsidR="008961CC" w:rsidRDefault="00E068E6">
      <w:pPr>
        <w:pStyle w:val="en2"/>
      </w:pPr>
      <w:r>
        <w:t>Supplementary Provisions  [Cabinet Order No. 324 of October 21, 2011]  [Extract]</w:t>
      </w:r>
    </w:p>
    <w:p w:rsidR="008961CC" w:rsidRDefault="008961CC"/>
    <w:p w:rsidR="008961CC" w:rsidRDefault="00E068E6">
      <w:pPr>
        <w:pStyle w:val="ena"/>
      </w:pPr>
      <w:r>
        <w:t>(Effective Date)</w:t>
      </w:r>
    </w:p>
    <w:p w:rsidR="008961CC" w:rsidRDefault="00E068E6">
      <w:pPr>
        <w:pStyle w:val="enf3"/>
      </w:pPr>
      <w:r>
        <w:t>Article 1  This Cabinet Order comes into effect on April 1, 2012.</w:t>
      </w:r>
    </w:p>
    <w:p w:rsidR="008961CC" w:rsidRDefault="008961CC"/>
    <w:p w:rsidR="008961CC" w:rsidRDefault="00E068E6">
      <w:pPr>
        <w:pStyle w:val="en2"/>
      </w:pPr>
      <w:r>
        <w:t>Supplementary Provisions  [Cabinet Order No. 28 of February 10, 2012]</w:t>
      </w:r>
    </w:p>
    <w:p w:rsidR="008961CC" w:rsidRDefault="008961CC"/>
    <w:p w:rsidR="008961CC" w:rsidRDefault="00E068E6">
      <w:pPr>
        <w:pStyle w:val="ena"/>
      </w:pPr>
      <w:r>
        <w:t>(Effective Date)</w:t>
      </w:r>
    </w:p>
    <w:p w:rsidR="008961CC" w:rsidRDefault="00E068E6">
      <w:pPr>
        <w:pStyle w:val="enf3"/>
      </w:pPr>
      <w:r>
        <w:t>Article 1  This Cabinet Order comes into effect on April 1, 2012.</w:t>
      </w:r>
    </w:p>
    <w:p w:rsidR="008961CC" w:rsidRDefault="008961CC"/>
    <w:p w:rsidR="008961CC" w:rsidRDefault="00E068E6">
      <w:pPr>
        <w:pStyle w:val="ena"/>
      </w:pPr>
      <w:r>
        <w:t>(Transitional Measures)</w:t>
      </w:r>
    </w:p>
    <w:p w:rsidR="008961CC" w:rsidRDefault="00E068E6">
      <w:pPr>
        <w:pStyle w:val="enf3"/>
      </w:pPr>
      <w:r>
        <w:t>Article 2  (1) If an order or any other action was made by a prefectural governor before the effective date of this Cabinet Order (referred to as the "effective date" below) pursuant to the provisions of the Air Pollution Control Act or the Act on Improvement of Pollution Prevention Systems in Specified Factories (referred to as the "Air Pollution Control Act or Pollution Prevention Improvement Act" below)(the order and action mentioned above are referred to as an "order or any similar action" in this parag</w:t>
      </w:r>
      <w:r>
        <w:t>raph), or a notification or any other action was made to a prefectural governor pursuant the provisions of the Air Pollution Control Act or Pollution Prevention Improvement Act (referred to as a "notification or any similar action" in this paragraph) before this Cabinet Order comes into effect, and if, on and after the effective date, the order or any similar action is to be made by the mayor of a special city as referred to in Article 252-26-3, paragraph (1) of the Local Autonomy Act (Act No. 67 of 1947) (</w:t>
      </w:r>
      <w:r>
        <w:t>referred to as the "mayor of a special city" in this Article) or the notification or any similar action is to be made to the mayor of that special city pursuant to the provisions of the Air Pollution Control Act or Pollution Prevention Improvement Act, the order or any similar action is deemed to have been made by the mayor of the special city or the notification or any similar action is deemed to have been made to the mayor of that special city, on and after the effective date.</w:t>
      </w:r>
    </w:p>
    <w:p w:rsidR="008961CC" w:rsidRDefault="00E068E6">
      <w:pPr>
        <w:pStyle w:val="enf4"/>
      </w:pPr>
      <w:r>
        <w:t xml:space="preserve">(2) If, before the effective date, it was provided by the Air Pollution Control Act or Pollution Prevention Improvement Act that procedures such as filing a report to a prefectural governor must be carried out regarding specific matters, but any of those procedures have not been carried out as of the effective date, and if those procedures will be required to be carried out for the mayor of a special city pursuant to the provisions of the Air Pollution Control Act or Pollution Prevention Improvement Act on </w:t>
      </w:r>
      <w:r>
        <w:t>or after the effective date, it is deemed on or after the effective date that procedures such as filing a report to the mayor of a special city have been required to be undertaken for those specific matters, but have not been undertaken so far.</w:t>
      </w:r>
    </w:p>
    <w:p w:rsidR="008961CC" w:rsidRDefault="008961CC"/>
    <w:p w:rsidR="008961CC" w:rsidRDefault="00E068E6">
      <w:pPr>
        <w:pStyle w:val="en2"/>
      </w:pPr>
      <w:r>
        <w:t>Supplementary Provisions  [Cabinet Order No. 320 of November 29, 2013]  [Extract]</w:t>
      </w:r>
    </w:p>
    <w:p w:rsidR="008961CC" w:rsidRDefault="008961CC"/>
    <w:p w:rsidR="008961CC" w:rsidRDefault="00E068E6">
      <w:pPr>
        <w:pStyle w:val="ena"/>
      </w:pPr>
      <w:r>
        <w:t>(Effective Date)</w:t>
      </w:r>
    </w:p>
    <w:p w:rsidR="008961CC" w:rsidRDefault="00E068E6">
      <w:pPr>
        <w:pStyle w:val="enf4"/>
      </w:pPr>
      <w:r>
        <w:t>(1) This Cabinet Order comes into effect on April 1, 2014.</w:t>
      </w:r>
    </w:p>
    <w:p w:rsidR="008961CC" w:rsidRDefault="008961CC"/>
    <w:p w:rsidR="008961CC" w:rsidRDefault="00E068E6">
      <w:pPr>
        <w:pStyle w:val="en2"/>
      </w:pPr>
      <w:r>
        <w:t>Supplementary Provisions  [Cabinet Order No. 337 of December 6, 2013]</w:t>
      </w:r>
    </w:p>
    <w:p w:rsidR="008961CC" w:rsidRDefault="008961CC"/>
    <w:p w:rsidR="008961CC" w:rsidRDefault="00E068E6">
      <w:pPr>
        <w:pStyle w:val="enf5"/>
      </w:pPr>
      <w:r>
        <w:t>This Cabinet Order comes into effect on the effective date of the Act on Arrangement of Relevant Acts for Prevention of Environmental Pollution Caused by Radioactive Materials (December 20, 2013).</w:t>
      </w:r>
    </w:p>
    <w:p w:rsidR="008961CC" w:rsidRDefault="008961CC"/>
    <w:p w:rsidR="008961CC" w:rsidRDefault="00E068E6">
      <w:pPr>
        <w:pStyle w:val="en2"/>
      </w:pPr>
      <w:r>
        <w:t>Supplementary Provisions  [Cabinet Order No. 182 of May 14, 2014]</w:t>
      </w:r>
    </w:p>
    <w:p w:rsidR="008961CC" w:rsidRDefault="008961CC"/>
    <w:p w:rsidR="008961CC" w:rsidRDefault="00E068E6">
      <w:pPr>
        <w:pStyle w:val="enf5"/>
      </w:pPr>
      <w:r>
        <w:t>This Cabinet Order comes into effect on the effective date of the Act Partially Amending the Air Pollution Control Act. (June 1, 2014).</w:t>
      </w:r>
    </w:p>
    <w:p w:rsidR="008961CC" w:rsidRDefault="008961CC"/>
    <w:p w:rsidR="008961CC" w:rsidRDefault="00E068E6">
      <w:pPr>
        <w:pStyle w:val="en2"/>
      </w:pPr>
      <w:r>
        <w:t>Supplementary Provisions  [Cabinet Order No. 196 of May 30, 2014]  [Extract]</w:t>
      </w:r>
    </w:p>
    <w:p w:rsidR="008961CC" w:rsidRDefault="008961CC"/>
    <w:p w:rsidR="008961CC" w:rsidRDefault="00E068E6">
      <w:pPr>
        <w:pStyle w:val="ena"/>
      </w:pPr>
      <w:r>
        <w:t>(Effective Date)</w:t>
      </w:r>
    </w:p>
    <w:p w:rsidR="008961CC" w:rsidRDefault="00E068E6">
      <w:pPr>
        <w:pStyle w:val="enf4"/>
      </w:pPr>
      <w:r>
        <w:t>(1) This Cabinet Order comes into effect on April 1, 2015.</w:t>
      </w:r>
    </w:p>
    <w:p w:rsidR="008961CC" w:rsidRDefault="008961CC"/>
    <w:p w:rsidR="008961CC" w:rsidRDefault="00E068E6">
      <w:pPr>
        <w:pStyle w:val="en2"/>
      </w:pPr>
      <w:r>
        <w:t>Supplementary Provisions  [Cabinet Order No. 351 of October 31, 2014]  [Extract]</w:t>
      </w:r>
    </w:p>
    <w:p w:rsidR="008961CC" w:rsidRDefault="008961CC"/>
    <w:p w:rsidR="008961CC" w:rsidRDefault="00E068E6">
      <w:pPr>
        <w:pStyle w:val="ena"/>
      </w:pPr>
      <w:r>
        <w:t>(Effective Date)</w:t>
      </w:r>
    </w:p>
    <w:p w:rsidR="008961CC" w:rsidRDefault="00E068E6">
      <w:pPr>
        <w:pStyle w:val="enf4"/>
      </w:pPr>
      <w:r>
        <w:t>(1) This Cabinet Order comes into effect on April 1, 2015.</w:t>
      </w:r>
    </w:p>
    <w:p w:rsidR="008961CC" w:rsidRDefault="008961CC"/>
    <w:p w:rsidR="008961CC" w:rsidRDefault="00E068E6">
      <w:pPr>
        <w:pStyle w:val="en2"/>
      </w:pPr>
      <w:r>
        <w:t>Supplementary Provisions  [Cabinet Order No. 30 of January 30, 2015]  [Extract]</w:t>
      </w:r>
    </w:p>
    <w:p w:rsidR="008961CC" w:rsidRDefault="008961CC"/>
    <w:p w:rsidR="008961CC" w:rsidRDefault="00E068E6">
      <w:pPr>
        <w:pStyle w:val="ena"/>
      </w:pPr>
      <w:r>
        <w:t>(Effective Date)</w:t>
      </w:r>
    </w:p>
    <w:p w:rsidR="008961CC" w:rsidRDefault="00E068E6">
      <w:pPr>
        <w:pStyle w:val="enf3"/>
      </w:pPr>
      <w:r>
        <w:t>Article 1  This Cabinet Order comes into effect on the effective date of the Act Partially Amending the Local Autonomy Act (referred to below in this Article as the "Amending Act") (April 1, 2016); provided, however, that the provisions in Article 1 which amend the Table of Contents of the Order for Enforcement of the Local Autonomy Act, the amending provisions which delete the title of Section 3 of Chapter VIII of Part II of that Order, the provisions amending Article 174-49-20 of that Order, the provision</w:t>
      </w:r>
      <w:r>
        <w:t>s of Article 14, Article 17, Article 18 (excluding provisions amending Article 4, paragraph (1) of the Cabinet Order for Specifying Necessary Matters Upon Designation of Designated Cities, Core Cities or Special Cities), Articles 21 through 25, Article 27, Article 29, Article 32, Article 33, Article 36, and Article 46, the provisions in Article 47 which amend Article 47-2, item (iv) of the Order for Organization of the Ministry of Internal Affairs and Communications, and the provisions of the following Arti</w:t>
      </w:r>
      <w:r>
        <w:t>cle through Article 15 of the Supplementary Provisions come into effect on April 1, 2015.</w:t>
      </w:r>
    </w:p>
    <w:p w:rsidR="008961CC" w:rsidRDefault="008961CC"/>
    <w:p w:rsidR="008961CC" w:rsidRDefault="00E068E6">
      <w:pPr>
        <w:pStyle w:val="ena"/>
      </w:pPr>
      <w:r>
        <w:t>(Transitional Measures Accompanying the Partial Amendment of the Order for Enforcement of the Air Pollution Control Act)</w:t>
      </w:r>
    </w:p>
    <w:p w:rsidR="008961CC" w:rsidRDefault="00E068E6">
      <w:pPr>
        <w:pStyle w:val="enf3"/>
      </w:pPr>
      <w:r>
        <w:t>Article 5  For special cities as of the effective date, the provisions of Article 13, paragraphs (1) and (3) of the Order for Enforcement of the Air Pollution Control Act before the amendment by Article 21 remain in effect. In this case, in paragraph (1) of that Article, the phrase "special cities referred to in Article 252-26-3, paragraph (1) of the Local Autonomy Act (Act No. 67 of 1947)" is deemed to be replaced with "special cities as of the effective date as referred to in Article 2 of the Supplementar</w:t>
      </w:r>
      <w:r>
        <w:t xml:space="preserve">y Provisions of the Act Partially Amending the Local Autonomy Act (Act No. 42 of 2014)", the phrase "specified special cities" is deemed to be replaced with "specified special cities as of the effective date", the phrase "special cities" is deemed to be replaced with "special cities as of the effective date", the phrase "mayors of special cities" is deemed to be replaced with "mayors of special cities as of the effective date"; and in paragraph (3) of that Article, the phrase "Acts and functions prescribed </w:t>
      </w:r>
      <w:r>
        <w:t>in the preceding paragraph" is deemed to be replaced with "Acts", and the phrase "specified special cities" is deemed to be replaced with "specified special cities as of the effective date".</w:t>
      </w:r>
    </w:p>
    <w:p w:rsidR="008961CC" w:rsidRDefault="008961CC"/>
    <w:p w:rsidR="008961CC" w:rsidRDefault="00E068E6">
      <w:pPr>
        <w:pStyle w:val="en2"/>
      </w:pPr>
      <w:r>
        <w:t>Supplementary Provisions  [Cabinet Order No. 379 of November 11, 2015]</w:t>
      </w:r>
    </w:p>
    <w:p w:rsidR="008961CC" w:rsidRDefault="008961CC"/>
    <w:p w:rsidR="008961CC" w:rsidRDefault="00E068E6">
      <w:pPr>
        <w:pStyle w:val="enf5"/>
      </w:pPr>
      <w:r>
        <w:t>This Cabinet Order comes into effect on the effective date of the Act Partially Amending the Air Pollution Control Act.</w:t>
      </w:r>
    </w:p>
    <w:p w:rsidR="008961CC" w:rsidRDefault="008961CC"/>
    <w:p w:rsidR="008961CC" w:rsidRDefault="00E068E6">
      <w:pPr>
        <w:pStyle w:val="en2"/>
      </w:pPr>
      <w:r>
        <w:t>Supplementary Provisions  [Cabinet Order No. 399 of December 2, 2015]  [Extract]</w:t>
      </w:r>
    </w:p>
    <w:p w:rsidR="008961CC" w:rsidRDefault="008961CC"/>
    <w:p w:rsidR="008961CC" w:rsidRDefault="00E068E6">
      <w:pPr>
        <w:pStyle w:val="ena"/>
      </w:pPr>
      <w:r>
        <w:t>(Effective Date)</w:t>
      </w:r>
    </w:p>
    <w:p w:rsidR="008961CC" w:rsidRDefault="00E068E6">
      <w:pPr>
        <w:pStyle w:val="enf3"/>
      </w:pPr>
      <w:r>
        <w:t>Article 1  This Cabinet Order comes into effect on April 1, 2016.</w:t>
      </w:r>
    </w:p>
    <w:p w:rsidR="008961CC" w:rsidRDefault="008961CC"/>
    <w:p w:rsidR="008961CC" w:rsidRDefault="00E068E6">
      <w:pPr>
        <w:pStyle w:val="en2"/>
      </w:pPr>
      <w:r>
        <w:t>Supplementary Provisions  [Cabinet Order No. 299 of September 7, 2016]</w:t>
      </w:r>
    </w:p>
    <w:p w:rsidR="008961CC" w:rsidRDefault="008961CC"/>
    <w:p w:rsidR="008961CC" w:rsidRDefault="00E068E6">
      <w:pPr>
        <w:pStyle w:val="enf5"/>
      </w:pPr>
      <w:r>
        <w:t>This Cabinet Order comes into effect on the effective date of the Act Partially Amending the Air Pollution Control Act (Act No. 41 of 2015).</w:t>
      </w:r>
    </w:p>
    <w:p w:rsidR="008961CC" w:rsidRDefault="008961CC"/>
    <w:p w:rsidR="008961CC" w:rsidRDefault="00E068E6">
      <w:pPr>
        <w:pStyle w:val="en2"/>
      </w:pPr>
      <w:r>
        <w:t>Supplementary Provisions  [Cabinet Order No. 286 of November 27, 2017]  [Extract]</w:t>
      </w:r>
    </w:p>
    <w:p w:rsidR="008961CC" w:rsidRDefault="008961CC"/>
    <w:p w:rsidR="008961CC" w:rsidRDefault="00E068E6">
      <w:pPr>
        <w:pStyle w:val="ena"/>
      </w:pPr>
      <w:r>
        <w:t>(Effective Date)</w:t>
      </w:r>
    </w:p>
    <w:p w:rsidR="008961CC" w:rsidRDefault="00E068E6">
      <w:pPr>
        <w:pStyle w:val="enf4"/>
      </w:pPr>
      <w:r>
        <w:t>(1) This Cabinet Order comes into effect on April 1, 2018.</w:t>
      </w:r>
    </w:p>
    <w:p w:rsidR="008961CC" w:rsidRDefault="008961CC"/>
    <w:p w:rsidR="008961CC" w:rsidRDefault="00E068E6">
      <w:pPr>
        <w:pStyle w:val="en2"/>
      </w:pPr>
      <w:r>
        <w:t>Supplementary Provisions  [Cabinet Order No. 157 of November 13, 2019]</w:t>
      </w:r>
    </w:p>
    <w:p w:rsidR="008961CC" w:rsidRDefault="008961CC"/>
    <w:p w:rsidR="008961CC" w:rsidRDefault="00E068E6">
      <w:pPr>
        <w:pStyle w:val="ena"/>
      </w:pPr>
      <w:r>
        <w:t>(Effective Date)</w:t>
      </w:r>
    </w:p>
    <w:p w:rsidR="008961CC" w:rsidRDefault="00E068E6">
      <w:pPr>
        <w:pStyle w:val="enf4"/>
      </w:pPr>
      <w:r>
        <w:t>(1) This Cabinet Order comes into effect as of April 1, 2020.</w:t>
      </w:r>
    </w:p>
    <w:p w:rsidR="008961CC" w:rsidRDefault="008961CC"/>
    <w:p w:rsidR="008961CC" w:rsidRDefault="00E068E6">
      <w:pPr>
        <w:pStyle w:val="en2"/>
      </w:pPr>
      <w:r>
        <w:t>Supplementary Provisions  [Cabinet Order No. 304 of October 7, 2020]</w:t>
      </w:r>
    </w:p>
    <w:p w:rsidR="008961CC" w:rsidRDefault="008961CC"/>
    <w:p w:rsidR="008961CC" w:rsidRDefault="00E068E6">
      <w:pPr>
        <w:pStyle w:val="ena"/>
      </w:pPr>
      <w:r>
        <w:t>(Effective Date)</w:t>
      </w:r>
    </w:p>
    <w:p w:rsidR="008961CC" w:rsidRDefault="00E068E6">
      <w:pPr>
        <w:pStyle w:val="enf4"/>
      </w:pPr>
      <w:r>
        <w:t>(1) This Cabinet Order comes into effect on the date on which the Act Partially Amending the Air Pollution Control Act (referred to as the "Amending Act" below) comes into effect (April 1, 2021); provided, however, that the provisions amending Article 13, paragraph (1) (limited to the part changing item (ix) of that paragraph into item (x), incrementing down the numbering of items (v) through (viii) by one item respectively, and adding one item after item (iv)) come into effect on the date on which the prov</w:t>
      </w:r>
      <w:r>
        <w:t>isions stated in Article 1, item (ii) of the Supplementary Provisions of the Amending Act come into effect (April 1, 2022).</w:t>
      </w:r>
    </w:p>
    <w:p w:rsidR="008961CC" w:rsidRDefault="008961CC"/>
    <w:p w:rsidR="008961CC" w:rsidRDefault="00E068E6">
      <w:pPr>
        <w:pStyle w:val="ena"/>
      </w:pPr>
      <w:r>
        <w:t>(Transitional Measures)</w:t>
      </w:r>
    </w:p>
    <w:p w:rsidR="008961CC" w:rsidRDefault="00E068E6">
      <w:pPr>
        <w:pStyle w:val="enf4"/>
      </w:pPr>
      <w:r>
        <w:t>(2) The provisions of Article 3-3 of the Order for Enforcement of Air Pollution Control Act amended by this Cabinet Order apply to the demolition work including renovations or repairs which starts on or after the final date in the 14-day period which commences on the effective date of this Cabinet Order (excluding the demolition work including renovations or repairs, which also includes any task which causes the emission or dispersal of specified particulates, if a notification under Article 18-15, paragrap</w:t>
      </w:r>
      <w:r>
        <w:t>h (1) or (2) of the Air Pollution Control Act before the amendment by the Amending Act has been filed for that task, but the demolition work has not started before the final date mentioned above (this demolition work is referred to as the "upcoming work with the notification given" in this paragraph)), and prior laws and regulations continue to govern the demolition work including renovations or repairs (including the upcoming work with the notification given) which has started before the final date mention</w:t>
      </w:r>
      <w:r>
        <w:t>ed above.</w:t>
      </w:r>
    </w:p>
    <w:p w:rsidR="008961CC" w:rsidRDefault="008961CC"/>
    <w:p w:rsidR="008961CC" w:rsidRDefault="00E068E6">
      <w:pPr>
        <w:pStyle w:val="en2"/>
      </w:pPr>
      <w:r>
        <w:t>Supplementary Provisions  [Cabinet Order No. 275 of September 29, 2021]</w:t>
      </w:r>
    </w:p>
    <w:p w:rsidR="008961CC" w:rsidRDefault="008961CC"/>
    <w:p w:rsidR="008961CC" w:rsidRDefault="00E068E6">
      <w:pPr>
        <w:pStyle w:val="ena"/>
      </w:pPr>
      <w:r>
        <w:t>(Effective Date)</w:t>
      </w:r>
    </w:p>
    <w:p w:rsidR="008961CC" w:rsidRDefault="00E068E6">
      <w:pPr>
        <w:pStyle w:val="enf4"/>
      </w:pPr>
      <w:r>
        <w:t>(1) This Cabinet Order comes into effect on October 1, 2022.</w:t>
      </w:r>
    </w:p>
    <w:p w:rsidR="008961CC" w:rsidRDefault="008961CC"/>
    <w:p w:rsidR="008961CC" w:rsidRDefault="00E068E6">
      <w:pPr>
        <w:pStyle w:val="ena"/>
      </w:pPr>
      <w:r>
        <w:t>(Transitional Measures)</w:t>
      </w:r>
    </w:p>
    <w:p w:rsidR="008961CC" w:rsidRDefault="00E068E6">
      <w:pPr>
        <w:pStyle w:val="enf4"/>
      </w:pPr>
      <w:r>
        <w:t>(2) Prior laws and regulations continue to govern the applicability of penal provisions to actions engaged before this Cabinet Order comes into effect.</w:t>
      </w:r>
    </w:p>
    <w:p w:rsidR="008961CC" w:rsidRDefault="008961CC"/>
    <w:p w:rsidR="008961CC" w:rsidRDefault="00E068E6">
      <w:pPr>
        <w:pStyle w:val="en8"/>
        <w:ind w:left="227" w:hanging="227"/>
      </w:pPr>
      <w:r>
        <w:t>Appended Table 1 (Related to Article 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13"/>
        <w:gridCol w:w="4097"/>
        <w:gridCol w:w="4097"/>
      </w:tblGrid>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Boilers (including hot air boilers, and excluding boilers that use only electricity or waste heat as a heat source)</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heat transfer area calculated as respectively prescribed by Order of the Ministry of the Environment (hereinafter referred to as "heat transfer area") is at least 10 square meters, or the burner's fuel combustion capacity is at least 50 liters fuel oil equivalent per hour.</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Heating furnaces and gas generation furnaces for use in generation of water gas or oil gas</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processing capacity of coal or coke used as raw materials is at least 20 tons per day, or the burner's fuel combustion capacity is at least 50 liters fuel oil equivalent per hour.</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Roasting furnaces, sintering furnaces (including pelletizing furnaces), and calcining furnaces (excluding those listed stated in row (xiv14)) for use in the refining of metals or the manufacture of industrial inorganic chemical products.</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8961CC" w:rsidRDefault="00E068E6">
            <w:pPr>
              <w:pStyle w:val="jaen"/>
            </w:pPr>
            <w:r>
              <w:t>The processing capacity of raw materials is at least 1 ton per hour.</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(iv)</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Blast furnaces (including reverberatory furnaces for smelting), converter furnaces, and open hearth furnaces (excluding those listed stated in row (xiv14)) for use in the refining of metals</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8961CC">
            <w:pPr>
              <w:pStyle w:val="jaen"/>
            </w:pP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Melting furnaces (excluding cupola furnaces and those listedstated in paragraph raw (14xiv)  or paragraphsraws (24xxiv) tothrough (26xxvi)) used in the refining or casting of metals</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8961CC" w:rsidRDefault="00E068E6">
            <w:pPr>
              <w:pStyle w:val="jaen"/>
            </w:pPr>
            <w:r>
              <w:t>The grate area (referring to the horizontal projection area of the grate; the same applies below) is at least 1 square meter, the cross-sectional area of the furance at the lower edge of the tuyere the tuyere area (referring to the horizontal cross-sectional area of the furance enclosed by withn the inner wall of the furnace at the height of the lower edge most end of the tuyere; the same applies belowhereinafter) is at least 0.5 square meters, or  the burner's fuel combustion capacity is at least 50 liters</w:t>
            </w:r>
            <w:r>
              <w:t xml:space="preserve"> fuel oil equivalent per hour, or the transformer's rated capacity is at least 200 kilovolt-amperes.</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Heating furnaces for use in forging or rolling metals, or for heat treatment of metals or metal products</w:t>
            </w:r>
          </w:p>
        </w:tc>
        <w:tc>
          <w:tcPr>
            <w:tcW w:w="4097" w:type="dxa"/>
            <w:tcBorders>
              <w:left w:val="single" w:sz="4" w:space="0" w:color="auto"/>
              <w:right w:val="single" w:sz="4" w:space="0" w:color="auto"/>
            </w:tcBorders>
            <w:tcMar>
              <w:top w:w="0" w:type="dxa"/>
              <w:left w:w="108" w:type="dxa"/>
              <w:bottom w:w="0" w:type="dxa"/>
              <w:right w:w="108" w:type="dxa"/>
            </w:tcMar>
          </w:tcPr>
          <w:p w:rsidR="008961CC" w:rsidRDefault="008961CC">
            <w:pPr>
              <w:pStyle w:val="jaen"/>
            </w:pP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Heating furnaces for use in the manufacture of petroleum products, petrochemical products, or coal tar products  </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8961CC">
            <w:pPr>
              <w:pStyle w:val="jaen"/>
            </w:pP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Catalyst regeneration towers included in Ffluidized catalytic crackers that are catalyst regeneration towers for use in the refining of petroleum.</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combustion capacity of carbon adhering to the catalyst is at least 200 kilograms per hour.</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(viii-2 ) </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Sulfur recovery devices that are Ccombustion furnaces which are included in sulfur recovery devices attached to oil gas cleaning equipment</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burner's fuel combustion capacity is at least 6 liters fuel oil equivalent per hour.</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(ix)</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Firing furnaces and melting furnaces for use in the manufacture of ceramic products</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8961CC" w:rsidRDefault="00E068E6">
            <w:pPr>
              <w:pStyle w:val="jaen"/>
            </w:pPr>
            <w:r>
              <w:t>The grate area is at least 1 square meter, or the burner's fuel combustion capacity is at least 50 liters fuel oil equivalent per hour, or the transformer's rated capacity is at least 200 kilovolt-amperes.</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Reaction furnaces (including combustion devices for the manufacture of carbon black) and direct heating furnaces (excluding those stated listed in paragraph raw (xxvi26)) for use in the manufacture of industrial inorganic chemical products or food products</w:t>
            </w:r>
          </w:p>
        </w:tc>
        <w:tc>
          <w:tcPr>
            <w:tcW w:w="4097" w:type="dxa"/>
            <w:tcBorders>
              <w:left w:val="single" w:sz="4" w:space="0" w:color="auto"/>
              <w:right w:val="single" w:sz="4" w:space="0" w:color="auto"/>
            </w:tcBorders>
            <w:tcMar>
              <w:top w:w="0" w:type="dxa"/>
              <w:left w:w="108" w:type="dxa"/>
              <w:bottom w:w="0" w:type="dxa"/>
              <w:right w:w="108" w:type="dxa"/>
            </w:tcMar>
          </w:tcPr>
          <w:p w:rsidR="008961CC" w:rsidRDefault="008961CC">
            <w:pPr>
              <w:pStyle w:val="jaen"/>
            </w:pP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Drying ovens (excluding those stated listed in rawsparagraphs (xiv14) and (xxiii23))</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8961CC">
            <w:pPr>
              <w:pStyle w:val="jaen"/>
            </w:pP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Electric furnaces for use in iron making, steel making, or the manufacture of alloy iron or carbide</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transformer's rated capacity is at least 1,000 kilovolt-amperes.</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(xiii)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Waste incineration furnaces</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grate area is at least 2 square meters, or the incineration capacity is at least 200 kilograms per hour.</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(xiv)</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Roasting furnaces, sintering furnaces (including pelletizing furnaces), blast furnaces (including reverberatory furnaces for smelting), converter furnaces, melting furnaces, and drying ovens for use in the refining of copper, lead, or zinc</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processing capacity of raw materials is at least 0.5 tons per hour, the grate area the cross-sectional area of the furance at the lower edge of the tuyere is at least 0.5 square meters, the tuyere area is at least 0.2 square meters, or the burner's fuel combustion capacity is at least 20 liters fuel oil equivalent per hour.</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(xv)</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Drying facilitiesunits for use in the manufacture of cadmium-based pigments or cadmium carbonate</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capacity is at least 0.1 cubic meters.</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(xvi)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Chlorine rapid cooling facilitiesunits for use in the manufacture of chlorinated ethylene</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8961CC" w:rsidRDefault="00E068E6">
            <w:pPr>
              <w:pStyle w:val="jaen"/>
            </w:pPr>
            <w:r>
              <w:t>The processing capacity of chlorine (chlorine equivalent, in the case of hydrogen chloride) used as raw materials is at least 50 kilograms per hour.</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(xvii)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Dissolving tanks used in the manufacture of ferric chloride</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8961CC">
            <w:pPr>
              <w:pStyle w:val="jaen"/>
            </w:pP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(xviii)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Reaction furnaces for use in the manufacture of activated carbon (only those using zinc chloride)</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burner's fuel combustion capacity is at least 3 liters fuel oil equivalent per hour.</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(xix)</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Chlorine reaction facilitiesunits, hydrogen chloride reaction facilitiesunits, and hydrogen chloride absorption facilitiesunits (only those using chlorine gas or hydrogen chloride gas, excluding those listed stated in the three preceding rawsparagraphs and the sealed type), for use in the manufacture of chemical products.</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processing capacity of chlorine (chlorine equivalent, in the case of hydrogen chloride) used as raw materials is at least 50 kilograms per hour.</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Electrolytic furnaces for use in the smelting of aluminum</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current capacity is at least 30 kiloamperes.</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Reaction facilitiesunits, concentration facilitiesunits, firing furnaces, and melting furnaces for use in the manufacture of phosphorus, phosphoric acid, phosphate fertilizer, or compound fertilizers (only those using rock phosphate as a raw material)</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processing capacity of rock phosphate used as a raw material is at least 80 kilograms per hour, the burner's fuel combustion capacity is at least 50 liters fuel oil equivalent per hour, or the transformer's rated capacity is at least 200 kilovolt-amperes.</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Condensation facilitiesunits, absorption facilitiesunits, and distillation facilitiesunits (excluding those of the sealed type) for use in the manufacture of hydrofluoric acid</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heat transfer area is at least 10 square meters, or the pump power is at least 1 kilowatt as calculated as prescribed by pursuant to the provisions of Order of the Ministry of the Environment.</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(xxiii)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Reaction facilitiesunits, drying ovens, and firing furnacesunits for use in the manufacture of sodium tripolyphosphate (only those using rock phosphate as a raw material)</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processing capacity of raw materials is at least 80 kilograms per hour, the grate area is at least 1 square meter, or the burner's fuel combustion capacity is at least 50 liters fuel oil equivalent per hour.</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(xxiv)</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Melting facilitiesunits for use in the secondary refining of lead (including the manufacture of lead alloys) or the manufacture of lead pipes, lead plates, or lead lines</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burner's fuel combustion capacity is at least 10 liters fuel oil equivalent per hour, or the transformer's rated capacity is at least 40 kilovolt-amperes.</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(xxv)</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Melting furnaces for use in the manufacture of lead storage batteries</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burner's fuel combustion capacity is at least 4 liters fuel oil equivalent per hour, or the transformer's rated capacity is at least 20 kilovolt-amperes.</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(xxvi)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Melting furnaces, reverberatory furnaces, reaction furnaces, and drying facilitiesunits for use in the manufacture of lead-based pigments</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capacity is at least 0.1 cubic meters, the burner's fuel combustion capacity is at least 4 liters fuel oil equivalent per hour, or the transformer's rated capacity is at least 20 kilovolt-amperes.</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(xxvii)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Absorption facilitiesunits, bleaching facilitiesunits, and concentration facilitiesunits for use in the manufacture of nitric acid</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capacity for nitric acid synthesis, bleaching, or concentration is at least 100 kilograms per hour.</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(xxviii)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Coke ovens</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processing capacity of raw materials is at least 20 tons per day.</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(xxix)</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Gas turbines</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8961CC" w:rsidRDefault="00E068E6">
            <w:pPr>
              <w:pStyle w:val="jaen"/>
            </w:pPr>
            <w:r>
              <w:t>The fuel combustion capacity is at least 50 liters fuel oil equivalent per hour.</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(xxx)</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Diesel engines</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8961CC">
            <w:pPr>
              <w:pStyle w:val="jaen"/>
            </w:pP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(xxxi)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Gas engines</w:t>
            </w:r>
          </w:p>
        </w:tc>
        <w:tc>
          <w:tcPr>
            <w:tcW w:w="4097" w:type="dxa"/>
            <w:tcBorders>
              <w:top w:val="single" w:sz="4" w:space="0" w:color="auto"/>
              <w:left w:val="single" w:sz="4" w:space="0" w:color="auto"/>
              <w:right w:val="single" w:sz="4" w:space="0" w:color="auto"/>
            </w:tcBorders>
            <w:tcMar>
              <w:top w:w="0" w:type="dxa"/>
              <w:left w:w="108" w:type="dxa"/>
              <w:bottom w:w="0" w:type="dxa"/>
              <w:right w:w="108" w:type="dxa"/>
            </w:tcMar>
          </w:tcPr>
          <w:p w:rsidR="008961CC" w:rsidRDefault="00E068E6">
            <w:pPr>
              <w:pStyle w:val="jaen"/>
            </w:pPr>
            <w:r>
              <w:t>The fuel combustion capacity is at least 35 liters fuel oil equivalent per hour.</w:t>
            </w:r>
          </w:p>
        </w:tc>
      </w:tr>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(xxxii)</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Gasoline engines</w:t>
            </w:r>
          </w:p>
        </w:tc>
        <w:tc>
          <w:tcPr>
            <w:tcW w:w="4097"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8961CC">
            <w:pPr>
              <w:pStyle w:val="jaen"/>
            </w:pPr>
          </w:p>
        </w:tc>
      </w:tr>
    </w:tbl>
    <w:p w:rsidR="008961CC" w:rsidRDefault="008961CC"/>
    <w:p w:rsidR="008961CC" w:rsidRDefault="00E068E6">
      <w:pPr>
        <w:pStyle w:val="en8"/>
        <w:ind w:left="227" w:hanging="227"/>
      </w:pPr>
      <w:r>
        <w:t>Appended Table 1-2 (Related to Article 2-3)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5"/>
        <w:gridCol w:w="4106"/>
        <w:gridCol w:w="4106"/>
      </w:tblGrid>
      <w:tr w:rsidR="008961CC">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w:t>
            </w:r>
          </w:p>
        </w:tc>
        <w:tc>
          <w:tcPr>
            <w:tcW w:w="4106" w:type="dxa"/>
            <w:tcBorders>
              <w:top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Drying units facilities for use in the manufacture of chemical products using volatile organic compounds as solvents (only those that cause the evaporation of volatile organic compounds; the same applies below)</w:t>
            </w:r>
          </w:p>
        </w:tc>
        <w:tc>
          <w:tcPr>
            <w:tcW w:w="4106" w:type="dxa"/>
            <w:tcBorders>
              <w:top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air blower's blowing capacity (in the case of units without an air blower in place, or the exhaust ventilator's exhaust capacity, in the case of facilities without an air blower in place; the same applies belowhereinafter) is at least 3,000 cubic meters per hour.</w:t>
            </w:r>
          </w:p>
        </w:tc>
      </w:tr>
      <w:tr w:rsidR="008961CC">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Painting units facilities (only those that perform spray painting)</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exhaust ventilator's exhaust capacity is at least 100,000 cubic meters per hour.</w:t>
            </w:r>
          </w:p>
        </w:tc>
      </w:tr>
      <w:tr w:rsidR="008961CC">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(iii)</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Drying units facilities for use in painting (excluding those pertaining related to spray painting and electrodeposition coating)</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air blower's blowing capacity is at least 10,000 cubic meters per hour.</w:t>
            </w:r>
          </w:p>
        </w:tc>
      </w:tr>
      <w:tr w:rsidR="008961CC">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(iv)</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Drying units facilities for use in adhesion process inpertaining to the manufacture of copper clad laminates for printed circuits, adhesive tapes or adhesive sheets, release paper, or packaging materials (only laminates of synthetic resin)</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air blower's blowing capacity is at least 5,000 cubic meters per hour.</w:t>
            </w:r>
          </w:p>
        </w:tc>
      </w:tr>
      <w:tr w:rsidR="008961CC">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Drying unitsfacilities for use in adhesion process (excluding those listed in the preceding paragraph and those used in the manufacture of wood and wood products (including furniture))</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air blower's blowing capacity is at least 15,000 cubic meters per hour.</w:t>
            </w:r>
          </w:p>
        </w:tc>
      </w:tr>
      <w:tr w:rsidR="008961CC">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Drying unitsfacilities for use in printing (only those forpertaining to offset rotary offset printing)</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air blower's blowing capacity is at least 7,000 cubic meters per hour.</w:t>
            </w:r>
          </w:p>
        </w:tc>
      </w:tr>
      <w:tr w:rsidR="008961CC">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(vii)</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Drying unitsfacilities for use in printing (only those pertaining to for gravure printing)</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air blower's blowing capacity is at least 27,000 cubic meters per hour.</w:t>
            </w:r>
          </w:p>
        </w:tc>
      </w:tr>
      <w:tr w:rsidR="008961CC">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(viii)</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Unitsfacilities for cleaning with volatile organic compounds for industrial use (including drying unitsfacilities for evaporating volatile organic compounds used for cleaning at the cleaning unitfacilities)</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surface area where volatile organic compounds are exposed to air at the cleaning facilitiesunit is at least 5 square meters.</w:t>
            </w:r>
          </w:p>
        </w:tc>
      </w:tr>
      <w:tr w:rsidR="008961CC">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(ix)</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Storage tanks for gasoline, crude oil, naphtha, and other volatile organic compounds whose steam pressure exceeds 20 kilopascals at a temperature of 37.8°C (excluding those of the sealed type and the floating-roof type (including those having an internal floating roof))</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capacity is at least 1,000 liters.</w:t>
            </w:r>
          </w:p>
        </w:tc>
      </w:tr>
    </w:tbl>
    <w:p w:rsidR="008961CC" w:rsidRDefault="008961CC"/>
    <w:p w:rsidR="008961CC" w:rsidRDefault="00E068E6">
      <w:pPr>
        <w:pStyle w:val="en8"/>
        <w:ind w:left="227" w:hanging="227"/>
      </w:pPr>
      <w:r>
        <w:t>Appended Table 2 (Related to Article 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13"/>
        <w:gridCol w:w="4097"/>
        <w:gridCol w:w="4097"/>
      </w:tblGrid>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Coke ovens</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processing capacity of raw materials is at least 50 tons per day.</w:t>
            </w:r>
          </w:p>
        </w:tc>
      </w:tr>
      <w:tr w:rsidR="008961C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Deposit sites of minerals (including coke and excluding asbestos; the same applies below) or soil and stone</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area is at least 1,000 square meters.</w:t>
            </w:r>
          </w:p>
        </w:tc>
      </w:tr>
      <w:tr w:rsidR="008961C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(iii)</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Belt conveyors and bucket conveyors (only those for use with minerals, soil and stone, or cement; excluding those of the sealed type)</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belt width is at least 75 centimeters, or the bucket's internal volume is at least 0.03 cubic meters.</w:t>
            </w:r>
          </w:p>
        </w:tc>
      </w:tr>
      <w:tr w:rsidR="008961C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(iv)</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Crushing machines and grinding machines (only those for use with minerals, rock, and cement; excluding those of the wet type and those of the sealed type)</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motor's rated output is at least 75 kilowatts.</w:t>
            </w:r>
          </w:p>
        </w:tc>
      </w:tr>
      <w:tr w:rsidR="008961C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Sieves (only those for use with minerals, rock, or cement; excluding those of the wet type and those of the sealed type)</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motor's rated output is at least 15 kilowatts.</w:t>
            </w:r>
          </w:p>
        </w:tc>
      </w:tr>
    </w:tbl>
    <w:p w:rsidR="008961CC" w:rsidRDefault="008961CC"/>
    <w:p w:rsidR="008961CC" w:rsidRDefault="00E068E6">
      <w:pPr>
        <w:pStyle w:val="en8"/>
        <w:ind w:left="227" w:hanging="227"/>
      </w:pPr>
      <w:r>
        <w:t>Appended Table 2-2 (Related to Article 3-2)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13"/>
        <w:gridCol w:w="4097"/>
        <w:gridCol w:w="4097"/>
      </w:tblGrid>
      <w:tr w:rsidR="008961CC">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Carding machines</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motor's rated output is at least 3.7 kilowatts.</w:t>
            </w:r>
          </w:p>
        </w:tc>
      </w:tr>
      <w:tr w:rsidR="008961C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Mixing machines</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motor's rated output is at least 3.7 kilowatts.</w:t>
            </w:r>
          </w:p>
        </w:tc>
      </w:tr>
      <w:tr w:rsidR="008961C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(iii)</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Spinning and weaving machines</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motor's rated output is at least 3.7 kilowatts.</w:t>
            </w:r>
          </w:p>
        </w:tc>
      </w:tr>
      <w:tr w:rsidR="008961C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(iv)</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Cutters</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motor's rated output is at least 2.2 kilowatts.</w:t>
            </w:r>
          </w:p>
        </w:tc>
      </w:tr>
      <w:tr w:rsidR="008961C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Polishing machines</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motor's rated output is at least 2.2 kilowatts.</w:t>
            </w:r>
          </w:p>
        </w:tc>
      </w:tr>
      <w:tr w:rsidR="008961C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Cutting machines</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motor's rated output is at least 2.2 kilowatts.</w:t>
            </w:r>
          </w:p>
        </w:tc>
      </w:tr>
      <w:tr w:rsidR="008961C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(vii)</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Crushing machines and grinding machines</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motor's rated output is at least 2.2 kilowatts.</w:t>
            </w:r>
          </w:p>
        </w:tc>
      </w:tr>
      <w:tr w:rsidR="008961C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(viii)</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Presses (only those for use in shear processing)</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motor's rated output is at least 2.2 kilowatts.</w:t>
            </w:r>
          </w:p>
        </w:tc>
      </w:tr>
      <w:tr w:rsidR="008961CC">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(ix)</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Piercing machines</w:t>
            </w:r>
          </w:p>
        </w:tc>
        <w:tc>
          <w:tcPr>
            <w:tcW w:w="4097"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The motor's rated output is at least 2.2 kilowatts.</w:t>
            </w:r>
          </w:p>
        </w:tc>
      </w:tr>
      <w:tr w:rsidR="008961CC">
        <w:tblPrEx>
          <w:tblCellMar>
            <w:top w:w="0" w:type="dxa"/>
            <w:left w:w="0" w:type="dxa"/>
            <w:bottom w:w="0" w:type="dxa"/>
            <w:right w:w="0" w:type="dxa"/>
          </w:tblCellMar>
        </w:tblPrEx>
        <w:trPr>
          <w:cantSplit/>
        </w:trPr>
        <w:tc>
          <w:tcPr>
            <w:tcW w:w="870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Remarks: Facilities stated Units listed in the middlecenter column of this tTable are limited to those for use in the manufacture of products containing asbestos, excluding those of the wet type and those of the sealed type.</w:t>
            </w:r>
          </w:p>
        </w:tc>
      </w:tr>
    </w:tbl>
    <w:p w:rsidR="008961CC" w:rsidRDefault="008961CC"/>
    <w:p w:rsidR="008961CC" w:rsidRDefault="00E068E6">
      <w:pPr>
        <w:pStyle w:val="en8"/>
        <w:ind w:left="227" w:hanging="227"/>
      </w:pPr>
      <w:r>
        <w:t>Appended Table 3 (Related to Article 5)</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(i) Within Hokkaido Prefecture, the area of Sapporo City (excluding the zonearea of Teinekanayama 98-banchi, the zonearea of Teinekanayama 131-banchi to 174-banchi, the zonearea of Teinehoncho 592-banchi to 593-banchi, Teineheiwa , the zonearea of Teinenishino 938-banchi to 1006-banchi, and Teinefukui, Yamanote, Bankei, Kobetsuzawa, Moiwa-yama, Kitanosawa, Nakanosawa, Minamisawa, Toishi-yama, Kataishi-yama, Shirakawa, Toyama, Ishiyama, Tokiwa, Fujino, Takino, Misumai, Toyotaki, Koganeyu, Jozankei, Jozankei-</w:t>
            </w:r>
            <w:r>
              <w:t>onsen-higashi 1-chome to Jozankei-onsen-higashi 4-chome, Jozankei-onsen-nishi 1-chome to Jozankei-onsen-nishi 4-chome, and Ariake)</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(ii) Within Hokkaido Prefecture, the area of Hakodate City, Kamiiso Town in Kamiiso County (only Aza Nanaehama-cho, Aza Oiwake, Aza Kunebetsu-cho, Aza Higashihama-cho, Aza Kaisho-cho, Aza Hon-cho, Aza Kawahara-cho, Aza Nakano-dori, Aza Iinari-cho, Aza Shinhama-cho, Aza Daikugawa, Aza Tokiwa-cho, Aza Showa-cho, Aza Oshiage, Aza Soeyama, Aza Nakano, Aza Kiyokawa, Aza Taniyoshi-cho, Aza Sakuratai, Aza Mizunashi, Aza Miyoshi, and Aza Tomigawa-cho), and Ono Town in Kameda County (only Aza Ippongi, Aza Hagino, Az</w:t>
            </w:r>
            <w:r>
              <w:t>a Chiyoda, and Aza Higashimae)</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(iii) Within Hokkaido Prefecture, the area of Otaru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(iv) Within Hokkaido Prefecture, the area of Asahikawa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(v) Within Hokkaido Prefecture, the area of Muroran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(vi) Within Hokkaido Prefecture, the area of Kushiro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(vii) Within Hokkaido Prefecture, the area of Tomakomai City, Hayakita Town in Yufutsu County (only Toasa and Genbu), and Atsuma Town in Yufutsu County (only Toyokawa, Kyoei, Kyowa, Kami-atsuma, and Hama-atsuma)</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(vii-2) Within Aomori Prefecture, the area of Aomori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(viii) Within Aomori Prefecture, the area of Hachinohe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(viii-2) Within Iwate Prefecture, the area of Morioka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(ix) Within Iwate Prefecture, the area of Miyako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 Within Iwate Prefecture, the area of Kamaishi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(xi) Within Miyagi Prefecture, the area of Sendai City, Shiogama City, Tagajo City, Shichigahama Town in Miyagi County, and Rifu Town in Miyagi County </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(xii) Within Miyagi Prefecture, the area of Ishinomaki City and Yamoto Town in Monou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(xiii) Within Miyagi Prefecture, the area of Natori City, Iwanuma City, and Shibata Town in Shibata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(xiv) Within Akita Prefecture, the area of Akita City, Oga City (only Funakoshi, Wakimoto, and Funagawa-minato), Showa Town in Minami-akita County, Iidagawa Town in Minami-akita County, Tenno Town in Minami-akita County, and Ikawa Village in Minami-akita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(xiv-2) Within Yamagata Prefecture, the area of Yamagata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(xv) Within Yamagata Prefecture, the area of Sakata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(xvi) Within Fukushima Prefecture, the area of Koriyama City (excluding Nakayama in Atami-machi, Takatama in Atami-machi, Ishimushiro in Atami-machi, Tadano in Ouse-machi, Kozu in Ouse-machi, Natsuide in Ouse-machi, Akatsu in Konan-machi, Fukura in Konan-machi, Banyu-shinden in Konan-machi, Miyo in Konan-machi, Nakano in Konan-machi, Hamaji in Konan-machi, Yokosawa in Konan-machi, Tate in Konan-machi, Funatsu in Konan-machi, Kami-michiwatashi in Tamura-machi, Kawamagari in Tamura-machi, Tochiyamakami in Tam</w:t>
            </w:r>
            <w:r>
              <w:t>ura-machi, Tochimoto in Tamura-machi, Nukazuka in Tamura-machi, Tamogami in Tamura-machi, Shitaeda in Nakata-machi, Nakatsu-gawa in Nakata-machi, Yanagi-hashi in Nakata-machi, Komaita in Nakata-machi, Konomezawa in Nakata-machi, Kuroki in Nakata-machi, Ushikubiri-hongo in Nakata-machi, Takakura in Nakata-machi, Akanuma in Nakata-machi, Ebine in Nakata-machi, Ageishi in Nakata-machi, Oniuta in Nishita-machi, Sanchome in Nishita-machi, Ota in Nishita-machi, Kimura in Nishita-machi, Negiya in Nishita-machi, Se</w:t>
            </w:r>
            <w:r>
              <w:t>risawa in Nishita-machi, Niita in Nishita-machi, Tsuchidana in Nishita-machi, Takashiba in Nishita-machi, Itahashi in Nishita-machi, Noda in Mihota-machi, Yahata in Mihota-machi, Nabeyama in Mihota-machi, Kawata in Mihota-machi, Tomioka in Mihota-machi, Shimo-moriya in Mihota-machi, Yamaguchi in Mihota-machi, Oya in Mihota-machi, and Komaya in Mihota-machi)</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(xvii) Within Fukushima Prefecture, the area of Iwaki City (excluding Miyamada in Tono-machi, Katono in Tono-machi, Negishi in Tono-machi, Taki in Tono-machi, Iritono in Tono-machi, Kami-nemoto in Tono-machi, Odaira in Tono-machi, Minami-odaira in Tabito-machi, Tabiuto in Tabito-machi, Kuroda in Tabito-machi, Nichibu in Tabito-machi, Kaidomari in Tabito-machi, Ishizumi in Tabito-machi, Kami-ogawa in Ogawa-machi, Fukuoka in Ogawa-machi, Uwadaira in Ogawa-machi, Shibahara in Ogawa-machi, Shimo-ogawa in Ogawa-</w:t>
            </w:r>
            <w:r>
              <w:t>machi, Nishi-ogawa in Ogawa-machi, Mishima in Ogawa-machi, Takahagi in Ogawa-machi, Shioda in Ogawa-machi, Sekiba in Ogawa-machi, Kami-ichigaya in Miwa-machi, Shimo-ichigaya in Miwa-machi, Nakadera in Miwa-machi, Kami-misaka in Miwa-machi, Naka-misaka in Miwa-machi, Shimo-misaka in Miwa-machi, Saiso in Miwa-machi, Godo in Miwa-machi, Watado in Miwa-machi, Kami-nagai in Miwa-machi, Shimo-nagai in Miwa-machi, Kawamae in Kawamae-machi, Shimo-okeuri in Kawamae-machi, Kami-okeuri in Kawamae-machi, Ojiroi in Kawa</w:t>
            </w:r>
            <w:r>
              <w:t>mae-machi, Hisanohama in Hisanohama-machi, Tanoami in Hisanohama-machi, Kanegasawa in Hisanohama-machi, Suetsugi in Hisanohama-machi, Ohisa in Ohisa-machi, Kohisa in Ohisa-machi, and Oyamada in Ohisa-machi)</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(xviii) Within Ibaraki Prefecture, the area of Hitachi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(xix) Within Ibaraki Prefecture, the area of Tsuchiura City, Ami Town in Inashiki County (only Oaza Aoyado, Oaza Hasamado, Oaza Akebono, Oaza Omuro, Oaza Takaku, Oaza Ami, Oaza Suzuki, Oaza Wakaguri, Oaza Arakawa-oki, and Oaza Arakawa-hongo), Dejima Village in Niihari County (only Oaza Shishinkura), and Chiyoda Village in Niihari County (only Oaza Kami-inayoshi, Oaza Shimo-inayoshi, and Oaza Niihari)</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 Within Ibaraki Prefecture, the area of Koga City and Sowa Town in Sashima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(xxi) Within Ibaraki Prefecture, the area of Katsuta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(xxii) Within Ibaraki Prefecture, the area of Kashima Town in Kashima County, Kamisu Town in Kashima County, and Hasaki Town in Kashima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(xxiii) Within Tochigi Prefecture, the area of Utsunomiya City, Kanuma City, and Mooka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(xxiii-2) Within Tochigi Prefecture, the area of Ashikaga City and Sano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(xxiii-3) Within Tochigi Prefecture, the area of Tochigi City, Oyama City, and Kuzuu Town in Aso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(xxiv) Within Gunma Prefecture, the area of Takasaki City (only Yawata-machi, Hanadaka-machi, Fujizuka-machi, and Kenzaki-machi) and Annaka City (only Nakajuku, Annaka, Annaka 1 to Annaka 5, Nakajuku 1, Shimo-manita, Iwai, Nodono, Oya, Itahana, Itahana 1, and Itahana 2)</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(xxv) Within Gunma Prefecture, the area of Takasaki City (excluding zonesareas listedstated in the preceding item)</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(xxv-2) Within Gunma Prefecture, the area of Shibukawa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(xxvi) Within Saitama Prefecture, the area of Kawagoe City, Urawa City, Omiya City, Tokorozawa City, Iwatsuki City, Kasukabe City, Sayama City, Ageo City, Yono City, Koshigaya City, Iruma City, Asaka City, Shiki City, Wako City, Niiza City, Okegawa City, Kitamoto City, Fujimi City, Kami-fukuoka City, Hasuda City, Ina Town in Kita-adachi County, Oi Town in Iruma County, Miyoshi Town in Iruma County, Miyashiro Town in Minami-saitama County, Shiraoka Town in Minami-saitama County, Sugito Town in Kita-katsushik</w:t>
            </w:r>
            <w:r>
              <w:t>a County, Matsubushi Town in Kita-katsushika County, Yoshikawa Town in Kita-katsushika County, and Showa Town in Kita-katsushika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(xxvii) Within Saitama Prefecture, the area of Kawaguchi City, Soka City, Warabi City, Toda City, Hatogaya City, Yashio City, and Misato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(xxviii) Within Saitama Prefecture, the area of Chichibu City and Yokoze Village in Chichibu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(xxix) Within Chiba Prefecture, the area of Chiba City, Ichikawa City, Funabashi City, Kisarazu City, Matsudo City, Narashino City, Ichihara City, Kimitsu City, Futtsu City, Urayasu Town in Higashi-katsushika County, and Kimitsu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(xxx) Within Chiba Prefecture, the area of Choshi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(xxxi) Within Chiba Prefecture, the area of Noda City, Narita City, Sakura City, Kashiwa City, Nagareyama City, Yachiyo City, Abiko City, Kamagaya City, Sekiyado Town in Higashi-katsushika County, Shonan Town in Higashi-katsushika County,Yotsukaido Town in Inba County, Shisui Town in Inba County, Inba Village in Inba County, Shiroi Town in Inba County, Inzai Town in Inba County, Motono Village in Inba County, and Sakae Town in Inba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(xxxii) Within Chiba Prefecture, the area of Mobara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(xxxiii) Within Tokyo Metropolis, the area of the special wards, Musashino City, Mitaka City, Chofu City, Hoya City, and Komae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(xxxiv) Within Tokyo Metropolis, the area of Hachioji City, Tachikawa City, Oume City, Fuchu City, Akishima City, Machida City, Koganei City, Kodaira City, Hino City, Higashi-murayama City, Kokubunji City, Kunitachi City, Tanashi City, Fussa City, Higashi-yamato City, Kiyose City, Higashi-kurume City, Musashi-murayama City, Tama City, Inagi City, Akikawa City, Hamura Town in Nishi-tama County, and Mizuho Town in Nishi-tama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(xxxv) Within Kanagawa Prefecture, the area of Yokohama City, Kawasaki City, and Yokosuka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(xxxv-2) Within Kanagawa Prefecture, the area of Hiratsuka City, Kamakura City, Fujisawa City, Chigasaki City, Zushi City, Sagamihara City, Miura City, Atsugi City, Yamato City, Ebina City, Zama City, Miura County, Koza County, Aikawa Town in Aiko County, and Shiroyama Town in Tsukui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(xxxvi) Within Niigata Prefecture, the area of Niigata City, Toyosaka City, and Seiro Village in Kita-kanbara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(xxxvi-2) Within Niigata Prefecture, the area of Nagaoka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(xxxvii) Within Niigata Prefecture, the area of Joetsu City and Kubiki Village in Naka-kubiki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(xxxviii) Within Toyama Prefecture, the area of Toyama City, Takaoka City, Shinminato City, Fuchu Town in Nei County, and Imizu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(xxxix) Within Ishikawa Prefecture, the area of Kanazawa City, Matto City, Mikawa Town in Ishikawa County, and Nonoichi Town in Ishikawa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(xl) Within Fukui Prefecture, the area of Fukui City and Sakai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(xli) Within Fukui Prefecture, the area of Tsuruga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(xlii) Within Fukui Prefecture, the area of Takefu City and Sabae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(xlii-2) Within Nagano Prefecture, the area of Nagano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(xlii-3) Within Nagano Prefecture, the area of Matsumoto City, Okaya City, Suwa City, and Shimo-suwa Town in Suwa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(xliii) Within Gifu Prefecture, the area of Gifu City, Ogaki City, Hashima City, Kakamigahara City, Hashima County, Tarui Town in Fuwa County, Godo Town in Anpachi County, Anpachi Town in Anpachi County, Sunomata Town in Anpachi County, Ikeda Town in Ibi County, Kitagata Town in Motosu County, Motosu Town in Motosu County, Hozumi Town in Motosu County, Sunami Town in Motosu County, Shinsei Town in Motosu County, and Itonuki Town in Motosu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(xliv) Within Gifu Prefecture, the area of Tajimi City, Mizunami City, Toki City, Kani County, and Toki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(xlv) Within Shizuoka Prefecture, the area of Shizuoka City (excluding Kogouchi, Tashiro, Kami-sakamoto, Iwasaki, Ikawa, Kuchi-sakamoto, Umegashima, Nyujima, Oku-senmata, Kuchi-senmata, Kami-ochiai, Yuno, Nagatsumata, Kakishima, Oku-ikegaya, Osawa, Yokosawa, Koshigoe, Takumi, Nagakuma, Morikoshi, Ochiai, Kayama, Nakazawa, Utogi, Do, Nakahira, Hirano, Yokoyama, Warabino, Aibuchi, Oma, Yakusa, Kuzureno, Narao, Yunoshima, Morokozawa, Hinata, Tochizawa, Sakanokami, Sugio, Kojima, Sakamoto, Kuromata, Kagiana, Te</w:t>
            </w:r>
            <w:r>
              <w:t>rajima, Aimata, Hiruido, and Akazawa)</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(xlvi) Within Shizuoka Prefecture, the area of Hamamatsu City and Kami Village in Hamana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(xlvi-2) Within Shizuoka Prefecture, the area of Numazu City, Mishima City, Susono City, Shimizu Town in Sunto County, and Nagaizumi Town in Sunto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(xlvii) Within Shizuoka Prefecture, the area of Shimizu City and Yui Town in Ihara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(xlviii) Within Shizuoka Prefecture, the area of Fujinomiya City, Fuji City, Fuji County, Fujikawa Town in Ihara County, and Kanbara Town in Ihara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(xlix) Within Aichi Prefecture, the area of Nagoya City, Tokai City, Chita City, and Tobishima Village in Ama County (only areas south of National Highway No. 1) and the area of Yatomi Town in Ama County (only areas south of National Highway No. 1 from Inari to Tomishima)</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 Within Aichi Prefecture, the area of Toyohashi City, Toyokawa City, Gamagori City, Kozakai Town in Hoi County, Mito Town in Hoi County, and Tahara Town in Atsumi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(li) Within Aichi Prefecture, the area of Ichinomiya City, Tsushima City, Inuyama City, Konan City, Bisai City, Inazawa City, Iwakura City, Nishi-kasugai County, Niwa County, Haguri County, Nakashima County, and Ama County (excluding zonesarea stated listed in item 49)</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(lii) Within Aichi Prefecture, the area of Seto City, Kasugai City, Toyota City, Komaki City, Chiryu City, Owari-asahi City, Toyoake City, Aichi County, and Miyoshi Town in Nishi-kamo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(liii) Within Aichi Prefecture, the area of Handa City, Hekinan City, Kariya City, Tokoname City, Obu City, Takahama City, Agui Town in Chita County, Higashiura Town in Chita County, and Taketoyo Town in Chita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(liv) Within Mie Prefecture, the area of Yokkaichi City, Kusu Town in Mie County, Asahi Town in Mie County, and Kawagoe Town in Mie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(liv-2) Within Mie Prefecture, the area of Kuwana City and Suzuka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(lv) Within Shiga Prefecture, the area of Otsu City, Kusatsu City, Moriyama City, Kurita County, Ishibe Town in Koka County, and Kosei Town in Koka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(lv-2) Within Shiga Prefecture, the area of Hikone City, Nagahama City, Omi-hachiman City, Azuchi Town in Gamo County, Gokasho Town in Kanzaki County, Notogawa Town in Kanzaki County, Maihara Town in Sakata County, and Omi Town in Sakata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(lvi) Within Kyoto Prefecture, the area of Kyoto City, Uji City, Joyo City, Muko City, Nagaokakyo City, Otokuni County, Kuse County, Yawata Town in Tsuzuki County, and Tanabe Town in Tsuzuki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(lvii) Within Kyoto Prefecture, the area of Fukuchiyama City, Maizuru City, and Ayabe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(lviii) Within Osaka Prefecture, the area of Osaka City, Sakai City, Toyonaka City, Suita City, Izumi-otsu City, Moriguchi City, Hirakata City, Yao City, Neyagaya City, Matsubara City, Daito City, Kadoma City, Settsu City, Takaishi City, Higashi-osaka City, Shijonawate City, Katano City, and Senboku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(lix) Within Osaka Prefecture, the area of Kishiwada City, Ikeda City, Takatsuki City, Kaizuka City, Ibaraki City, Izumisano City, Tondabayashi City, Kawachi-nagano City, Izumi City, Minoo City, Kashiwara City, Habikino City, Fujiidera City, Sen-nan City, Mishima County, Sen-nan County, Sayama Town in Minami-kawachi County, and Mihara Town in Minami-kawachi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 Within Hyogo Prefecture, the area of Kobe City, Amagasaki City, Nishinomiya City, Ashiya City, Itami City, Takarazuka City (excluding Kami-sasori, Kobako-shinden, Shimo-sasori, Nagatani, Shibatsuji-shinden, Oharano, Hazu, Sakaino, and Tamase), and Kawanishi City (excluding Minoo, Higashi-uneno, Nishi-uneno, Yamahara, Yamashita, Sasabe, Gezai, Hitokura, Kunisaki, Kurokawa, and Yokoji)</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(lxi) Within Hyogo Prefecture, the area of Himeji City, Akashi City, Kakogawa City, Takasago City, Kako County, In-nami County, and Taishi Town in Ibo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(lxii) Within Hyogo Prefecture, the area of Aioi City, Tatsuno City, Ako City, Ibogawa Town in Ibo County, and Mitsu Town in Ibo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(lxiii) Within Hyogo Prefecture, the area of Nishiwaki City, Miki City, Ono City, Sanda City, Kasai City, Yashiro Town in Kato County, and Takino Town in Kato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(lxiv) Within Wakayama Prefecture, the area of Wakayama City, Kainan City, Arita City, and Shimotsu Town in Kaiso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(lxv) Within Okayama Prefecture, the area of Okayama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(lxvi) Within Okayama Prefecture, the area of Kurashiki City (only Naka-se, Minami-se, Fukuda-cho-matsue, Higashizuka, Ushio-dori, Tsurajima-cho-kamejima-shinden, Tsurajima-cho-tsuru-shinden , Mizushima-higashi-chidori-cho, Mizushima-nishi-chidori-cho, Mizushima-fukusaki-cho, Mizushima-minami-kamejima-cho, Mizushima-kita-kamejima-cho, Mizushima-myojin-cho, Mizushima-takasago-cho, Mizushima-kaigan-dori, Mizushima-nishi-dori, Mizushima-naka-dori, Mizushima-kawasaki-dori, Kojima-unotsu Aza Nagashima-shinden, K</w:t>
            </w:r>
            <w:r>
              <w:t>ojima-shionasu, and Tamashima-otoshima)</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(lxvii) Within Okayama Prefecture, the area of Kurashiki City (excluding zones the area stated listed in the preceding item)</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(lxvii-2) Within Okayama Prefecture, the area of Tamano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(lxviii) Within Okayama Prefecture, the area of Kasaoka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(lxix) Within Okayama Prefecture, the area of Bizen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 Within Hiroshima Prefecture, the area of Hiroshima City, Fuchu Town in Aki County, Kaita Town in Aki County, Kumano Town in Aki County, and Saka Town in Aki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(lxxi) Within Hiroshima Prefecture, the area of Kure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(lxxii) Within Hiroshima Prefecture, the area of Takehara City and Higashino Town in Toyota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(lxxiii) Within Hiroshima Prefecture, the area of Mihara City, Onomichi City, and Mukaishima Town in Mitsugi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(lxxiv) Within Hiroshima Prefecture, the area of Fukuyama City (excluding Ashida-cho, Kamo-cho, and Ekiya-cho)</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(lxxv) Within Hiroshima Prefecture, the area of Otake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(lxxvi) Within Yamaguchi Prefecture, the area of Shimonoseki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(lxxvii) Within Yamaguchi Prefecture, the area of Ube City and Onoda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(lxxviii) Within Yamaguchi Prefecture, the area of Tokuyama City, Kudamatsu City, Hikari City, and Shin-nanyo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(lxxix) Within Yamaguchi Prefecture, the area of Hofu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(lxxx) Within Yamaguchi Prefecture, the area of Iwakuni City and Waki Town in Kuga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(lxxxi) Within Tokushima Prefecture, the area of Tokushima City (only Kawauchi-cho and Ojin-cho), Anan City (only Tomioka-cho, Gakubara-cho, Higaino-cho, Nanami-cho, Ryoke-cho, Sumiyoshi-cho, Haragasaki-cho, Sairomi-cho, Deki-machi, Toyomasu-cho, Fukumura-cho, Hari-cho, Kurotsuchi-cho, Mukaibara-cho, Tatsumi-cho, Saimi-cho, Nakamura-cho, Minobayashi-cho, Ogata-cho, Tsunomine-cho, and T achibana-cho), Nakagawa Town in Naka County, and Kitajima Town in Itano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(lxxxi-2) Within Tokushima Prefecture, the area of Tokushima City (excluding the area stated zones listed in the preceding item), Naruto City, Komatsushima City, Anan City (excluding the area stated zones listed in the preceding item), Hanoura Town in Naka County, Matsushige Town in Itano County, and Aizumi Town in Itano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(lxxxii) Within Kagawa Prefecture, the area of Takamatsu City (excluding Megi-cho and Ogi-cho)</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(lxxxiii) Within Kagawa Prefecture, the area of Marugame City (excluding Honjima-cho, Ushijima, Hiroshima-cho, and Teshima-cho), Sakaide City (excluding Yoshima-cho, Iwakuro, and Hitsuishi), Utazu Town in Ayauta County, and Tadotsu Town in Nakatado County (excluding Takami and Sanagi)</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(lxxxiv) Within Ehime Prefecture, the area of Matsuyama City and Masaki Town in Iyo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(lxxxiv-2) Within Ehime Prefecture, the area of Imabari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(lxxxv) Within Ehime Prefecture, the area of Niihama City and Saijo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(lxxxvi) Within Ehime Prefecture, the area of Kawanoe City (excluding Ishinokuchi and Kiriyama of Yamadai in Kinsei-cho, Kawataki-cho, Shibo-cho, and Shimokawa-cho) and Iyomishima City (excluding Tomisato-cho and Kinsha-cho)</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(lxxxvii) Within Ehime Prefecture, the area of Toyo City and Komatsu Town in Shuso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(lxxxviii) Within Fukuoka Prefecture, the area of Kitakyushu City and Kanda Town in Miyako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(lxxxix) Within Fukuoka Prefecture, the area of Fukuoka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(xc) Within Fukuoka Prefecture, the area of Omuta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(xc-2) Within Fukuoka Prefecture, the area of Kurume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(xci) Within Nagasaki Prefecture, the area of Nagasaki City and Koyagi Town in Nishi-sonogi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(xcii) Within Nagasaki Prefecture, the area of Sasebo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(xcii-2) Within Kumamoto Prefecture, the area of Kumamoto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(xciii) Within Kumamoto Prefecture, the area of Yatsushiro City and Taura Town in Ashikita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(xciv) Within Kumamoto Prefecture, the area of Arao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(xcv) Within Kumamoto Prefecture, the area of Minamata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(xcvi) Within Oita Prefecture, the area of Oita City and Kita-amabe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(xcvii) Within Miyazaki Prefecture, the area of Nobeoka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(xcvii-2) Within Miyazaki Prefecture, the area of Hyuga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(xcviii) Within Kagoshima Prefecture, the area of Kagoshima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(xcix) Within Kagoshima Prefecture, the area of Sendai City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(xcix-2) Within Okinawa Prefecture, the area of Naha City, Ishikawa City, Ginowan City, Urasoe City, Kin Village in Kunigami County, Yonashiro Village in Nakagami County, Chatan Village in Nakagami County, Kita-nakagusu Village in Nakagami County, Nakagusu Village in Nakagami County, Nishihara Village in Nakagami County, and Yonabaru Town in Shimajiri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(xcix-3) Within Okinawa Prefecture, the area of Itoman City, Okinawa City, Onna Village in Kunigami County, Ginoza Village in Kunigami County, Katsuren Village in Nakagami County, Yomitan Village in Nakagami County, Kadena Town in Nakagami County, Tomigusuku Village in Shimajiri County, and Haebaru Village in Shimajiri County</w:t>
            </w:r>
          </w:p>
        </w:tc>
      </w:tr>
      <w:tr w:rsidR="008961CC">
        <w:tblPrEx>
          <w:tblCellMar>
            <w:top w:w="0" w:type="dxa"/>
            <w:left w:w="0" w:type="dxa"/>
            <w:bottom w:w="0" w:type="dxa"/>
            <w:right w:w="0" w:type="dxa"/>
          </w:tblCellMar>
        </w:tblPrEx>
        <w:trPr>
          <w:cantSplit/>
        </w:trPr>
        <w:tc>
          <w:tcPr>
            <w:tcW w:w="8700" w:type="dxa"/>
            <w:tcMar>
              <w:top w:w="0" w:type="dxa"/>
              <w:left w:w="108" w:type="dxa"/>
              <w:bottom w:w="0" w:type="dxa"/>
              <w:right w:w="108" w:type="dxa"/>
            </w:tcMar>
          </w:tcPr>
          <w:p w:rsidR="008961CC" w:rsidRDefault="00E068E6">
            <w:pPr>
              <w:pStyle w:val="jaen"/>
            </w:pPr>
            <w:r>
              <w:t>(c) Areas other than the area stated zones listed in the preceding items</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Remarks: The areas statedlisted in this tTable are based on administrative districts and other areas divisions such areas zones or roads as of September 1, 1976.</w:t>
            </w:r>
          </w:p>
        </w:tc>
      </w:tr>
    </w:tbl>
    <w:p w:rsidR="008961CC" w:rsidRDefault="008961CC"/>
    <w:p w:rsidR="008961CC" w:rsidRDefault="00E068E6">
      <w:pPr>
        <w:pStyle w:val="en8"/>
        <w:ind w:left="227" w:hanging="227"/>
      </w:pPr>
      <w:r>
        <w:t>Appended Table 3-2 (Related to Article 7-3)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8961C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The areas set forthstated in Appended Table 3, item (xxvii)</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 The areas set forthstated in Appended Table 3, item (xxix)</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(iii) The areas set forthstated in Appended Table 3, item (xxxiii)</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(iv) The areas set forthstated in Appended Table 3, item (xxxv)</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 The areas set forthstated in Appended Table 3, item (xlviii)</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 The areas set forthstated in Appended Table 3, item (xlix)</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(vii) The areas set forthstated in Appended Table 3, item (liii)</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(viii) The areas set forthstated in Appended Table 3, item (liv)</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(ix) The areas set forthstated in Appended Table 3, item (lvi)</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 The areas set forthstated in Appended Table 3, item (lviii)</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(xi) The areas set forthstated in Appended Table 3, item (lix)</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(xii) The areas set forthstated in Appended Table 3, item (lx)</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(xiii) The areas set forthstated in Appended Table 3, item (lxi)</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(xiv) The areas set forthstated in Appended Table 3, item (lxiv)</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(xv) The areas set forthstated in Appended Table 3, item (lxvi)</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(xvi) The areas set forthstated in Appended Table 3, item (lxvii)</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(xvii) The areas set forthstated in Appended Table 3, item (lxix)</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(xviii) The areas set forthstated in Appended Table 3, item (lxxiv)</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(xix) The areas set forthstated in Appended Table 3, item (lxxv)</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 The areas set forthstated in Appended Table 3, item (lxxvii)</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(xxi) The areas set forthstated in Appended Table 3, item (lxxviii)</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(xxii) The areas set forthstated in Appended Table 3, item (lxxx)</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(xxiii) The areas set forthstated in Appended Table 3, item (lxxxviii)</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(xxiv) The areas set forthstated in Appended Table 3, item (xc)</w:t>
            </w:r>
          </w:p>
        </w:tc>
      </w:tr>
    </w:tbl>
    <w:p w:rsidR="008961CC" w:rsidRDefault="008961CC"/>
    <w:p w:rsidR="008961CC" w:rsidRDefault="00E068E6">
      <w:pPr>
        <w:pStyle w:val="en8"/>
        <w:ind w:left="227" w:hanging="227"/>
      </w:pPr>
      <w:r>
        <w:t>Appended Table 3-3 (Related to Article 7-3)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8961C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 The areas stated set forth in Appended Table 3, item (xxxiii)</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 The areas stated set forth in Appended Table 3, item (xxxv)</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(iii) The areas statedset forth in Appended Table 3, item (lviii)</w:t>
            </w:r>
          </w:p>
        </w:tc>
      </w:tr>
    </w:tbl>
    <w:p w:rsidR="008961CC" w:rsidRDefault="008961CC"/>
    <w:p w:rsidR="008961CC" w:rsidRDefault="00E068E6">
      <w:pPr>
        <w:pStyle w:val="en8"/>
        <w:ind w:left="227" w:hanging="227"/>
      </w:pPr>
      <w:r>
        <w:t>Appended Table 4 (Related to Article 9)</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8961C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 Within Sapporo City, the area delineated by a line starting at the intersection of Municipal Road Higashi-15-chome Line and Municipal Road Kita-24-jo Line, following Municipal Road Kita-24-jo Line, Shin River Right Bank Line, Kotoni River Right Bank Line, National Highway No. 5, Prefectural Road Nishino-Shiroishi Line, Motsukisamu River Left Bank Line, JNR Hakodate Line, National Highway No. 275, Municipal Road Kita-13-jo Line, and Municipal Road Higashi-15-chome Line in that order, and returning to the</w:t>
            </w:r>
            <w:r>
              <w:t xml:space="preserve"> starting point</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(i-2) Within Asahikawa City, the area delineated by a line starting at the intersection of Chubetsu River Right Bank Line and Municipal Road Shita No. 1, following Municipal Road Shita No. 1, Ushubetsu River Left Bank Line, Sakai Bridge, Ushubetsu River Right Bank Line, Municipal Road 1-chome Line, Ishikari River Left Bank Line, Kinsei Bridge, Ishikari River Right Bank Line, Municipal Road No. 6, National Highway No. 40, Municipal Road Takasu-Park-dori Line, Utsubetsu River Left Bank Line, Ishikari River Ri</w:t>
            </w:r>
            <w:r>
              <w:t>ght Bank Line, JNR Hakodate Line, Ishikari River Left Bank Line, and Chubetsu River Right Bank Line in that order, and returning to the starting point</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 Within Sendai City, the area of Seiryo-machi, Hirose-machi, Hasekura-machi, Kinomachi-dori 1, Kinomachi-dori 2, Futsuka-machi, Kamisugi 1 to Kamisugi 5, Nishiki-cho 1, Nishiki-cho 2, Kasuga-machi, Kokubun-cho 1 to Kokubun-cho 3, Hon-cho 1 to Hon-cho 3, Kakyoin 1, Kakyoin 2, Mototera-koji, Nakake-cho, Miya-machi 1 to Miya-machi 4, Fukuzawa-machi, Nakae 1, Nakae 2, Odawara 1 to Odawara 8, Chuo 1 to Chuo 4, Ichiban-cho 1 to Ichiban-cho 4, Omachi 1, Omachi 2, Tachi-machi, Katahira 1, Katahira 2, Komegafuku</w:t>
            </w:r>
            <w:r>
              <w:t>ro 1 to Komegafukuro 3, Tsuchitoi 1, Kitame-machi, Itsutsubashi 1, Itsutsubashi 2, Shimizukoji, Higashi-6-ban-cho, Higashi-7-ban-cho, Ara-machi, Tsuchitoi, Odawara-yamamoto-cho, Odawara-kongoin-cho, Odawara-hiro-cho, Odawara-daigyoin-cho, Odawara-yumino-machi, Teppo-machi, Nijunin-machi, and Tsutsujigaoka</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(ii-2) Within Chiba City, the area of Anagawa-cho, Anagawa 1 to Anagawa 4, Todoroki-cho 1 to Todoroki-cho 5, Yayoi-cho, Matsunami 1 to Matsunami 4, Benten 3, Benten 4, Benten-cho, Kurosuna-dai 1 to Kurosuna-dai 3, Kurosuna 1 to Kurosuna 4, Midori-cho 1, Midori-cho 2, Kasuga 1, Kasuga 2, Nobuto 4, Nobuto 5, Shiomigaoka-cho, Shin-chiba 1 to Shin-chiba 3, Nobuto-cho 1 to Nobuto-cho 3, Saiwai-cho 1, Saiwai-cho 2, Chiba-minato, Tsubakimori 1 to Tsubakimori 6, Yuko 1 to Yuko 4, Dojo-kita 1, Dojo-kita 2, Dojo-mina</w:t>
            </w:r>
            <w:r>
              <w:t>mi 1, Dojo-minami 2, Tsurusawa-cho, Higashi-hon-cho, Asahi-cho, Kamei-cho, Kameoka-cho, Kaname-cho, Innai 1, Innai 2, Hon-cho 1 to Hon-cho 3, Sakae-cho, Chuo 1 to Chuo 4, Ichiba-cho, Fujimi 1, Fujimi 2, Hon-chiba-cho, Nagazu 1, Nagazu 2, Shin-machi, Shinden-cho, Shinjuku 1, Shinjuku 2, Shinjuku-cho 1, Shinjuku-cho 2, Shinmei-cho, Minato-cho, Tonya-cho, Dezu-minato, Inohana 1 to Inohana 3, Katsuragi 1 to Katsuragi 3, Chibadera-cho, Samugawa-cho 1 to Samugawa-cho 3, Suehiro 1 to Suehiro 5, and Inari-cho</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(iii) Within the Metropolis of Tokyo, the area of the special wards, Musashino City, Mitaka City, Chofu City, Hoya City, and Komae City</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(iv) Within Yokohama City, the area of Nishi Ward, Naka Ward (excluding Nishiki-cho, Kamome-cho, Toyoura-cho, and Chidori-cho), Tsurumi Ward (excluding the areazone west of National Highway No. 1 and the areazone south of Prefectural Road Tokyo-Daishi-Yokohama Line and National Highway No. 15 from the end of Prefectural Road Tokyo-Daishi-Yokohama Line to Kanagawa Ward), and Kanagawa Ward (excluding the areazone north of National Highway No. 1 from Koyasu-dai to Mitsuzawa-kami-machi and the areazone south of</w:t>
            </w:r>
            <w:r>
              <w:t xml:space="preserve"> National Highway No. 15 and National Highway No. 1 from Aoki-dori to Kinko-cho)</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 Within Kawasaki City, the area west of Prefectural Road Tokyo-Daishi-Yokohama Line (excluding the zonearea west of National Highway No. 1)</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 Within Nagoya City, the area delineated by a line starting at the intersection of National Highway No. 1 from Tenpaku-cho in Minami Ward to Hojin-cho and Tenpaku River Right Bank Line, following Tenpaku River Right Bank Line, Ueda River Right Bank Line, National Highway No. 153, Municipal Road Yagoto Line, Prefectural Road Nagoya-Nagakute Line, Municipal Road Tashiro-hontori Line, Municipal Road Tenma-dori Line, Yada River Left Bank Line, Shonai River Left Bank Line, and National Highway No. 1 from Ten</w:t>
            </w:r>
            <w:r>
              <w:t>paku-cho in Minami Ward to Hojin-cho in that order, and returning to the starting point</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 xml:space="preserve">(vii) Within Kyoto City, the area delineated by a line starting at the intersection of Municipal Road Shirakawa-dori Line and Prefectural Road Takano-Shugakuin-Yamabana Line, following Prefectural Road Takano-Shugakuin-Yamabana Line, Prefectural Road Kamigamo-Yamabana Line, Prefectural Road Sasari-Ido-Kyoto Line, Municipal Road Kitayama-dori Line, Prefectural Road Sugisaka-Nishijin Line, Municipal Road Kyoto Circle Line, Municipal Road Kinugawa-Utano Line, Prefectural Road Utano-Arashiyama-Katagihara Line, </w:t>
            </w:r>
            <w:r>
              <w:t>Prefectural Road Katagihara-Takatsuki Line, the boundary line of Kyoto City starting from its intersection with Prefectural Road Katagihara-Takatsuki Line and running along Kizu River to its intersection with JNR Nara Line, JNR Nara Line, National Expressway Chuo Expressway Nishinomiya Line, the boundary line of Kyoto City from its intersection with National Expressway Chuo Expressway Nishinomiya Line past its intersection with Prefectural Road Otsu-Yodo Line to its intersection with Prefectural Road Shinom</w:t>
            </w:r>
            <w:r>
              <w:t>iya-Yotsuzuka Line, Prefectural Road Shinomiya-Yotsuzuka Line, Municipal Road Keage-Takano Line, and Prefectural Road Takano-Shugakuin-Yamabana Line in that order, and returning to the starting point</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(viii) The area of Osaka City</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(ix) Within Kobe City, the area delineated by a line starting at the intersection of National Highway No. 2 and Municipal Road Ikuta River Right Bank Line, following Municipal Road Ikuta River Right Bank Line, Municipal Road Nagata-Kusunoki-Hio-cho Line, and Municipal Road Egeyama Line, National Highway No. 2 in that order, and returning to the starting point</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 Within Amagasaki City, the area north of National Highway No. 43</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(x-2) Within Hiroshima City, the area delineated by a line starting at the intersection of National Highway No. 2 and former Kyu-Ota River Left Bank Line, following Kyu-Ota River Left Bank Line, Kyobashi River Left Bank Line, Enko River Right Bank Line, and National Highway No. 2 in that order, and returning to the starting point</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(xi) Within Fukuoka City, the area of Hakata Ward (only zonesthe area north of Prefectural Road Hibaru-Hie Line, Municipal Road Higashi Nisei No. 13, and Municipal Road Shimo-Usui-Katakasu Line) and Chuo Ward</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Remarks: The areas listed in this tTable are based on administrative districts and other such areas zones, roads, rivers, and railroads as of September 1, 1976.</w:t>
            </w:r>
          </w:p>
        </w:tc>
      </w:tr>
    </w:tbl>
    <w:p w:rsidR="008961CC" w:rsidRDefault="008961CC"/>
    <w:p w:rsidR="008961CC" w:rsidRDefault="00E068E6">
      <w:pPr>
        <w:pStyle w:val="en8"/>
        <w:ind w:left="227" w:hanging="227"/>
      </w:pPr>
      <w:r>
        <w:t>Appended Table 4-2 (Related to Article 10-2)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8961CC">
        <w:tblPrEx>
          <w:tblCellMar>
            <w:top w:w="0" w:type="dxa"/>
            <w:left w:w="0" w:type="dxa"/>
            <w:bottom w:w="0" w:type="dxa"/>
            <w:right w:w="0" w:type="dxa"/>
          </w:tblCellMar>
        </w:tblPrEx>
        <w:trPr>
          <w:cantSplit/>
        </w:trPr>
        <w:tc>
          <w:tcPr>
            <w:tcW w:w="8700" w:type="dxa"/>
            <w:tcBorders>
              <w:top w:val="single" w:sz="4" w:space="0" w:color="auto"/>
              <w:left w:val="single" w:sz="4" w:space="0" w:color="auto"/>
              <w:right w:val="single" w:sz="4" w:space="0" w:color="auto"/>
            </w:tcBorders>
            <w:tcMar>
              <w:top w:w="0" w:type="dxa"/>
              <w:left w:w="108" w:type="dxa"/>
              <w:bottom w:w="0" w:type="dxa"/>
              <w:right w:w="108" w:type="dxa"/>
            </w:tcMar>
          </w:tcPr>
          <w:p w:rsidR="008961CC" w:rsidRDefault="00E068E6">
            <w:pPr>
              <w:pStyle w:val="jaen"/>
            </w:pPr>
            <w:r>
              <w:t>(i) Sintering furnaces (including pelletizing furnaces) for use in making iron</w:t>
            </w:r>
          </w:p>
        </w:tc>
      </w:tr>
      <w:tr w:rsidR="008961CC">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 Electric furnace for use in making steel</w:t>
            </w:r>
          </w:p>
        </w:tc>
      </w:tr>
    </w:tbl>
    <w:p w:rsidR="008961CC" w:rsidRDefault="008961CC"/>
    <w:p w:rsidR="008961CC" w:rsidRDefault="00E068E6">
      <w:pPr>
        <w:pStyle w:val="en8"/>
        <w:ind w:left="227" w:hanging="227"/>
      </w:pPr>
      <w:r>
        <w:t>Appended Table 5 (Related to Article 11)</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87"/>
        <w:gridCol w:w="4106"/>
        <w:gridCol w:w="4106"/>
      </w:tblGrid>
      <w:tr w:rsidR="008961CC">
        <w:tblPrEx>
          <w:tblCellMar>
            <w:top w:w="0" w:type="dxa"/>
            <w:left w:w="0" w:type="dxa"/>
            <w:bottom w:w="0" w:type="dxa"/>
            <w:right w:w="0" w:type="dxa"/>
          </w:tblCellMar>
        </w:tblPrEx>
        <w:trPr>
          <w:cantSplit/>
        </w:trPr>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8961CC" w:rsidRDefault="00E068E6">
            <w:pPr>
              <w:pStyle w:val="jaen"/>
            </w:pPr>
            <w:r>
              <w:t>Sulfur oxides</w:t>
            </w:r>
          </w:p>
        </w:tc>
        <w:tc>
          <w:tcPr>
            <w:tcW w:w="4106" w:type="dxa"/>
            <w:tcBorders>
              <w:top w:val="single" w:sz="4" w:space="0" w:color="auto"/>
              <w:right w:val="single" w:sz="4" w:space="0" w:color="auto"/>
            </w:tcBorders>
            <w:tcMar>
              <w:top w:w="0" w:type="dxa"/>
              <w:left w:w="108" w:type="dxa"/>
              <w:bottom w:w="0" w:type="dxa"/>
              <w:right w:w="108" w:type="dxa"/>
            </w:tcMar>
          </w:tcPr>
          <w:p w:rsidR="008961CC" w:rsidRDefault="00E068E6">
            <w:pPr>
              <w:pStyle w:val="jaen"/>
            </w:pPr>
            <w:r>
              <w:t>(i) If the air pollution status has continued at an hourly value of content in the air (referred to hereinafter as "hourly value" below, except in the following paragraph) of at least 0.2 ppm for 3 hours</w:t>
            </w:r>
          </w:p>
        </w:tc>
        <w:tc>
          <w:tcPr>
            <w:tcW w:w="4106" w:type="dxa"/>
            <w:tcBorders>
              <w:top w:val="single" w:sz="4" w:space="0" w:color="auto"/>
              <w:right w:val="single" w:sz="4" w:space="0" w:color="auto"/>
            </w:tcBorders>
            <w:tcMar>
              <w:top w:w="0" w:type="dxa"/>
              <w:left w:w="108" w:type="dxa"/>
              <w:bottom w:w="0" w:type="dxa"/>
              <w:right w:w="108" w:type="dxa"/>
            </w:tcMar>
          </w:tcPr>
          <w:p w:rsidR="008961CC" w:rsidRDefault="00E068E6">
            <w:pPr>
              <w:pStyle w:val="jaen"/>
            </w:pPr>
            <w:r>
              <w:t>(i) If the air pollution status has continued at an hourly value of at least 0.5 ppm for 3 hours</w:t>
            </w:r>
          </w:p>
        </w:tc>
      </w:tr>
      <w:tr w:rsidR="008961CC">
        <w:tblPrEx>
          <w:tblCellMar>
            <w:top w:w="0" w:type="dxa"/>
            <w:left w:w="0" w:type="dxa"/>
            <w:bottom w:w="0" w:type="dxa"/>
            <w:right w:w="0" w:type="dxa"/>
          </w:tblCellMar>
        </w:tblPrEx>
        <w:trPr>
          <w:cantSplit/>
        </w:trPr>
        <w:tc>
          <w:tcPr>
            <w:tcW w:w="487" w:type="dxa"/>
            <w:tcBorders>
              <w:left w:val="single" w:sz="4" w:space="0" w:color="auto"/>
              <w:right w:val="single" w:sz="4" w:space="0" w:color="auto"/>
            </w:tcBorders>
            <w:tcMar>
              <w:top w:w="0" w:type="dxa"/>
              <w:left w:w="108" w:type="dxa"/>
              <w:bottom w:w="0" w:type="dxa"/>
              <w:right w:w="108" w:type="dxa"/>
            </w:tcMar>
          </w:tcPr>
          <w:p w:rsidR="008961CC" w:rsidRDefault="008961CC">
            <w:pPr>
              <w:pStyle w:val="jaen"/>
            </w:pPr>
          </w:p>
        </w:tc>
        <w:tc>
          <w:tcPr>
            <w:tcW w:w="4106" w:type="dxa"/>
            <w:tcBorders>
              <w:right w:val="single" w:sz="4" w:space="0" w:color="auto"/>
            </w:tcBorders>
            <w:tcMar>
              <w:top w:w="0" w:type="dxa"/>
              <w:left w:w="108" w:type="dxa"/>
              <w:bottom w:w="0" w:type="dxa"/>
              <w:right w:w="108" w:type="dxa"/>
            </w:tcMar>
          </w:tcPr>
          <w:p w:rsidR="008961CC" w:rsidRDefault="00E068E6">
            <w:pPr>
              <w:pStyle w:val="jaen"/>
            </w:pPr>
            <w:r>
              <w:t>(ii) If the air pollution status has continued at an hourly value of at least 0.3 ppm for 2 hours</w:t>
            </w:r>
          </w:p>
        </w:tc>
        <w:tc>
          <w:tcPr>
            <w:tcW w:w="4106"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8961CC">
            <w:pPr>
              <w:pStyle w:val="jaen"/>
            </w:pPr>
          </w:p>
        </w:tc>
      </w:tr>
      <w:tr w:rsidR="008961CC">
        <w:tblPrEx>
          <w:tblCellMar>
            <w:top w:w="0" w:type="dxa"/>
            <w:left w:w="0" w:type="dxa"/>
            <w:bottom w:w="0" w:type="dxa"/>
            <w:right w:w="0" w:type="dxa"/>
          </w:tblCellMar>
        </w:tblPrEx>
        <w:trPr>
          <w:cantSplit/>
        </w:trPr>
        <w:tc>
          <w:tcPr>
            <w:tcW w:w="487" w:type="dxa"/>
            <w:tcBorders>
              <w:left w:val="single" w:sz="4" w:space="0" w:color="auto"/>
              <w:right w:val="single" w:sz="4" w:space="0" w:color="auto"/>
            </w:tcBorders>
            <w:tcMar>
              <w:top w:w="0" w:type="dxa"/>
              <w:left w:w="108" w:type="dxa"/>
              <w:bottom w:w="0" w:type="dxa"/>
              <w:right w:w="108" w:type="dxa"/>
            </w:tcMar>
          </w:tcPr>
          <w:p w:rsidR="008961CC" w:rsidRDefault="008961CC">
            <w:pPr>
              <w:pStyle w:val="jaen"/>
            </w:pPr>
          </w:p>
        </w:tc>
        <w:tc>
          <w:tcPr>
            <w:tcW w:w="4106" w:type="dxa"/>
            <w:tcBorders>
              <w:right w:val="single" w:sz="4" w:space="0" w:color="auto"/>
            </w:tcBorders>
            <w:tcMar>
              <w:top w:w="0" w:type="dxa"/>
              <w:left w:w="108" w:type="dxa"/>
              <w:bottom w:w="0" w:type="dxa"/>
              <w:right w:w="108" w:type="dxa"/>
            </w:tcMar>
          </w:tcPr>
          <w:p w:rsidR="008961CC" w:rsidRDefault="00E068E6">
            <w:pPr>
              <w:pStyle w:val="jaen"/>
            </w:pPr>
            <w:r>
              <w:t>(iii) If the air pollution status has reached an hourly value of at least 0.5 ppm</w:t>
            </w:r>
          </w:p>
        </w:tc>
        <w:tc>
          <w:tcPr>
            <w:tcW w:w="4106" w:type="dxa"/>
            <w:tcBorders>
              <w:right w:val="single" w:sz="4" w:space="0" w:color="auto"/>
            </w:tcBorders>
            <w:tcMar>
              <w:top w:w="0" w:type="dxa"/>
              <w:left w:w="108" w:type="dxa"/>
              <w:bottom w:w="0" w:type="dxa"/>
              <w:right w:w="108" w:type="dxa"/>
            </w:tcMar>
          </w:tcPr>
          <w:p w:rsidR="008961CC" w:rsidRDefault="00E068E6">
            <w:pPr>
              <w:pStyle w:val="jaen"/>
            </w:pPr>
            <w:r>
              <w:t>(ii) If the air pollution status has continued at an hourly value of at least 0.7 ppm for 2 hours</w:t>
            </w:r>
          </w:p>
        </w:tc>
      </w:tr>
      <w:tr w:rsidR="008961CC">
        <w:tblPrEx>
          <w:tblCellMar>
            <w:top w:w="0" w:type="dxa"/>
            <w:left w:w="0" w:type="dxa"/>
            <w:bottom w:w="0" w:type="dxa"/>
            <w:right w:w="0" w:type="dxa"/>
          </w:tblCellMar>
        </w:tblPrEx>
        <w:trPr>
          <w:cantSplit/>
        </w:trPr>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8961CC">
            <w:pPr>
              <w:pStyle w:val="jaen"/>
            </w:pP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(iv) If the air pollution status has reached a 48-hour average hourly value of at least 0.15 ppm</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8961CC">
            <w:pPr>
              <w:pStyle w:val="jaen"/>
            </w:pPr>
          </w:p>
        </w:tc>
      </w:tr>
      <w:tr w:rsidR="008961CC">
        <w:tblPrEx>
          <w:tblCellMar>
            <w:top w:w="0" w:type="dxa"/>
            <w:left w:w="0" w:type="dxa"/>
            <w:bottom w:w="0" w:type="dxa"/>
            <w:right w:w="0" w:type="dxa"/>
          </w:tblCellMar>
        </w:tblPrEx>
        <w:trPr>
          <w:cantSplit/>
        </w:trPr>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Suspended particulate matter</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If the air pollution status has continued to have at an hourly value of at least 2.0 mg per cubic meter in the air for 2 hours</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If the air pollution status has continued to have at an hourly value of at least 3.0 mg per cubic meter in the air for 3 hours</w:t>
            </w:r>
          </w:p>
        </w:tc>
      </w:tr>
      <w:tr w:rsidR="008961CC">
        <w:tblPrEx>
          <w:tblCellMar>
            <w:top w:w="0" w:type="dxa"/>
            <w:left w:w="0" w:type="dxa"/>
            <w:bottom w:w="0" w:type="dxa"/>
            <w:right w:w="0" w:type="dxa"/>
          </w:tblCellMar>
        </w:tblPrEx>
        <w:trPr>
          <w:cantSplit/>
        </w:trPr>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Carbon monoxide</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If the air pollution status has reached an hourly value of at least 30 ppm</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If the air pollution status has reached an hourly value of at least 50 ppm</w:t>
            </w:r>
          </w:p>
        </w:tc>
      </w:tr>
      <w:tr w:rsidR="008961CC">
        <w:tblPrEx>
          <w:tblCellMar>
            <w:top w:w="0" w:type="dxa"/>
            <w:left w:w="0" w:type="dxa"/>
            <w:bottom w:w="0" w:type="dxa"/>
            <w:right w:w="0" w:type="dxa"/>
          </w:tblCellMar>
        </w:tblPrEx>
        <w:trPr>
          <w:cantSplit/>
        </w:trPr>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Nitrogen dioxide</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If the air pollution status has reached an hourly value of at least 0.5 ppm</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If the air pollution status has reached an hourly value of at least 1 ppm</w:t>
            </w:r>
          </w:p>
        </w:tc>
      </w:tr>
      <w:tr w:rsidR="008961CC">
        <w:tblPrEx>
          <w:tblCellMar>
            <w:top w:w="0" w:type="dxa"/>
            <w:left w:w="0" w:type="dxa"/>
            <w:bottom w:w="0" w:type="dxa"/>
            <w:right w:w="0" w:type="dxa"/>
          </w:tblCellMar>
        </w:tblPrEx>
        <w:trPr>
          <w:cantSplit/>
        </w:trPr>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Oxidants</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If the air pollution status has reached an hourly value of at least 0.12 ppm</w:t>
            </w:r>
          </w:p>
        </w:tc>
        <w:tc>
          <w:tcPr>
            <w:tcW w:w="4106" w:type="dxa"/>
            <w:tcBorders>
              <w:bottom w:val="single" w:sz="4" w:space="0" w:color="auto"/>
              <w:right w:val="single" w:sz="4" w:space="0" w:color="auto"/>
            </w:tcBorders>
            <w:tcMar>
              <w:top w:w="0" w:type="dxa"/>
              <w:left w:w="108" w:type="dxa"/>
              <w:bottom w:w="0" w:type="dxa"/>
              <w:right w:w="108" w:type="dxa"/>
            </w:tcMar>
          </w:tcPr>
          <w:p w:rsidR="008961CC" w:rsidRDefault="00E068E6">
            <w:pPr>
              <w:pStyle w:val="jaen"/>
            </w:pPr>
            <w:r>
              <w:t>If the air pollution status has reached an hourly value of at least 0.4 ppm</w:t>
            </w:r>
          </w:p>
        </w:tc>
      </w:tr>
      <w:tr w:rsidR="008961CC">
        <w:tblPrEx>
          <w:tblCellMar>
            <w:top w:w="0" w:type="dxa"/>
            <w:left w:w="0" w:type="dxa"/>
            <w:bottom w:w="0" w:type="dxa"/>
            <w:right w:w="0" w:type="dxa"/>
          </w:tblCellMar>
        </w:tblPrEx>
        <w:trPr>
          <w:cantSplit/>
        </w:trPr>
        <w:tc>
          <w:tcPr>
            <w:tcW w:w="869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Remarks: The necessary particulars concerning the hourly value calculation prescribed in this table, and the scope of suspended particulate matter and oxidants, are as prescribed by Order of the Ministry of the Environment.</w:t>
            </w:r>
          </w:p>
        </w:tc>
      </w:tr>
    </w:tbl>
    <w:p w:rsidR="008961CC" w:rsidRDefault="008961CC"/>
    <w:p w:rsidR="008961CC" w:rsidRDefault="00E068E6">
      <w:pPr>
        <w:pStyle w:val="en8"/>
        <w:ind w:left="227" w:hanging="227"/>
      </w:pPr>
      <w:r>
        <w:t>Appended Table 6 (Related to Paragraph (4)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8961C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 Drying facilities units for evaporating benzene (only where the concentration rate is at least 60% by volume; the same applies below), wherewith the blowing capacity of the air blower isbeing at least 1,000 cubic meters per hour or more</w:t>
            </w:r>
          </w:p>
        </w:tc>
      </w:tr>
      <w:tr w:rsidR="008961C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 Coke ovens wherewith the processing capacity of raw materials is at least 20 tons per day or more</w:t>
            </w:r>
          </w:p>
        </w:tc>
      </w:tr>
      <w:tr w:rsidR="008961C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(iii) Distillation facilitiesunits for use in the recovery of benzene (excluding atmospheric distillation facilitiesunits)</w:t>
            </w:r>
          </w:p>
        </w:tc>
      </w:tr>
      <w:tr w:rsidR="008961C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(iv) Dealkylation reaction facilitiesunits for use in the manufacture of benzene (excluding those of the sealed type)</w:t>
            </w:r>
          </w:p>
        </w:tc>
      </w:tr>
      <w:tr w:rsidR="008961C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 Benzene storage tanks having a capacity of at least 500 kiloliters</w:t>
            </w:r>
          </w:p>
        </w:tc>
      </w:tr>
      <w:tr w:rsidR="008961C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 Reaction facilitiesunits using benzene as a raw material, where with the processing capacity of benzene is at least 1 ton per hour or more (excluding those of the sealed type)</w:t>
            </w:r>
          </w:p>
        </w:tc>
      </w:tr>
      <w:tr w:rsidR="008961C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(vii) Drying facilitiesunits for evaporating trichlorethylene or tetrachlorethylene (hereinafter referred to as "trichloroethylene or tetrachlorethylene, etc."), where with the blowing capacity of the air blower is at least 1,000 cubic meters per hour or more</w:t>
            </w:r>
          </w:p>
        </w:tc>
      </w:tr>
      <w:tr w:rsidR="008961C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(viii) FacilitiesUnits for mixing trichloroethylene or tetrachlorethylene, etc., wherewith the capacity of the mixing tank is at least 5 kiloliters or more (excluding those of the sealed type)</w:t>
            </w:r>
          </w:p>
        </w:tc>
      </w:tr>
      <w:tr w:rsidR="008961C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(ix) Distillation facilitiesunits for use in purification or recovery of trichloroethylene or tetrachlorethylene, etc. (excluding those of the sealed type)</w:t>
            </w:r>
          </w:p>
        </w:tc>
      </w:tr>
      <w:tr w:rsidR="008961C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 FacilitiesUnits for cleaning with trichloroethylene or tetrachlorethylene, etc. (excluding those under the following item), in which with the surface area of 3 square meters or more where the trichloroethylene or tetrachlorethylene, etc. is exposed to air is at least 3 square meters</w:t>
            </w:r>
          </w:p>
        </w:tc>
      </w:tr>
      <w:tr w:rsidR="008961CC">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961CC" w:rsidRDefault="00E068E6">
            <w:pPr>
              <w:pStyle w:val="jaen"/>
            </w:pPr>
            <w:r>
              <w:t>(xi) Equipment for dry cleaning with tetrachloroethylene, withwhere the processing capacity is at least 30 kilograms per day or more</w:t>
            </w:r>
          </w:p>
        </w:tc>
      </w:tr>
    </w:tbl>
    <w:p w:rsidR="00E068E6" w:rsidRDefault="00E068E6"/>
    <w:sectPr w:rsidR="00000000" w:rsidSect="008961C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1CC" w:rsidRDefault="008961CC" w:rsidP="008961CC">
      <w:r>
        <w:separator/>
      </w:r>
    </w:p>
  </w:endnote>
  <w:endnote w:type="continuationSeparator" w:id="0">
    <w:p w:rsidR="008961CC" w:rsidRDefault="008961CC" w:rsidP="0089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1CC" w:rsidRDefault="008961CC">
    <w:pPr>
      <w:pStyle w:val="a3"/>
    </w:pPr>
    <w:r>
      <w:fldChar w:fldCharType="begin"/>
    </w:r>
    <w:r>
      <w:instrText xml:space="preserve"> PAGE  \* MERGEFORMAT </w:instrText>
    </w:r>
    <w:r>
      <w:fldChar w:fldCharType="separate"/>
    </w:r>
    <w:r w:rsidR="00E068E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1CC" w:rsidRDefault="008961CC" w:rsidP="008961CC">
      <w:r>
        <w:separator/>
      </w:r>
    </w:p>
  </w:footnote>
  <w:footnote w:type="continuationSeparator" w:id="0">
    <w:p w:rsidR="008961CC" w:rsidRDefault="008961CC" w:rsidP="00896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3D0E"/>
    <w:multiLevelType w:val="multilevel"/>
    <w:tmpl w:val="FB907E6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1196C5D"/>
    <w:multiLevelType w:val="multilevel"/>
    <w:tmpl w:val="EAE0318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2862A04"/>
    <w:multiLevelType w:val="multilevel"/>
    <w:tmpl w:val="1EBEB34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DC76E80"/>
    <w:multiLevelType w:val="multilevel"/>
    <w:tmpl w:val="CC4C3D7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0032878"/>
    <w:multiLevelType w:val="multilevel"/>
    <w:tmpl w:val="78AA95D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1ED059C"/>
    <w:multiLevelType w:val="multilevel"/>
    <w:tmpl w:val="C35420E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4CB0451"/>
    <w:multiLevelType w:val="multilevel"/>
    <w:tmpl w:val="A87C363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7785370"/>
    <w:multiLevelType w:val="multilevel"/>
    <w:tmpl w:val="74265A5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1E140C1"/>
    <w:multiLevelType w:val="multilevel"/>
    <w:tmpl w:val="BC56E9C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2E83CF1"/>
    <w:multiLevelType w:val="multilevel"/>
    <w:tmpl w:val="755E1C1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3E15894"/>
    <w:multiLevelType w:val="multilevel"/>
    <w:tmpl w:val="DBB0A69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48B42D7"/>
    <w:multiLevelType w:val="multilevel"/>
    <w:tmpl w:val="CC4641C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2B1ACE"/>
    <w:multiLevelType w:val="multilevel"/>
    <w:tmpl w:val="1DD6DF7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2009285004">
    <w:abstractNumId w:val="0"/>
  </w:num>
  <w:num w:numId="2" w16cid:durableId="1511068965">
    <w:abstractNumId w:val="6"/>
  </w:num>
  <w:num w:numId="3" w16cid:durableId="1639602007">
    <w:abstractNumId w:val="7"/>
  </w:num>
  <w:num w:numId="4" w16cid:durableId="183590954">
    <w:abstractNumId w:val="3"/>
  </w:num>
  <w:num w:numId="5" w16cid:durableId="865869511">
    <w:abstractNumId w:val="2"/>
  </w:num>
  <w:num w:numId="6" w16cid:durableId="377053655">
    <w:abstractNumId w:val="8"/>
  </w:num>
  <w:num w:numId="7" w16cid:durableId="427509520">
    <w:abstractNumId w:val="10"/>
  </w:num>
  <w:num w:numId="8" w16cid:durableId="316105818">
    <w:abstractNumId w:val="9"/>
  </w:num>
  <w:num w:numId="9" w16cid:durableId="1868635048">
    <w:abstractNumId w:val="11"/>
  </w:num>
  <w:num w:numId="10" w16cid:durableId="1614021906">
    <w:abstractNumId w:val="4"/>
  </w:num>
  <w:num w:numId="11" w16cid:durableId="535898164">
    <w:abstractNumId w:val="1"/>
  </w:num>
  <w:num w:numId="12" w16cid:durableId="1812670632">
    <w:abstractNumId w:val="12"/>
  </w:num>
  <w:num w:numId="13" w16cid:durableId="67581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961CC"/>
    <w:rsid w:val="007D5CDE"/>
    <w:rsid w:val="008961CC"/>
    <w:rsid w:val="00E068E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1C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961C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961CC"/>
    <w:rPr>
      <w:rFonts w:ascii="Century" w:eastAsia="Century" w:hAnsi="Century"/>
    </w:rPr>
  </w:style>
  <w:style w:type="paragraph" w:customStyle="1" w:styleId="ja0">
    <w:name w:val="款（ja）"/>
    <w:basedOn w:val="a"/>
    <w:rsid w:val="008961CC"/>
    <w:pPr>
      <w:widowControl w:val="0"/>
      <w:ind w:left="1321" w:hanging="221"/>
    </w:pPr>
    <w:rPr>
      <w:rFonts w:ascii="ＭＳ 明朝" w:eastAsia="ＭＳ 明朝" w:hAnsi="ＭＳ 明朝" w:cs="ＭＳ 明朝"/>
      <w:b/>
    </w:rPr>
  </w:style>
  <w:style w:type="paragraph" w:customStyle="1" w:styleId="en0">
    <w:name w:val="款（en）"/>
    <w:basedOn w:val="ja0"/>
    <w:rsid w:val="008961CC"/>
    <w:rPr>
      <w:rFonts w:ascii="Century" w:eastAsia="Century" w:hAnsi="Century" w:cs="Century"/>
    </w:rPr>
  </w:style>
  <w:style w:type="paragraph" w:customStyle="1" w:styleId="ja1">
    <w:name w:val="前文（ja）"/>
    <w:basedOn w:val="a"/>
    <w:rsid w:val="008961CC"/>
    <w:pPr>
      <w:widowControl w:val="0"/>
      <w:ind w:firstLine="219"/>
    </w:pPr>
    <w:rPr>
      <w:rFonts w:ascii="ＭＳ 明朝" w:eastAsia="ＭＳ 明朝" w:hAnsi="ＭＳ 明朝" w:cs="ＭＳ 明朝"/>
    </w:rPr>
  </w:style>
  <w:style w:type="paragraph" w:customStyle="1" w:styleId="en1">
    <w:name w:val="前文（en）"/>
    <w:basedOn w:val="ja1"/>
    <w:rsid w:val="008961CC"/>
    <w:rPr>
      <w:rFonts w:ascii="Century" w:eastAsia="Century" w:hAnsi="Century" w:cs="Century"/>
    </w:rPr>
  </w:style>
  <w:style w:type="paragraph" w:customStyle="1" w:styleId="ja2">
    <w:name w:val="附則（ja）"/>
    <w:basedOn w:val="a"/>
    <w:rsid w:val="008961CC"/>
    <w:pPr>
      <w:widowControl w:val="0"/>
      <w:ind w:left="881" w:hanging="221"/>
    </w:pPr>
    <w:rPr>
      <w:rFonts w:ascii="ＭＳ 明朝" w:eastAsia="ＭＳ 明朝" w:hAnsi="ＭＳ 明朝" w:cs="ＭＳ 明朝"/>
      <w:b/>
    </w:rPr>
  </w:style>
  <w:style w:type="paragraph" w:customStyle="1" w:styleId="en2">
    <w:name w:val="附則（en）"/>
    <w:basedOn w:val="ja2"/>
    <w:rsid w:val="008961CC"/>
    <w:rPr>
      <w:rFonts w:ascii="Century" w:hAnsi="Century" w:cs="Century"/>
    </w:rPr>
  </w:style>
  <w:style w:type="paragraph" w:customStyle="1" w:styleId="ja3">
    <w:name w:val="章（ja）"/>
    <w:basedOn w:val="a"/>
    <w:rsid w:val="008961CC"/>
    <w:pPr>
      <w:widowControl w:val="0"/>
      <w:ind w:left="881" w:hanging="221"/>
    </w:pPr>
    <w:rPr>
      <w:rFonts w:ascii="ＭＳ 明朝" w:eastAsia="ＭＳ 明朝" w:hAnsi="ＭＳ 明朝" w:cs="ＭＳ 明朝"/>
      <w:b/>
    </w:rPr>
  </w:style>
  <w:style w:type="paragraph" w:customStyle="1" w:styleId="en3">
    <w:name w:val="章（en）"/>
    <w:basedOn w:val="ja3"/>
    <w:rsid w:val="008961CC"/>
    <w:rPr>
      <w:rFonts w:ascii="Century" w:eastAsia="Century" w:hAnsi="Century" w:cs="Century"/>
    </w:rPr>
  </w:style>
  <w:style w:type="paragraph" w:customStyle="1" w:styleId="ja4">
    <w:name w:val="目次編（ja）"/>
    <w:basedOn w:val="a"/>
    <w:rsid w:val="008961CC"/>
    <w:pPr>
      <w:widowControl w:val="0"/>
      <w:ind w:left="219" w:hanging="219"/>
    </w:pPr>
    <w:rPr>
      <w:rFonts w:ascii="ＭＳ 明朝" w:eastAsia="ＭＳ 明朝" w:hAnsi="ＭＳ 明朝"/>
    </w:rPr>
  </w:style>
  <w:style w:type="paragraph" w:customStyle="1" w:styleId="en4">
    <w:name w:val="目次編（en）"/>
    <w:basedOn w:val="ja4"/>
    <w:rsid w:val="008961CC"/>
    <w:rPr>
      <w:rFonts w:ascii="Century" w:eastAsia="Century" w:hAnsi="Century"/>
    </w:rPr>
  </w:style>
  <w:style w:type="paragraph" w:customStyle="1" w:styleId="ja5">
    <w:name w:val="目次章（ja）"/>
    <w:basedOn w:val="a"/>
    <w:rsid w:val="008961CC"/>
    <w:pPr>
      <w:widowControl w:val="0"/>
      <w:ind w:left="439" w:hanging="219"/>
    </w:pPr>
    <w:rPr>
      <w:rFonts w:ascii="ＭＳ 明朝" w:eastAsia="ＭＳ 明朝" w:hAnsi="ＭＳ 明朝"/>
    </w:rPr>
  </w:style>
  <w:style w:type="paragraph" w:customStyle="1" w:styleId="en5">
    <w:name w:val="目次章（en）"/>
    <w:basedOn w:val="ja5"/>
    <w:rsid w:val="008961CC"/>
    <w:rPr>
      <w:rFonts w:ascii="Century" w:eastAsia="Century" w:hAnsi="Century"/>
    </w:rPr>
  </w:style>
  <w:style w:type="paragraph" w:customStyle="1" w:styleId="ja6">
    <w:name w:val="目次節（ja）"/>
    <w:basedOn w:val="a"/>
    <w:rsid w:val="008961CC"/>
    <w:pPr>
      <w:widowControl w:val="0"/>
      <w:ind w:left="659" w:hanging="219"/>
    </w:pPr>
    <w:rPr>
      <w:rFonts w:ascii="ＭＳ 明朝" w:eastAsia="ＭＳ 明朝" w:hAnsi="ＭＳ 明朝"/>
    </w:rPr>
  </w:style>
  <w:style w:type="paragraph" w:customStyle="1" w:styleId="en6">
    <w:name w:val="目次節（en）"/>
    <w:basedOn w:val="ja6"/>
    <w:rsid w:val="008961CC"/>
    <w:rPr>
      <w:rFonts w:ascii="Century" w:eastAsia="Century" w:hAnsi="Century"/>
    </w:rPr>
  </w:style>
  <w:style w:type="paragraph" w:customStyle="1" w:styleId="ja7">
    <w:name w:val="目次款（ja）"/>
    <w:basedOn w:val="a"/>
    <w:rsid w:val="008961CC"/>
    <w:pPr>
      <w:widowControl w:val="0"/>
      <w:ind w:left="879" w:hanging="219"/>
    </w:pPr>
    <w:rPr>
      <w:rFonts w:ascii="ＭＳ 明朝" w:eastAsia="ＭＳ 明朝" w:hAnsi="ＭＳ 明朝" w:cs="Kochi Mincho"/>
    </w:rPr>
  </w:style>
  <w:style w:type="paragraph" w:customStyle="1" w:styleId="en7">
    <w:name w:val="目次款（en）"/>
    <w:basedOn w:val="ja7"/>
    <w:rsid w:val="008961CC"/>
    <w:rPr>
      <w:rFonts w:ascii="Century" w:eastAsia="Century" w:hAnsi="Century"/>
    </w:rPr>
  </w:style>
  <w:style w:type="paragraph" w:customStyle="1" w:styleId="ja8">
    <w:name w:val="別表名（ja）"/>
    <w:basedOn w:val="a"/>
    <w:rsid w:val="008961CC"/>
    <w:pPr>
      <w:widowControl w:val="0"/>
      <w:ind w:left="100" w:hangingChars="100" w:hanging="100"/>
    </w:pPr>
    <w:rPr>
      <w:rFonts w:ascii="ＭＳ 明朝" w:eastAsia="ＭＳ 明朝" w:hAnsi="ＭＳ 明朝" w:cs="ＭＳ 明朝"/>
    </w:rPr>
  </w:style>
  <w:style w:type="paragraph" w:customStyle="1" w:styleId="en8">
    <w:name w:val="別表名（en）"/>
    <w:basedOn w:val="ja8"/>
    <w:rsid w:val="008961CC"/>
    <w:rPr>
      <w:rFonts w:ascii="Century" w:eastAsia="Century" w:hAnsi="Century" w:cs="Century"/>
    </w:rPr>
  </w:style>
  <w:style w:type="paragraph" w:customStyle="1" w:styleId="ja9">
    <w:name w:val="目（ja）"/>
    <w:basedOn w:val="a"/>
    <w:rsid w:val="008961CC"/>
    <w:pPr>
      <w:widowControl w:val="0"/>
      <w:ind w:left="1541" w:hanging="221"/>
    </w:pPr>
    <w:rPr>
      <w:rFonts w:ascii="ＭＳ 明朝" w:eastAsia="ＭＳ 明朝" w:hAnsi="ＭＳ 明朝" w:cs="ＭＳ 明朝"/>
      <w:b/>
    </w:rPr>
  </w:style>
  <w:style w:type="paragraph" w:customStyle="1" w:styleId="en9">
    <w:name w:val="目（en）"/>
    <w:basedOn w:val="ja9"/>
    <w:rsid w:val="008961CC"/>
    <w:rPr>
      <w:rFonts w:ascii="Century" w:eastAsia="Century" w:hAnsi="Century" w:cs="Century"/>
    </w:rPr>
  </w:style>
  <w:style w:type="paragraph" w:customStyle="1" w:styleId="jaa">
    <w:name w:val="見出し（ja）"/>
    <w:basedOn w:val="a"/>
    <w:rsid w:val="008961CC"/>
    <w:pPr>
      <w:widowControl w:val="0"/>
      <w:ind w:left="439" w:hanging="219"/>
    </w:pPr>
    <w:rPr>
      <w:rFonts w:ascii="ＭＳ 明朝" w:eastAsia="ＭＳ 明朝" w:hAnsi="ＭＳ 明朝" w:cs="ＭＳ 明朝"/>
    </w:rPr>
  </w:style>
  <w:style w:type="paragraph" w:customStyle="1" w:styleId="ena">
    <w:name w:val="見出し（en）"/>
    <w:basedOn w:val="jaa"/>
    <w:rsid w:val="008961CC"/>
    <w:rPr>
      <w:rFonts w:ascii="Century" w:eastAsia="Century" w:hAnsi="Century" w:cs="Century"/>
    </w:rPr>
  </w:style>
  <w:style w:type="paragraph" w:styleId="a3">
    <w:name w:val="footer"/>
    <w:basedOn w:val="a"/>
    <w:rsid w:val="008961C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961CC"/>
    <w:pPr>
      <w:widowControl w:val="0"/>
      <w:ind w:left="1099" w:hanging="219"/>
    </w:pPr>
    <w:rPr>
      <w:rFonts w:ascii="ＭＳ 明朝" w:eastAsia="ＭＳ 明朝" w:hAnsi="ＭＳ 明朝" w:cs="Kochi Mincho"/>
    </w:rPr>
  </w:style>
  <w:style w:type="paragraph" w:customStyle="1" w:styleId="enb">
    <w:name w:val="目次目（en）"/>
    <w:basedOn w:val="jab"/>
    <w:rsid w:val="008961CC"/>
    <w:rPr>
      <w:rFonts w:ascii="Century" w:eastAsia="Century" w:hAnsi="Century"/>
    </w:rPr>
  </w:style>
  <w:style w:type="paragraph" w:customStyle="1" w:styleId="jac">
    <w:name w:val="目次附則（ja）"/>
    <w:basedOn w:val="a"/>
    <w:rsid w:val="008961CC"/>
    <w:pPr>
      <w:widowControl w:val="0"/>
      <w:ind w:left="439" w:hanging="219"/>
    </w:pPr>
    <w:rPr>
      <w:rFonts w:ascii="ＭＳ 明朝" w:eastAsia="ＭＳ 明朝" w:hAnsi="ＭＳ 明朝" w:cs="Kochi Mincho"/>
    </w:rPr>
  </w:style>
  <w:style w:type="paragraph" w:customStyle="1" w:styleId="enc">
    <w:name w:val="目次附則（en）"/>
    <w:basedOn w:val="jac"/>
    <w:rsid w:val="008961CC"/>
    <w:rPr>
      <w:rFonts w:ascii="Century" w:eastAsia="Century" w:hAnsi="Century" w:cs="Century"/>
    </w:rPr>
  </w:style>
  <w:style w:type="paragraph" w:customStyle="1" w:styleId="jad">
    <w:name w:val="目次前文（ja）"/>
    <w:basedOn w:val="jac"/>
    <w:rsid w:val="008961CC"/>
  </w:style>
  <w:style w:type="paragraph" w:customStyle="1" w:styleId="end">
    <w:name w:val="目次前文（en）"/>
    <w:basedOn w:val="enc"/>
    <w:rsid w:val="008961CC"/>
  </w:style>
  <w:style w:type="paragraph" w:customStyle="1" w:styleId="jae">
    <w:name w:val="制定文（ja）"/>
    <w:basedOn w:val="a"/>
    <w:rsid w:val="008961CC"/>
    <w:pPr>
      <w:widowControl w:val="0"/>
      <w:ind w:firstLine="219"/>
    </w:pPr>
    <w:rPr>
      <w:rFonts w:ascii="ＭＳ 明朝" w:eastAsia="ＭＳ 明朝" w:hAnsi="ＭＳ 明朝" w:cs="ＭＳ 明朝"/>
    </w:rPr>
  </w:style>
  <w:style w:type="paragraph" w:customStyle="1" w:styleId="ene">
    <w:name w:val="制定文（en）"/>
    <w:basedOn w:val="jae"/>
    <w:rsid w:val="008961CC"/>
    <w:rPr>
      <w:rFonts w:ascii="Century" w:eastAsia="Century" w:hAnsi="Century" w:cs="Century"/>
    </w:rPr>
  </w:style>
  <w:style w:type="paragraph" w:customStyle="1" w:styleId="jaf">
    <w:name w:val="法令番号（ja）"/>
    <w:basedOn w:val="a"/>
    <w:rsid w:val="008961CC"/>
    <w:pPr>
      <w:widowControl w:val="0"/>
      <w:jc w:val="right"/>
    </w:pPr>
    <w:rPr>
      <w:rFonts w:ascii="ＭＳ 明朝" w:eastAsia="ＭＳ 明朝" w:hAnsi="ＭＳ 明朝" w:cs="Kochi Mincho"/>
    </w:rPr>
  </w:style>
  <w:style w:type="paragraph" w:customStyle="1" w:styleId="enf">
    <w:name w:val="法令番号（en）"/>
    <w:basedOn w:val="jaf"/>
    <w:rsid w:val="008961CC"/>
    <w:rPr>
      <w:rFonts w:ascii="Century" w:eastAsia="Century" w:hAnsi="Century" w:cs="Century"/>
    </w:rPr>
  </w:style>
  <w:style w:type="paragraph" w:customStyle="1" w:styleId="jaf0">
    <w:name w:val="目次（ja）"/>
    <w:basedOn w:val="a"/>
    <w:rsid w:val="008961CC"/>
    <w:rPr>
      <w:rFonts w:ascii="ＭＳ 明朝" w:eastAsia="ＭＳ 明朝" w:hAnsi="ＭＳ 明朝"/>
    </w:rPr>
  </w:style>
  <w:style w:type="paragraph" w:customStyle="1" w:styleId="enf0">
    <w:name w:val="目次（en）"/>
    <w:basedOn w:val="jaf0"/>
    <w:rsid w:val="008961CC"/>
    <w:rPr>
      <w:rFonts w:ascii="Century" w:eastAsia="Century" w:hAnsi="Century"/>
    </w:rPr>
  </w:style>
  <w:style w:type="paragraph" w:customStyle="1" w:styleId="jaf1">
    <w:name w:val="編（ja）"/>
    <w:basedOn w:val="a"/>
    <w:rsid w:val="008961CC"/>
    <w:pPr>
      <w:widowControl w:val="0"/>
      <w:ind w:left="661" w:hanging="221"/>
    </w:pPr>
    <w:rPr>
      <w:rFonts w:ascii="ＭＳ 明朝" w:eastAsia="ＭＳ 明朝" w:hAnsi="ＭＳ 明朝" w:cs="ＭＳ 明朝"/>
      <w:b/>
    </w:rPr>
  </w:style>
  <w:style w:type="paragraph" w:customStyle="1" w:styleId="enf1">
    <w:name w:val="編（en）"/>
    <w:basedOn w:val="jaf1"/>
    <w:rsid w:val="008961CC"/>
    <w:rPr>
      <w:rFonts w:ascii="Century" w:eastAsia="Century" w:hAnsi="Century" w:cs="Century"/>
    </w:rPr>
  </w:style>
  <w:style w:type="paragraph" w:customStyle="1" w:styleId="jaf2">
    <w:name w:val="節（ja）"/>
    <w:basedOn w:val="a"/>
    <w:rsid w:val="008961CC"/>
    <w:pPr>
      <w:widowControl w:val="0"/>
      <w:ind w:left="1101" w:hanging="221"/>
    </w:pPr>
    <w:rPr>
      <w:rFonts w:ascii="ＭＳ 明朝" w:eastAsia="ＭＳ 明朝" w:hAnsi="ＭＳ 明朝" w:cs="ＭＳ 明朝"/>
      <w:b/>
    </w:rPr>
  </w:style>
  <w:style w:type="paragraph" w:customStyle="1" w:styleId="enf2">
    <w:name w:val="節（en）"/>
    <w:basedOn w:val="jaf2"/>
    <w:rsid w:val="008961CC"/>
    <w:rPr>
      <w:rFonts w:ascii="Century" w:eastAsia="Century" w:hAnsi="Century" w:cs="Century"/>
    </w:rPr>
  </w:style>
  <w:style w:type="paragraph" w:customStyle="1" w:styleId="jaf3">
    <w:name w:val="条（ja）"/>
    <w:basedOn w:val="a"/>
    <w:rsid w:val="008961CC"/>
    <w:pPr>
      <w:widowControl w:val="0"/>
      <w:ind w:left="219" w:hanging="219"/>
    </w:pPr>
    <w:rPr>
      <w:rFonts w:ascii="ＭＳ 明朝" w:eastAsia="ＭＳ 明朝" w:hAnsi="ＭＳ 明朝" w:cs="ＭＳ 明朝"/>
    </w:rPr>
  </w:style>
  <w:style w:type="paragraph" w:customStyle="1" w:styleId="enf3">
    <w:name w:val="条（en）"/>
    <w:basedOn w:val="jaf3"/>
    <w:rsid w:val="008961CC"/>
    <w:rPr>
      <w:rFonts w:ascii="Century" w:eastAsia="Century" w:hAnsi="Century" w:cs="Century"/>
    </w:rPr>
  </w:style>
  <w:style w:type="paragraph" w:customStyle="1" w:styleId="jaf4">
    <w:name w:val="項（ja）"/>
    <w:basedOn w:val="a"/>
    <w:rsid w:val="008961CC"/>
    <w:pPr>
      <w:widowControl w:val="0"/>
      <w:ind w:left="219" w:hanging="219"/>
    </w:pPr>
    <w:rPr>
      <w:rFonts w:ascii="ＭＳ 明朝" w:eastAsia="ＭＳ 明朝" w:hAnsi="ＭＳ 明朝" w:cs="ＭＳ 明朝"/>
    </w:rPr>
  </w:style>
  <w:style w:type="paragraph" w:customStyle="1" w:styleId="enf4">
    <w:name w:val="項（en）"/>
    <w:basedOn w:val="jaf4"/>
    <w:rsid w:val="008961CC"/>
    <w:rPr>
      <w:rFonts w:ascii="Century" w:eastAsia="Century" w:hAnsi="Century" w:cs="Century"/>
    </w:rPr>
  </w:style>
  <w:style w:type="paragraph" w:customStyle="1" w:styleId="jaf5">
    <w:name w:val="項　番号なし（ja）"/>
    <w:basedOn w:val="a"/>
    <w:rsid w:val="008961CC"/>
    <w:pPr>
      <w:widowControl w:val="0"/>
      <w:ind w:firstLine="221"/>
    </w:pPr>
    <w:rPr>
      <w:rFonts w:ascii="ＭＳ 明朝" w:eastAsia="ＭＳ 明朝" w:hAnsi="ＭＳ 明朝" w:cs="ＭＳ 明朝"/>
    </w:rPr>
  </w:style>
  <w:style w:type="paragraph" w:customStyle="1" w:styleId="enf5">
    <w:name w:val="項　番号なし（en）"/>
    <w:basedOn w:val="jaf5"/>
    <w:rsid w:val="008961CC"/>
    <w:rPr>
      <w:rFonts w:ascii="Century" w:eastAsia="Century" w:hAnsi="Century" w:cs="Century"/>
    </w:rPr>
  </w:style>
  <w:style w:type="paragraph" w:customStyle="1" w:styleId="jaf6">
    <w:name w:val="号（ja）"/>
    <w:basedOn w:val="a"/>
    <w:rsid w:val="008961CC"/>
    <w:pPr>
      <w:widowControl w:val="0"/>
      <w:ind w:left="439" w:hanging="219"/>
    </w:pPr>
    <w:rPr>
      <w:rFonts w:ascii="ＭＳ 明朝" w:eastAsia="ＭＳ 明朝" w:hAnsi="ＭＳ 明朝" w:cs="ＭＳ 明朝"/>
    </w:rPr>
  </w:style>
  <w:style w:type="paragraph" w:customStyle="1" w:styleId="enf6">
    <w:name w:val="号（en）"/>
    <w:basedOn w:val="jaf6"/>
    <w:rsid w:val="008961CC"/>
    <w:rPr>
      <w:rFonts w:ascii="Century" w:eastAsia="Century" w:hAnsi="Century" w:cs="Century"/>
    </w:rPr>
  </w:style>
  <w:style w:type="paragraph" w:customStyle="1" w:styleId="jaf7">
    <w:name w:val="号　番号なし（ja）"/>
    <w:basedOn w:val="a"/>
    <w:rsid w:val="008961CC"/>
    <w:pPr>
      <w:widowControl w:val="0"/>
      <w:ind w:left="221" w:firstLine="221"/>
    </w:pPr>
    <w:rPr>
      <w:rFonts w:ascii="ＭＳ 明朝" w:eastAsia="ＭＳ 明朝" w:hAnsi="ＭＳ 明朝" w:cs="ＭＳ 明朝"/>
    </w:rPr>
  </w:style>
  <w:style w:type="paragraph" w:customStyle="1" w:styleId="enf7">
    <w:name w:val="号　番号なし（en）"/>
    <w:basedOn w:val="jaf7"/>
    <w:rsid w:val="008961CC"/>
    <w:rPr>
      <w:rFonts w:ascii="Century" w:eastAsia="Century" w:hAnsi="Century" w:cs="Century"/>
    </w:rPr>
  </w:style>
  <w:style w:type="paragraph" w:customStyle="1" w:styleId="jaf8">
    <w:name w:val="備考号（ja）"/>
    <w:basedOn w:val="a"/>
    <w:rsid w:val="008961CC"/>
    <w:pPr>
      <w:widowControl w:val="0"/>
      <w:ind w:left="659" w:hanging="219"/>
    </w:pPr>
    <w:rPr>
      <w:rFonts w:ascii="ＭＳ 明朝" w:eastAsia="ＭＳ 明朝" w:hAnsi="ＭＳ 明朝" w:cs="ＭＳ 明朝"/>
    </w:rPr>
  </w:style>
  <w:style w:type="paragraph" w:customStyle="1" w:styleId="enf8">
    <w:name w:val="備考号（en）"/>
    <w:basedOn w:val="jaf8"/>
    <w:rsid w:val="008961CC"/>
    <w:rPr>
      <w:rFonts w:ascii="Century" w:eastAsia="Century" w:hAnsi="Century" w:cs="Century"/>
    </w:rPr>
  </w:style>
  <w:style w:type="paragraph" w:customStyle="1" w:styleId="jaf9">
    <w:name w:val="号細分（ja）"/>
    <w:basedOn w:val="a"/>
    <w:rsid w:val="008961CC"/>
    <w:pPr>
      <w:widowControl w:val="0"/>
      <w:ind w:left="659" w:hanging="219"/>
    </w:pPr>
    <w:rPr>
      <w:rFonts w:ascii="ＭＳ 明朝" w:eastAsia="ＭＳ 明朝" w:hAnsi="ＭＳ 明朝" w:cs="ＭＳ 明朝"/>
    </w:rPr>
  </w:style>
  <w:style w:type="paragraph" w:customStyle="1" w:styleId="enf9">
    <w:name w:val="号細分（en）"/>
    <w:basedOn w:val="jaf9"/>
    <w:rsid w:val="008961CC"/>
    <w:rPr>
      <w:rFonts w:ascii="Century" w:eastAsia="Century" w:hAnsi="Century" w:cs="Century"/>
    </w:rPr>
  </w:style>
  <w:style w:type="paragraph" w:customStyle="1" w:styleId="jafa">
    <w:name w:val="号細分　番号なし（ja）"/>
    <w:basedOn w:val="a"/>
    <w:rsid w:val="008961CC"/>
    <w:pPr>
      <w:widowControl w:val="0"/>
      <w:ind w:left="439"/>
    </w:pPr>
    <w:rPr>
      <w:rFonts w:ascii="ＭＳ 明朝" w:eastAsia="ＭＳ 明朝" w:hAnsi="ＭＳ 明朝" w:cs="ＭＳ 明朝"/>
    </w:rPr>
  </w:style>
  <w:style w:type="paragraph" w:customStyle="1" w:styleId="enfa">
    <w:name w:val="号細分　番号なし（en）"/>
    <w:basedOn w:val="jafa"/>
    <w:rsid w:val="008961CC"/>
    <w:rPr>
      <w:rFonts w:ascii="Century" w:eastAsia="Century" w:hAnsi="Century" w:cs="Century"/>
    </w:rPr>
  </w:style>
  <w:style w:type="paragraph" w:customStyle="1" w:styleId="jafb">
    <w:name w:val="備考号細分（ja）"/>
    <w:basedOn w:val="a"/>
    <w:rsid w:val="008961CC"/>
    <w:pPr>
      <w:widowControl w:val="0"/>
      <w:ind w:left="1099" w:hanging="439"/>
    </w:pPr>
    <w:rPr>
      <w:rFonts w:ascii="ＭＳ 明朝" w:eastAsia="ＭＳ 明朝" w:hAnsi="ＭＳ 明朝" w:cs="ＭＳ 明朝"/>
    </w:rPr>
  </w:style>
  <w:style w:type="paragraph" w:customStyle="1" w:styleId="enfb">
    <w:name w:val="備考号細分（en）"/>
    <w:basedOn w:val="jafb"/>
    <w:rsid w:val="008961CC"/>
    <w:rPr>
      <w:rFonts w:ascii="Century" w:eastAsia="Century" w:hAnsi="Century" w:cs="Century"/>
    </w:rPr>
  </w:style>
  <w:style w:type="paragraph" w:customStyle="1" w:styleId="jafc">
    <w:name w:val="号細細分（ja）"/>
    <w:basedOn w:val="a"/>
    <w:rsid w:val="008961CC"/>
    <w:pPr>
      <w:widowControl w:val="0"/>
      <w:ind w:left="1099" w:hanging="439"/>
    </w:pPr>
    <w:rPr>
      <w:rFonts w:ascii="ＭＳ 明朝" w:eastAsia="ＭＳ 明朝" w:hAnsi="ＭＳ 明朝" w:cs="ＭＳ 明朝"/>
    </w:rPr>
  </w:style>
  <w:style w:type="paragraph" w:customStyle="1" w:styleId="enfc">
    <w:name w:val="号細細分（en）"/>
    <w:basedOn w:val="jafc"/>
    <w:rsid w:val="008961CC"/>
    <w:rPr>
      <w:rFonts w:ascii="Century" w:eastAsia="Century" w:hAnsi="Century" w:cs="Century"/>
    </w:rPr>
  </w:style>
  <w:style w:type="paragraph" w:customStyle="1" w:styleId="jafd">
    <w:name w:val="号細細分　番号なし（ja）"/>
    <w:basedOn w:val="a"/>
    <w:rsid w:val="008961CC"/>
    <w:pPr>
      <w:widowControl w:val="0"/>
      <w:ind w:left="659"/>
    </w:pPr>
    <w:rPr>
      <w:rFonts w:ascii="ＭＳ 明朝" w:eastAsia="ＭＳ 明朝" w:hAnsi="ＭＳ 明朝" w:cs="ＭＳ 明朝"/>
    </w:rPr>
  </w:style>
  <w:style w:type="paragraph" w:customStyle="1" w:styleId="enfd">
    <w:name w:val="号細細分　番号なし（en）"/>
    <w:basedOn w:val="jafd"/>
    <w:rsid w:val="008961CC"/>
    <w:rPr>
      <w:rFonts w:ascii="Century" w:eastAsia="Century" w:hAnsi="Century" w:cs="Century"/>
    </w:rPr>
  </w:style>
  <w:style w:type="paragraph" w:customStyle="1" w:styleId="jafe">
    <w:name w:val="備考号細細分（ja）"/>
    <w:basedOn w:val="a"/>
    <w:rsid w:val="008961CC"/>
    <w:pPr>
      <w:widowControl w:val="0"/>
      <w:ind w:left="1319" w:hanging="439"/>
    </w:pPr>
    <w:rPr>
      <w:rFonts w:ascii="ＭＳ 明朝" w:eastAsia="ＭＳ 明朝" w:hAnsi="ＭＳ 明朝" w:cs="ＭＳ 明朝"/>
    </w:rPr>
  </w:style>
  <w:style w:type="paragraph" w:customStyle="1" w:styleId="enfe">
    <w:name w:val="備考号細細分（en）"/>
    <w:basedOn w:val="jafe"/>
    <w:rsid w:val="008961CC"/>
    <w:rPr>
      <w:rFonts w:ascii="Century" w:eastAsia="Century" w:hAnsi="Century" w:cs="Century"/>
    </w:rPr>
  </w:style>
  <w:style w:type="paragraph" w:customStyle="1" w:styleId="jaff">
    <w:name w:val="号細細細分（ja）"/>
    <w:basedOn w:val="a"/>
    <w:rsid w:val="008961CC"/>
    <w:pPr>
      <w:widowControl w:val="0"/>
      <w:ind w:left="1319" w:hanging="439"/>
    </w:pPr>
    <w:rPr>
      <w:rFonts w:ascii="ＭＳ 明朝" w:eastAsia="ＭＳ 明朝" w:hAnsi="ＭＳ 明朝" w:cs="ＭＳ 明朝"/>
    </w:rPr>
  </w:style>
  <w:style w:type="paragraph" w:customStyle="1" w:styleId="enff">
    <w:name w:val="号細細細分（en）"/>
    <w:basedOn w:val="jaff"/>
    <w:rsid w:val="008961CC"/>
    <w:rPr>
      <w:rFonts w:ascii="Century" w:eastAsia="Century" w:hAnsi="Century" w:cs="Century"/>
    </w:rPr>
  </w:style>
  <w:style w:type="paragraph" w:customStyle="1" w:styleId="jaff0">
    <w:name w:val="号細細細分　番号なし（ja）"/>
    <w:basedOn w:val="a"/>
    <w:rsid w:val="008961CC"/>
    <w:pPr>
      <w:widowControl w:val="0"/>
      <w:ind w:left="879"/>
    </w:pPr>
    <w:rPr>
      <w:rFonts w:ascii="ＭＳ 明朝" w:eastAsia="ＭＳ 明朝" w:hAnsi="ＭＳ 明朝" w:cs="ＭＳ 明朝"/>
    </w:rPr>
  </w:style>
  <w:style w:type="paragraph" w:customStyle="1" w:styleId="enff0">
    <w:name w:val="号細細細分　番号なし（en）"/>
    <w:basedOn w:val="jaff0"/>
    <w:rsid w:val="008961CC"/>
    <w:rPr>
      <w:rFonts w:ascii="Century" w:eastAsia="Century" w:hAnsi="Century" w:cs="Century"/>
    </w:rPr>
  </w:style>
  <w:style w:type="paragraph" w:customStyle="1" w:styleId="jaff1">
    <w:name w:val="備考号細細細分（ja）"/>
    <w:basedOn w:val="a"/>
    <w:rsid w:val="008961CC"/>
    <w:pPr>
      <w:widowControl w:val="0"/>
      <w:ind w:left="1539" w:hanging="439"/>
    </w:pPr>
    <w:rPr>
      <w:rFonts w:ascii="ＭＳ 明朝" w:eastAsia="ＭＳ 明朝" w:hAnsi="ＭＳ 明朝" w:cs="ＭＳ 明朝"/>
    </w:rPr>
  </w:style>
  <w:style w:type="paragraph" w:customStyle="1" w:styleId="enff1">
    <w:name w:val="備考号細細細分（en）"/>
    <w:basedOn w:val="jaff1"/>
    <w:rsid w:val="008961CC"/>
    <w:rPr>
      <w:rFonts w:ascii="Century" w:eastAsia="Century" w:hAnsi="Century" w:cs="Century"/>
    </w:rPr>
  </w:style>
  <w:style w:type="paragraph" w:customStyle="1" w:styleId="jaff2">
    <w:name w:val="類（ja）"/>
    <w:basedOn w:val="a"/>
    <w:rsid w:val="008961CC"/>
    <w:pPr>
      <w:widowControl w:val="0"/>
      <w:ind w:left="439" w:hanging="219"/>
    </w:pPr>
    <w:rPr>
      <w:rFonts w:ascii="ＭＳ 明朝" w:eastAsia="ＭＳ 明朝" w:hAnsi="ＭＳ 明朝" w:cs="ＭＳ 明朝"/>
    </w:rPr>
  </w:style>
  <w:style w:type="paragraph" w:customStyle="1" w:styleId="enff2">
    <w:name w:val="類（en）"/>
    <w:basedOn w:val="jaff2"/>
    <w:rsid w:val="008961CC"/>
    <w:rPr>
      <w:rFonts w:ascii="Century" w:eastAsia="Century" w:hAnsi="Century" w:cs="Century"/>
    </w:rPr>
  </w:style>
  <w:style w:type="paragraph" w:customStyle="1" w:styleId="jaff3">
    <w:name w:val="公布文（ja）"/>
    <w:basedOn w:val="a"/>
    <w:rsid w:val="008961CC"/>
    <w:pPr>
      <w:widowControl w:val="0"/>
      <w:ind w:firstLine="219"/>
    </w:pPr>
    <w:rPr>
      <w:rFonts w:ascii="ＭＳ 明朝" w:eastAsia="ＭＳ 明朝" w:hAnsi="ＭＳ 明朝" w:cs="ＭＳ 明朝"/>
    </w:rPr>
  </w:style>
  <w:style w:type="paragraph" w:customStyle="1" w:styleId="enff3">
    <w:name w:val="公布文（en）"/>
    <w:basedOn w:val="jaff3"/>
    <w:rsid w:val="008961CC"/>
    <w:rPr>
      <w:rFonts w:ascii="Century" w:eastAsia="Century" w:hAnsi="Century" w:cs="Century"/>
    </w:rPr>
  </w:style>
  <w:style w:type="paragraph" w:customStyle="1" w:styleId="jaen">
    <w:name w:val="表（ja：en）"/>
    <w:basedOn w:val="a"/>
    <w:rsid w:val="008961CC"/>
    <w:pPr>
      <w:widowControl w:val="0"/>
      <w:snapToGrid w:val="0"/>
    </w:pPr>
    <w:rPr>
      <w:rFonts w:ascii="Century" w:eastAsia="ＭＳ 明朝" w:hAnsi="Century"/>
    </w:rPr>
  </w:style>
  <w:style w:type="paragraph" w:customStyle="1" w:styleId="jaff4">
    <w:name w:val="備考（ja）"/>
    <w:basedOn w:val="a"/>
    <w:rsid w:val="008961CC"/>
    <w:pPr>
      <w:widowControl w:val="0"/>
      <w:ind w:left="439" w:hanging="219"/>
    </w:pPr>
    <w:rPr>
      <w:rFonts w:ascii="ＭＳ 明朝" w:eastAsia="ＭＳ 明朝" w:hAnsi="ＭＳ 明朝" w:cs="ＭＳ 明朝"/>
    </w:rPr>
  </w:style>
  <w:style w:type="paragraph" w:customStyle="1" w:styleId="enff4">
    <w:name w:val="備考（en）"/>
    <w:basedOn w:val="jaff4"/>
    <w:rsid w:val="008961CC"/>
    <w:rPr>
      <w:rFonts w:ascii="Century" w:eastAsia="Century" w:hAnsi="Century" w:cs="Century"/>
    </w:rPr>
  </w:style>
  <w:style w:type="paragraph" w:customStyle="1" w:styleId="jaff5">
    <w:name w:val="表タイトル（ja）"/>
    <w:basedOn w:val="a"/>
    <w:rsid w:val="008961CC"/>
    <w:pPr>
      <w:widowControl w:val="0"/>
      <w:ind w:left="219"/>
    </w:pPr>
    <w:rPr>
      <w:rFonts w:ascii="ＭＳ 明朝" w:eastAsia="ＭＳ 明朝" w:hAnsi="ＭＳ 明朝" w:cs="ＭＳ 明朝"/>
    </w:rPr>
  </w:style>
  <w:style w:type="paragraph" w:customStyle="1" w:styleId="enff5">
    <w:name w:val="表タイトル（en）"/>
    <w:basedOn w:val="jaff5"/>
    <w:rsid w:val="008961CC"/>
    <w:rPr>
      <w:rFonts w:ascii="Century" w:eastAsia="Century" w:hAnsi="Century" w:cs="Century"/>
    </w:rPr>
  </w:style>
  <w:style w:type="paragraph" w:customStyle="1" w:styleId="jaff6">
    <w:name w:val="改正規定文（ja）"/>
    <w:basedOn w:val="a"/>
    <w:rsid w:val="008961CC"/>
    <w:pPr>
      <w:widowControl w:val="0"/>
      <w:ind w:left="219" w:firstLine="219"/>
    </w:pPr>
    <w:rPr>
      <w:rFonts w:ascii="ＭＳ 明朝" w:eastAsia="ＭＳ 明朝" w:hAnsi="ＭＳ 明朝" w:cs="ＭＳ 明朝"/>
    </w:rPr>
  </w:style>
  <w:style w:type="paragraph" w:customStyle="1" w:styleId="enff6">
    <w:name w:val="改正規定文（en）"/>
    <w:basedOn w:val="jaff6"/>
    <w:rsid w:val="008961CC"/>
    <w:rPr>
      <w:rFonts w:ascii="Century" w:eastAsia="Century" w:hAnsi="Century" w:cs="Century"/>
    </w:rPr>
  </w:style>
  <w:style w:type="paragraph" w:customStyle="1" w:styleId="jaff7">
    <w:name w:val="付記（ja）"/>
    <w:basedOn w:val="a"/>
    <w:rsid w:val="008961CC"/>
    <w:pPr>
      <w:widowControl w:val="0"/>
      <w:ind w:left="219" w:firstLine="219"/>
    </w:pPr>
    <w:rPr>
      <w:rFonts w:ascii="ＭＳ 明朝" w:eastAsia="ＭＳ 明朝" w:hAnsi="ＭＳ 明朝" w:cs="ＭＳ 明朝"/>
    </w:rPr>
  </w:style>
  <w:style w:type="paragraph" w:customStyle="1" w:styleId="enff7">
    <w:name w:val="付記（en）"/>
    <w:basedOn w:val="jaff7"/>
    <w:rsid w:val="008961CC"/>
    <w:rPr>
      <w:rFonts w:ascii="Century" w:eastAsia="Century" w:hAnsi="Century" w:cs="Century"/>
    </w:rPr>
  </w:style>
  <w:style w:type="paragraph" w:customStyle="1" w:styleId="jaff8">
    <w:name w:val="様式名（ja）"/>
    <w:basedOn w:val="a"/>
    <w:rsid w:val="008961CC"/>
    <w:pPr>
      <w:widowControl w:val="0"/>
      <w:ind w:left="439" w:hanging="219"/>
    </w:pPr>
    <w:rPr>
      <w:rFonts w:ascii="ＭＳ 明朝" w:eastAsia="ＭＳ 明朝" w:hAnsi="ＭＳ 明朝" w:cs="ＭＳ 明朝"/>
    </w:rPr>
  </w:style>
  <w:style w:type="paragraph" w:customStyle="1" w:styleId="enff8">
    <w:name w:val="様式名（en）"/>
    <w:basedOn w:val="jaff8"/>
    <w:rsid w:val="008961CC"/>
    <w:rPr>
      <w:rFonts w:ascii="Century" w:eastAsia="Century" w:hAnsi="Century" w:cs="Century"/>
    </w:rPr>
  </w:style>
  <w:style w:type="paragraph" w:customStyle="1" w:styleId="jaff9">
    <w:name w:val="様式項目（ja）"/>
    <w:basedOn w:val="a"/>
    <w:rsid w:val="008961CC"/>
    <w:pPr>
      <w:widowControl w:val="0"/>
      <w:ind w:left="221" w:firstLine="221"/>
    </w:pPr>
    <w:rPr>
      <w:rFonts w:ascii="ＭＳ 明朝" w:eastAsia="ＭＳ 明朝" w:hAnsi="ＭＳ 明朝" w:cs="ＭＳ 明朝"/>
    </w:rPr>
  </w:style>
  <w:style w:type="paragraph" w:customStyle="1" w:styleId="enff9">
    <w:name w:val="様式項目（en）"/>
    <w:basedOn w:val="jaff9"/>
    <w:rsid w:val="008961CC"/>
    <w:rPr>
      <w:rFonts w:ascii="Century" w:eastAsia="Century" w:hAnsi="Century" w:cs="Century"/>
    </w:rPr>
  </w:style>
  <w:style w:type="table" w:customStyle="1" w:styleId="1">
    <w:name w:val="表1"/>
    <w:rsid w:val="008961CC"/>
    <w:tblPr>
      <w:tblInd w:w="340" w:type="dxa"/>
      <w:tblCellMar>
        <w:top w:w="0" w:type="dxa"/>
        <w:left w:w="0" w:type="dxa"/>
        <w:bottom w:w="0" w:type="dxa"/>
        <w:right w:w="0" w:type="dxa"/>
      </w:tblCellMar>
    </w:tblPr>
  </w:style>
  <w:style w:type="numbering" w:customStyle="1" w:styleId="WW8Num1">
    <w:name w:val="WW8Num1"/>
    <w:rsid w:val="008961CC"/>
    <w:pPr>
      <w:numPr>
        <w:numId w:val="2"/>
      </w:numPr>
    </w:pPr>
  </w:style>
  <w:style w:type="numbering" w:customStyle="1" w:styleId="WW8Num2">
    <w:name w:val="WW8Num2"/>
    <w:rsid w:val="008961CC"/>
    <w:pPr>
      <w:numPr>
        <w:numId w:val="3"/>
      </w:numPr>
    </w:pPr>
  </w:style>
  <w:style w:type="numbering" w:customStyle="1" w:styleId="WW8Num3">
    <w:name w:val="WW8Num3"/>
    <w:rsid w:val="008961CC"/>
    <w:pPr>
      <w:numPr>
        <w:numId w:val="4"/>
      </w:numPr>
    </w:pPr>
  </w:style>
  <w:style w:type="numbering" w:customStyle="1" w:styleId="WW8Num4">
    <w:name w:val="WW8Num4"/>
    <w:rsid w:val="008961CC"/>
    <w:pPr>
      <w:numPr>
        <w:numId w:val="5"/>
      </w:numPr>
    </w:pPr>
  </w:style>
  <w:style w:type="numbering" w:customStyle="1" w:styleId="WW8Num5">
    <w:name w:val="WW8Num5"/>
    <w:rsid w:val="008961CC"/>
    <w:pPr>
      <w:numPr>
        <w:numId w:val="6"/>
      </w:numPr>
    </w:pPr>
  </w:style>
  <w:style w:type="numbering" w:customStyle="1" w:styleId="WW8Num6">
    <w:name w:val="WW8Num6"/>
    <w:rsid w:val="008961CC"/>
    <w:pPr>
      <w:numPr>
        <w:numId w:val="7"/>
      </w:numPr>
    </w:pPr>
  </w:style>
  <w:style w:type="numbering" w:customStyle="1" w:styleId="WW8Num7">
    <w:name w:val="WW8Num7"/>
    <w:rsid w:val="008961CC"/>
    <w:pPr>
      <w:numPr>
        <w:numId w:val="8"/>
      </w:numPr>
    </w:pPr>
  </w:style>
  <w:style w:type="numbering" w:customStyle="1" w:styleId="WW8Num8">
    <w:name w:val="WW8Num8"/>
    <w:rsid w:val="008961CC"/>
    <w:pPr>
      <w:numPr>
        <w:numId w:val="9"/>
      </w:numPr>
    </w:pPr>
  </w:style>
  <w:style w:type="numbering" w:customStyle="1" w:styleId="WW8Num9">
    <w:name w:val="WW8Num9"/>
    <w:rsid w:val="008961CC"/>
    <w:pPr>
      <w:numPr>
        <w:numId w:val="10"/>
      </w:numPr>
    </w:pPr>
  </w:style>
  <w:style w:type="numbering" w:customStyle="1" w:styleId="WW8Num10">
    <w:name w:val="WW8Num10"/>
    <w:rsid w:val="008961CC"/>
    <w:pPr>
      <w:numPr>
        <w:numId w:val="11"/>
      </w:numPr>
    </w:pPr>
  </w:style>
  <w:style w:type="numbering" w:customStyle="1" w:styleId="WW8Num11">
    <w:name w:val="WW8Num11"/>
    <w:rsid w:val="008961CC"/>
    <w:pPr>
      <w:numPr>
        <w:numId w:val="12"/>
      </w:numPr>
    </w:pPr>
  </w:style>
  <w:style w:type="numbering" w:customStyle="1" w:styleId="WW8Num12">
    <w:name w:val="WW8Num12"/>
    <w:rsid w:val="008961C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14767</Words>
  <Characters>84176</Characters>
  <Application>Microsoft Office Word</Application>
  <DocSecurity>0</DocSecurity>
  <Lines>701</Lines>
  <Paragraphs>197</Paragraphs>
  <ScaleCrop>false</ScaleCrop>
  <Company/>
  <LinksUpToDate>false</LinksUpToDate>
  <CharactersWithSpaces>98746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2025-10-28T01:52:00Z</dcterms:created>
  <dcterms:modified xsi:type="dcterms:W3CDTF">2025-10-28T01:52:00Z</dcterms:modified>
</cp:coreProperties>
</file>