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203" w:rsidRDefault="00D32FBC">
      <w:pPr>
        <w:pStyle w:val="en"/>
      </w:pPr>
      <w:r>
        <w:t>Order on the Management of Mercury-Containing Recyclable Resources</w:t>
      </w:r>
    </w:p>
    <w:p w:rsidR="00B27203" w:rsidRDefault="00B27203"/>
    <w:p w:rsidR="00B27203" w:rsidRDefault="00D32FBC">
      <w:pPr>
        <w:pStyle w:val="enf"/>
      </w:pPr>
      <w:r>
        <w:t>(Order of the Cabinet Office, the Ministry of Internal Affairs and Communications, the Ministry of Justice, the Ministry of Foreign Affairs,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the Ministry of the Environment, and the Ministry of Defence No. 3, of Dece</w:t>
      </w:r>
      <w:r>
        <w:t>mber 7, 2015)</w:t>
      </w:r>
    </w:p>
    <w:p w:rsidR="00B27203" w:rsidRDefault="00B27203"/>
    <w:p w:rsidR="00B27203" w:rsidRDefault="00D32FBC">
      <w:pPr>
        <w:pStyle w:val="ene"/>
      </w:pPr>
      <w:r>
        <w:t>Under Article 24, paragraph (1) of the Act on Preventing Mercury Pollution of the Environment (Act No. 42 of 2015), this Order on the management of mercury-containing recyclable resources is established as follows.</w:t>
      </w:r>
    </w:p>
    <w:p w:rsidR="00B27203" w:rsidRDefault="00B27203"/>
    <w:p w:rsidR="00B27203" w:rsidRDefault="00D32FBC">
      <w:pPr>
        <w:pStyle w:val="ena"/>
      </w:pPr>
      <w:r>
        <w:t>(Terms)</w:t>
      </w:r>
    </w:p>
    <w:p w:rsidR="00B27203" w:rsidRDefault="00D32FBC">
      <w:pPr>
        <w:pStyle w:val="enf3"/>
      </w:pPr>
      <w:r>
        <w:t>Article 1  The terms used in this Order have the same meanings as the terms used in the terms used in the Act on Preventing Mercury Pollution of the Environment (referred below to as "the Act").</w:t>
      </w:r>
    </w:p>
    <w:p w:rsidR="00B27203" w:rsidRDefault="00B27203"/>
    <w:p w:rsidR="00B27203" w:rsidRDefault="00D32FBC">
      <w:pPr>
        <w:pStyle w:val="ena"/>
      </w:pPr>
      <w:r>
        <w:t>(Reporting on Management)</w:t>
      </w:r>
    </w:p>
    <w:p w:rsidR="00B27203" w:rsidRDefault="00D32FBC">
      <w:pPr>
        <w:pStyle w:val="enf3"/>
      </w:pPr>
      <w:r>
        <w:t>Article 2  Reporting under Article 24, paragraph (1) of the Act must be made for each business institution every fiscal year (from April 1st of the relevant year to March 31st of the following year; the same applies below), by the end of June of the following year of the relevant fiscal year, by submitting a report using the appended form. However, when it is impossible to submit the report by this deadline, due to a disaster or other unavoidable circumstances, the report must be submitted by the due date s</w:t>
      </w:r>
      <w:r>
        <w:t>et by the competent minister taking into account the circumstances.</w:t>
      </w:r>
    </w:p>
    <w:p w:rsidR="00B27203" w:rsidRDefault="00B27203"/>
    <w:p w:rsidR="00B27203" w:rsidRDefault="00D32FBC">
      <w:pPr>
        <w:pStyle w:val="ena"/>
      </w:pPr>
      <w:r>
        <w:t>(Reporting Matters)</w:t>
      </w:r>
    </w:p>
    <w:p w:rsidR="00B27203" w:rsidRDefault="00D32FBC">
      <w:pPr>
        <w:pStyle w:val="enf3"/>
      </w:pPr>
      <w:r>
        <w:t>Article 3  The matters provided by Ministerial Order of the competent ministry referred to in Article 24, paragraph (1) of the Act is to be the following for the relevant fiscal year:</w:t>
      </w:r>
    </w:p>
    <w:p w:rsidR="00B27203" w:rsidRDefault="00D32FBC">
      <w:pPr>
        <w:pStyle w:val="enf6"/>
      </w:pPr>
      <w:r>
        <w:t>(i) the name, address, and in the case of a corporation, the name of the representative.</w:t>
      </w:r>
    </w:p>
    <w:p w:rsidR="00B27203" w:rsidRDefault="00D32FBC">
      <w:pPr>
        <w:pStyle w:val="enf6"/>
      </w:pPr>
      <w:r>
        <w:t>(ii) the name and location of the place of the business;</w:t>
      </w:r>
    </w:p>
    <w:p w:rsidR="00B27203" w:rsidRDefault="00D32FBC">
      <w:pPr>
        <w:pStyle w:val="enf6"/>
      </w:pPr>
      <w:r>
        <w:t xml:space="preserve">(iii) business related to the management of mercury-containing recyclable resources conducted by a manager of the mercury-containing recyclable </w:t>
      </w:r>
      <w:r>
        <w:lastRenderedPageBreak/>
        <w:t>resources ;</w:t>
      </w:r>
    </w:p>
    <w:p w:rsidR="00B27203" w:rsidRDefault="00D32FBC">
      <w:pPr>
        <w:pStyle w:val="enf6"/>
      </w:pPr>
      <w:r>
        <w:t>(iv) the types and quantities of mercury-containing recyclable resources managed at the beginning of each fiscal year;</w:t>
      </w:r>
    </w:p>
    <w:p w:rsidR="00B27203" w:rsidRDefault="00D32FBC">
      <w:pPr>
        <w:pStyle w:val="enf6"/>
      </w:pPr>
      <w:r>
        <w:t>(v) the types and quantities of mercury-containing recyclable resources generated or received;</w:t>
      </w:r>
    </w:p>
    <w:p w:rsidR="00B27203" w:rsidRDefault="00D32FBC">
      <w:pPr>
        <w:pStyle w:val="enf6"/>
      </w:pPr>
      <w:r>
        <w:t>(vi) the types and quantities of mercury-containing recyclable resources that are transferred, undergoing disposal operations (the disposal operations listed in Annex IV B of the Basel Convention on the Control of Transboundary Movement of Hazardous Wastes and Their Disposal; the same applies below or categorized as waste under Article 2, paragraph (1) of the Waste Management and Public Cleansing Act (Act No. 137 of 1970) (in the case of being transferred or undergoing disposal operations, the quantities ac</w:t>
      </w:r>
      <w:r>
        <w:t>cording to each type of mercury-containing recyclable resources, and its purpose of transfer, or the categories and purpose of disposal operations);</w:t>
      </w:r>
    </w:p>
    <w:p w:rsidR="00B27203" w:rsidRDefault="00D32FBC">
      <w:pPr>
        <w:pStyle w:val="enf6"/>
      </w:pPr>
      <w:r>
        <w:t>(vii) in the case of making or receiving transfers, the name and address of the other party, and in the case of a corporation, the name of the representative, and the name and the location of a place of business ;</w:t>
      </w:r>
    </w:p>
    <w:p w:rsidR="00B27203" w:rsidRDefault="00D32FBC">
      <w:pPr>
        <w:pStyle w:val="enf6"/>
      </w:pPr>
      <w:r>
        <w:t>(viii) the purpose of management, and the types and quantities of mercury-containing recyclable resources managed at the end of the fiscal year;</w:t>
      </w:r>
    </w:p>
    <w:p w:rsidR="00B27203" w:rsidRDefault="00D32FBC">
      <w:pPr>
        <w:pStyle w:val="enf6"/>
      </w:pPr>
      <w:r>
        <w:t>(ix) Measures implemented based on the guidelines provided in Article 23, paragraph (1) of the Act, and other related measures implemented towards environmentally sound management of mercury-containing recyclable resources; and</w:t>
      </w:r>
    </w:p>
    <w:p w:rsidR="00B27203" w:rsidRDefault="00D32FBC">
      <w:pPr>
        <w:pStyle w:val="enf6"/>
      </w:pPr>
      <w:r>
        <w:t>(x) when entrusting storage, transportation, or disposal operations, the types and quantities of the entrusted mercury-containing recyclable resources, and the following matters related to the person entrusted for that storage, transportation, or disposal operations (referred below to as "the trustee" in this item):</w:t>
      </w:r>
    </w:p>
    <w:p w:rsidR="00B27203" w:rsidRDefault="00D32FBC">
      <w:pPr>
        <w:pStyle w:val="enfa"/>
      </w:pPr>
      <w:r>
        <w:t>1. The name, address, and in the case of a corporation, the name of the representative;</w:t>
      </w:r>
    </w:p>
    <w:p w:rsidR="00B27203" w:rsidRDefault="00D32FBC">
      <w:pPr>
        <w:pStyle w:val="enfc"/>
      </w:pPr>
      <w:r>
        <w:t>2. In the case where storage, transportation, or disposal operations are conducted by the trustee, the name and address of the business where the storage or disposal operations are conducted, or the transportation route;</w:t>
      </w:r>
    </w:p>
    <w:p w:rsidR="00B27203" w:rsidRDefault="00D32FBC">
      <w:pPr>
        <w:pStyle w:val="enfc"/>
      </w:pPr>
      <w:r>
        <w:t>3. In the case where disposal operations are being entrusted, the types and purposes of the disposal operations; and</w:t>
      </w:r>
    </w:p>
    <w:p w:rsidR="00B27203" w:rsidRDefault="00D32FBC">
      <w:pPr>
        <w:pStyle w:val="enfc"/>
      </w:pPr>
      <w:r>
        <w:t>4. Measures implemented by the trustee towards environmentally sound storage, transportation, or disposal operations of mercury-containing recyclable resources.</w:t>
      </w:r>
    </w:p>
    <w:p w:rsidR="00B27203" w:rsidRDefault="00B27203"/>
    <w:p w:rsidR="00B27203" w:rsidRDefault="00D32FBC">
      <w:pPr>
        <w:pStyle w:val="en2"/>
      </w:pPr>
      <w:r>
        <w:lastRenderedPageBreak/>
        <w:t>Supplementary Provisions</w:t>
      </w:r>
    </w:p>
    <w:p w:rsidR="00B27203" w:rsidRDefault="00B27203"/>
    <w:p w:rsidR="00B27203" w:rsidRDefault="00D32FBC">
      <w:pPr>
        <w:pStyle w:val="ena"/>
      </w:pPr>
      <w:r>
        <w:t>(Date of Enforcement)</w:t>
      </w:r>
    </w:p>
    <w:p w:rsidR="00B27203" w:rsidRDefault="00D32FBC">
      <w:pPr>
        <w:pStyle w:val="enf3"/>
      </w:pPr>
      <w:r>
        <w:t>Article 1  This Order is to come into effect from the date on which the Act comes into effect.</w:t>
      </w:r>
    </w:p>
    <w:p w:rsidR="00B27203" w:rsidRDefault="00B27203"/>
    <w:p w:rsidR="00B27203" w:rsidRDefault="00D32FBC">
      <w:pPr>
        <w:pStyle w:val="ena"/>
      </w:pPr>
      <w:r>
        <w:t>(Transitional Measures)</w:t>
      </w:r>
    </w:p>
    <w:p w:rsidR="00B27203" w:rsidRDefault="00D32FBC">
      <w:pPr>
        <w:pStyle w:val="enf3"/>
      </w:pPr>
      <w:r>
        <w:t>Article 2  For the application of the provisions of Article 3 in the fiscal year when this Order comes into effect (below referred to as "the Date of Enforcement"), the phrase "relevant fiscal year" in that Article is to be replaced by "from the Date of Enforcement to the end of the fiscal year when this Order comes into effect" and the phrase "start of the fiscal year" in item (iv) of that Article is replaced by "the Date of Enforcement."</w:t>
      </w:r>
    </w:p>
    <w:p w:rsidR="00B27203" w:rsidRDefault="00B27203"/>
    <w:p w:rsidR="00B27203" w:rsidRDefault="00D32FBC">
      <w:pPr>
        <w:pStyle w:val="en2"/>
      </w:pPr>
      <w:r>
        <w:t xml:space="preserve">Supplementary Provisions  [Order of the Cabinet Office, the Ministry of Internal Affairs and Communications, the Ministry of Justice, the Ministry of Foreign Affairs,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the Ministry of the Environment and the Ministry </w:t>
      </w:r>
      <w:r>
        <w:t>of Defense No. 1, June 28, 2019]</w:t>
      </w:r>
    </w:p>
    <w:p w:rsidR="00B27203" w:rsidRDefault="00B27203"/>
    <w:p w:rsidR="00B27203" w:rsidRDefault="00D32FBC">
      <w:pPr>
        <w:pStyle w:val="enf5"/>
      </w:pPr>
      <w:r>
        <w:t>This order comes into effect on the date of promulgation. However, the section that renames the Japanese Industrial Standards from Nihon Kōgyō Kikaku to Nihon Sangyō Kikaku comes into effect upon the date on which the Act Partially Amending the Japanese Unfair Competition Prevention Act and Other Related Laws (July 1, 2019) comes into effect.</w:t>
      </w:r>
    </w:p>
    <w:p w:rsidR="00B27203" w:rsidRDefault="00B27203"/>
    <w:p w:rsidR="00B27203" w:rsidRDefault="00D32FBC">
      <w:pPr>
        <w:pStyle w:val="en2"/>
      </w:pPr>
      <w:r>
        <w:t xml:space="preserve">Supplementary Provisions  [Order of the Cabinet Office, the Ministry of Internal Affairs and Communications, the Ministry of Justice, the Ministry of Foreign Affairs,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the Ministry of the Environment and the Ministry </w:t>
      </w:r>
      <w:r>
        <w:t>of Defense No. 2, June 12, 2020]</w:t>
      </w:r>
    </w:p>
    <w:p w:rsidR="00B27203" w:rsidRDefault="00B27203"/>
    <w:p w:rsidR="00B27203" w:rsidRDefault="00D32FBC">
      <w:pPr>
        <w:pStyle w:val="enf5"/>
      </w:pPr>
      <w:r>
        <w:t>This order comes into effect on the date of promulgation.</w:t>
      </w:r>
    </w:p>
    <w:p w:rsidR="00B27203" w:rsidRDefault="00B27203"/>
    <w:p w:rsidR="00B27203" w:rsidRDefault="00D32FBC">
      <w:pPr>
        <w:pStyle w:val="en2"/>
      </w:pPr>
      <w:r>
        <w:t xml:space="preserve">Supplementary Provisions  [Order of the Cabinet Office, the Ministry of </w:t>
      </w:r>
      <w:r>
        <w:lastRenderedPageBreak/>
        <w:t>Internal Affairs and Communications, the Ministry of Justice, the Ministry of Foreign Affairs,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the Ministry of the Environment and the Ministry of Defense No. 3, December 28, 2020]</w:t>
      </w:r>
    </w:p>
    <w:p w:rsidR="00B27203" w:rsidRDefault="00B27203"/>
    <w:p w:rsidR="00B27203" w:rsidRDefault="00D32FBC">
      <w:pPr>
        <w:pStyle w:val="ena"/>
      </w:pPr>
      <w:r>
        <w:t>(Date of Enforcement)</w:t>
      </w:r>
    </w:p>
    <w:p w:rsidR="00B27203" w:rsidRDefault="00D32FBC">
      <w:pPr>
        <w:pStyle w:val="enf3"/>
      </w:pPr>
      <w:r>
        <w:t>Article 1  This order comes into effect on the date of promulgation.</w:t>
      </w:r>
    </w:p>
    <w:p w:rsidR="00B27203" w:rsidRDefault="00B27203"/>
    <w:p w:rsidR="00B27203" w:rsidRDefault="00D32FBC">
      <w:pPr>
        <w:pStyle w:val="ena"/>
      </w:pPr>
      <w:r>
        <w:t>(Transitional Measures)</w:t>
      </w:r>
    </w:p>
    <w:p w:rsidR="00B27203" w:rsidRDefault="00D32FBC">
      <w:pPr>
        <w:pStyle w:val="enf3"/>
      </w:pPr>
      <w:r>
        <w:t>Article 2  (1) A document that is used in accordance with the format before amendment by this Order (referred to as the "former format" in the following paragraph) and that exists at the time of enforcement of this Order is deemed to be a document in accordance with the format as amended by this Order.</w:t>
      </w:r>
    </w:p>
    <w:p w:rsidR="00B27203" w:rsidRDefault="00D32FBC">
      <w:pPr>
        <w:pStyle w:val="enf4"/>
      </w:pPr>
      <w:r>
        <w:t>(2) A form following the former format that existed before the enforcement of this Order may be used by making amendments to the relevant sections of the form until otherwise provided for by law.</w:t>
      </w:r>
    </w:p>
    <w:sectPr w:rsidR="00B27203" w:rsidSect="00B2720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203" w:rsidRDefault="00B27203" w:rsidP="00B27203">
      <w:r>
        <w:separator/>
      </w:r>
    </w:p>
  </w:endnote>
  <w:endnote w:type="continuationSeparator" w:id="0">
    <w:p w:rsidR="00B27203" w:rsidRDefault="00B27203" w:rsidP="00B2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203" w:rsidRDefault="00B27203">
    <w:pPr>
      <w:pStyle w:val="a3"/>
    </w:pPr>
    <w:r>
      <w:fldChar w:fldCharType="begin"/>
    </w:r>
    <w:r>
      <w:instrText xml:space="preserve"> PAGE  \* MERGEFORMAT </w:instrText>
    </w:r>
    <w:r>
      <w:fldChar w:fldCharType="separate"/>
    </w:r>
    <w:r w:rsidR="00D32FB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203" w:rsidRDefault="00B27203" w:rsidP="00B27203">
      <w:r>
        <w:separator/>
      </w:r>
    </w:p>
  </w:footnote>
  <w:footnote w:type="continuationSeparator" w:id="0">
    <w:p w:rsidR="00B27203" w:rsidRDefault="00B27203" w:rsidP="00B27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55136"/>
    <w:multiLevelType w:val="multilevel"/>
    <w:tmpl w:val="94F617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4E2245F"/>
    <w:multiLevelType w:val="multilevel"/>
    <w:tmpl w:val="23FE45A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9F520B2"/>
    <w:multiLevelType w:val="multilevel"/>
    <w:tmpl w:val="EA98514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A92349C"/>
    <w:multiLevelType w:val="multilevel"/>
    <w:tmpl w:val="11AC444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B0A2BE8"/>
    <w:multiLevelType w:val="multilevel"/>
    <w:tmpl w:val="26F27EF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C1544F8"/>
    <w:multiLevelType w:val="multilevel"/>
    <w:tmpl w:val="62EC532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DA2330B"/>
    <w:multiLevelType w:val="multilevel"/>
    <w:tmpl w:val="E8FA744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171557F"/>
    <w:multiLevelType w:val="multilevel"/>
    <w:tmpl w:val="65A4B3B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48C67BF"/>
    <w:multiLevelType w:val="multilevel"/>
    <w:tmpl w:val="AF584B9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5422794"/>
    <w:multiLevelType w:val="multilevel"/>
    <w:tmpl w:val="03CCE53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45BB64E3"/>
    <w:multiLevelType w:val="multilevel"/>
    <w:tmpl w:val="6A408D0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47D7344E"/>
    <w:multiLevelType w:val="multilevel"/>
    <w:tmpl w:val="95B00C1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49C306BB"/>
    <w:multiLevelType w:val="multilevel"/>
    <w:tmpl w:val="DAC8EBF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19167465">
    <w:abstractNumId w:val="10"/>
  </w:num>
  <w:num w:numId="2" w16cid:durableId="568350014">
    <w:abstractNumId w:val="8"/>
  </w:num>
  <w:num w:numId="3" w16cid:durableId="265191130">
    <w:abstractNumId w:val="11"/>
  </w:num>
  <w:num w:numId="4" w16cid:durableId="1613855818">
    <w:abstractNumId w:val="6"/>
  </w:num>
  <w:num w:numId="5" w16cid:durableId="105929530">
    <w:abstractNumId w:val="1"/>
  </w:num>
  <w:num w:numId="6" w16cid:durableId="1487014553">
    <w:abstractNumId w:val="3"/>
  </w:num>
  <w:num w:numId="7" w16cid:durableId="1431506960">
    <w:abstractNumId w:val="7"/>
  </w:num>
  <w:num w:numId="8" w16cid:durableId="1102798925">
    <w:abstractNumId w:val="12"/>
  </w:num>
  <w:num w:numId="9" w16cid:durableId="2088074035">
    <w:abstractNumId w:val="0"/>
  </w:num>
  <w:num w:numId="10" w16cid:durableId="905148157">
    <w:abstractNumId w:val="4"/>
  </w:num>
  <w:num w:numId="11" w16cid:durableId="1337658721">
    <w:abstractNumId w:val="2"/>
  </w:num>
  <w:num w:numId="12" w16cid:durableId="958492813">
    <w:abstractNumId w:val="9"/>
  </w:num>
  <w:num w:numId="13" w16cid:durableId="1573468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27203"/>
    <w:rsid w:val="00A30AAA"/>
    <w:rsid w:val="00B27203"/>
    <w:rsid w:val="00D32FB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20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2720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27203"/>
    <w:rPr>
      <w:rFonts w:ascii="Century" w:eastAsia="Century" w:hAnsi="Century"/>
    </w:rPr>
  </w:style>
  <w:style w:type="paragraph" w:customStyle="1" w:styleId="ja0">
    <w:name w:val="款（ja）"/>
    <w:basedOn w:val="a"/>
    <w:rsid w:val="00B27203"/>
    <w:pPr>
      <w:widowControl w:val="0"/>
      <w:ind w:left="1321" w:hanging="221"/>
    </w:pPr>
    <w:rPr>
      <w:rFonts w:ascii="ＭＳ 明朝" w:eastAsia="ＭＳ 明朝" w:hAnsi="ＭＳ 明朝" w:cs="ＭＳ 明朝"/>
      <w:b/>
    </w:rPr>
  </w:style>
  <w:style w:type="paragraph" w:customStyle="1" w:styleId="en0">
    <w:name w:val="款（en）"/>
    <w:basedOn w:val="ja0"/>
    <w:rsid w:val="00B27203"/>
    <w:rPr>
      <w:rFonts w:ascii="Century" w:eastAsia="Century" w:hAnsi="Century" w:cs="Century"/>
    </w:rPr>
  </w:style>
  <w:style w:type="paragraph" w:customStyle="1" w:styleId="ja1">
    <w:name w:val="前文（ja）"/>
    <w:basedOn w:val="a"/>
    <w:rsid w:val="00B27203"/>
    <w:pPr>
      <w:widowControl w:val="0"/>
      <w:ind w:firstLine="219"/>
    </w:pPr>
    <w:rPr>
      <w:rFonts w:ascii="ＭＳ 明朝" w:eastAsia="ＭＳ 明朝" w:hAnsi="ＭＳ 明朝" w:cs="ＭＳ 明朝"/>
    </w:rPr>
  </w:style>
  <w:style w:type="paragraph" w:customStyle="1" w:styleId="en1">
    <w:name w:val="前文（en）"/>
    <w:basedOn w:val="ja1"/>
    <w:rsid w:val="00B27203"/>
    <w:rPr>
      <w:rFonts w:ascii="Century" w:eastAsia="Century" w:hAnsi="Century" w:cs="Century"/>
    </w:rPr>
  </w:style>
  <w:style w:type="paragraph" w:customStyle="1" w:styleId="ja2">
    <w:name w:val="附則（ja）"/>
    <w:basedOn w:val="a"/>
    <w:rsid w:val="00B27203"/>
    <w:pPr>
      <w:widowControl w:val="0"/>
      <w:ind w:left="881" w:hanging="221"/>
    </w:pPr>
    <w:rPr>
      <w:rFonts w:ascii="ＭＳ 明朝" w:eastAsia="ＭＳ 明朝" w:hAnsi="ＭＳ 明朝" w:cs="ＭＳ 明朝"/>
      <w:b/>
    </w:rPr>
  </w:style>
  <w:style w:type="paragraph" w:customStyle="1" w:styleId="en2">
    <w:name w:val="附則（en）"/>
    <w:basedOn w:val="ja2"/>
    <w:rsid w:val="00B27203"/>
    <w:rPr>
      <w:rFonts w:ascii="Century" w:hAnsi="Century" w:cs="Century"/>
    </w:rPr>
  </w:style>
  <w:style w:type="paragraph" w:customStyle="1" w:styleId="ja3">
    <w:name w:val="章（ja）"/>
    <w:basedOn w:val="a"/>
    <w:rsid w:val="00B27203"/>
    <w:pPr>
      <w:widowControl w:val="0"/>
      <w:ind w:left="881" w:hanging="221"/>
    </w:pPr>
    <w:rPr>
      <w:rFonts w:ascii="ＭＳ 明朝" w:eastAsia="ＭＳ 明朝" w:hAnsi="ＭＳ 明朝" w:cs="ＭＳ 明朝"/>
      <w:b/>
    </w:rPr>
  </w:style>
  <w:style w:type="paragraph" w:customStyle="1" w:styleId="en3">
    <w:name w:val="章（en）"/>
    <w:basedOn w:val="ja3"/>
    <w:rsid w:val="00B27203"/>
    <w:rPr>
      <w:rFonts w:ascii="Century" w:eastAsia="Century" w:hAnsi="Century" w:cs="Century"/>
    </w:rPr>
  </w:style>
  <w:style w:type="paragraph" w:customStyle="1" w:styleId="ja4">
    <w:name w:val="目次編（ja）"/>
    <w:basedOn w:val="a"/>
    <w:rsid w:val="00B27203"/>
    <w:pPr>
      <w:widowControl w:val="0"/>
      <w:ind w:left="219" w:hanging="219"/>
    </w:pPr>
    <w:rPr>
      <w:rFonts w:ascii="ＭＳ 明朝" w:eastAsia="ＭＳ 明朝" w:hAnsi="ＭＳ 明朝"/>
    </w:rPr>
  </w:style>
  <w:style w:type="paragraph" w:customStyle="1" w:styleId="en4">
    <w:name w:val="目次編（en）"/>
    <w:basedOn w:val="ja4"/>
    <w:rsid w:val="00B27203"/>
    <w:rPr>
      <w:rFonts w:ascii="Century" w:eastAsia="Century" w:hAnsi="Century"/>
    </w:rPr>
  </w:style>
  <w:style w:type="paragraph" w:customStyle="1" w:styleId="ja5">
    <w:name w:val="目次章（ja）"/>
    <w:basedOn w:val="a"/>
    <w:rsid w:val="00B27203"/>
    <w:pPr>
      <w:widowControl w:val="0"/>
      <w:ind w:left="439" w:hanging="219"/>
    </w:pPr>
    <w:rPr>
      <w:rFonts w:ascii="ＭＳ 明朝" w:eastAsia="ＭＳ 明朝" w:hAnsi="ＭＳ 明朝"/>
    </w:rPr>
  </w:style>
  <w:style w:type="paragraph" w:customStyle="1" w:styleId="en5">
    <w:name w:val="目次章（en）"/>
    <w:basedOn w:val="ja5"/>
    <w:rsid w:val="00B27203"/>
    <w:rPr>
      <w:rFonts w:ascii="Century" w:eastAsia="Century" w:hAnsi="Century"/>
    </w:rPr>
  </w:style>
  <w:style w:type="paragraph" w:customStyle="1" w:styleId="ja6">
    <w:name w:val="目次節（ja）"/>
    <w:basedOn w:val="a"/>
    <w:rsid w:val="00B27203"/>
    <w:pPr>
      <w:widowControl w:val="0"/>
      <w:ind w:left="659" w:hanging="219"/>
    </w:pPr>
    <w:rPr>
      <w:rFonts w:ascii="ＭＳ 明朝" w:eastAsia="ＭＳ 明朝" w:hAnsi="ＭＳ 明朝"/>
    </w:rPr>
  </w:style>
  <w:style w:type="paragraph" w:customStyle="1" w:styleId="en6">
    <w:name w:val="目次節（en）"/>
    <w:basedOn w:val="ja6"/>
    <w:rsid w:val="00B27203"/>
    <w:rPr>
      <w:rFonts w:ascii="Century" w:eastAsia="Century" w:hAnsi="Century"/>
    </w:rPr>
  </w:style>
  <w:style w:type="paragraph" w:customStyle="1" w:styleId="ja7">
    <w:name w:val="目次款（ja）"/>
    <w:basedOn w:val="a"/>
    <w:rsid w:val="00B27203"/>
    <w:pPr>
      <w:widowControl w:val="0"/>
      <w:ind w:left="879" w:hanging="219"/>
    </w:pPr>
    <w:rPr>
      <w:rFonts w:ascii="ＭＳ 明朝" w:eastAsia="ＭＳ 明朝" w:hAnsi="ＭＳ 明朝" w:cs="Kochi Mincho"/>
    </w:rPr>
  </w:style>
  <w:style w:type="paragraph" w:customStyle="1" w:styleId="en7">
    <w:name w:val="目次款（en）"/>
    <w:basedOn w:val="ja7"/>
    <w:rsid w:val="00B27203"/>
    <w:rPr>
      <w:rFonts w:ascii="Century" w:eastAsia="Century" w:hAnsi="Century"/>
    </w:rPr>
  </w:style>
  <w:style w:type="paragraph" w:customStyle="1" w:styleId="ja8">
    <w:name w:val="別表名（ja）"/>
    <w:basedOn w:val="a"/>
    <w:rsid w:val="00B27203"/>
    <w:pPr>
      <w:widowControl w:val="0"/>
      <w:ind w:left="100" w:hangingChars="100" w:hanging="100"/>
    </w:pPr>
    <w:rPr>
      <w:rFonts w:ascii="ＭＳ 明朝" w:eastAsia="ＭＳ 明朝" w:hAnsi="ＭＳ 明朝" w:cs="ＭＳ 明朝"/>
    </w:rPr>
  </w:style>
  <w:style w:type="paragraph" w:customStyle="1" w:styleId="en8">
    <w:name w:val="別表名（en）"/>
    <w:basedOn w:val="ja8"/>
    <w:rsid w:val="00B27203"/>
    <w:rPr>
      <w:rFonts w:ascii="Century" w:eastAsia="Century" w:hAnsi="Century" w:cs="Century"/>
    </w:rPr>
  </w:style>
  <w:style w:type="paragraph" w:customStyle="1" w:styleId="ja9">
    <w:name w:val="目（ja）"/>
    <w:basedOn w:val="a"/>
    <w:rsid w:val="00B27203"/>
    <w:pPr>
      <w:widowControl w:val="0"/>
      <w:ind w:left="1541" w:hanging="221"/>
    </w:pPr>
    <w:rPr>
      <w:rFonts w:ascii="ＭＳ 明朝" w:eastAsia="ＭＳ 明朝" w:hAnsi="ＭＳ 明朝" w:cs="ＭＳ 明朝"/>
      <w:b/>
    </w:rPr>
  </w:style>
  <w:style w:type="paragraph" w:customStyle="1" w:styleId="en9">
    <w:name w:val="目（en）"/>
    <w:basedOn w:val="ja9"/>
    <w:rsid w:val="00B27203"/>
    <w:rPr>
      <w:rFonts w:ascii="Century" w:eastAsia="Century" w:hAnsi="Century" w:cs="Century"/>
    </w:rPr>
  </w:style>
  <w:style w:type="paragraph" w:customStyle="1" w:styleId="jaa">
    <w:name w:val="見出し（ja）"/>
    <w:basedOn w:val="a"/>
    <w:rsid w:val="00B27203"/>
    <w:pPr>
      <w:widowControl w:val="0"/>
      <w:ind w:left="439" w:hanging="219"/>
    </w:pPr>
    <w:rPr>
      <w:rFonts w:ascii="ＭＳ 明朝" w:eastAsia="ＭＳ 明朝" w:hAnsi="ＭＳ 明朝" w:cs="ＭＳ 明朝"/>
    </w:rPr>
  </w:style>
  <w:style w:type="paragraph" w:customStyle="1" w:styleId="ena">
    <w:name w:val="見出し（en）"/>
    <w:basedOn w:val="jaa"/>
    <w:rsid w:val="00B27203"/>
    <w:rPr>
      <w:rFonts w:ascii="Century" w:eastAsia="Century" w:hAnsi="Century" w:cs="Century"/>
    </w:rPr>
  </w:style>
  <w:style w:type="paragraph" w:styleId="a3">
    <w:name w:val="footer"/>
    <w:basedOn w:val="a"/>
    <w:rsid w:val="00B2720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27203"/>
    <w:pPr>
      <w:widowControl w:val="0"/>
      <w:ind w:left="1099" w:hanging="219"/>
    </w:pPr>
    <w:rPr>
      <w:rFonts w:ascii="ＭＳ 明朝" w:eastAsia="ＭＳ 明朝" w:hAnsi="ＭＳ 明朝" w:cs="Kochi Mincho"/>
    </w:rPr>
  </w:style>
  <w:style w:type="paragraph" w:customStyle="1" w:styleId="enb">
    <w:name w:val="目次目（en）"/>
    <w:basedOn w:val="jab"/>
    <w:rsid w:val="00B27203"/>
    <w:rPr>
      <w:rFonts w:ascii="Century" w:eastAsia="Century" w:hAnsi="Century"/>
    </w:rPr>
  </w:style>
  <w:style w:type="paragraph" w:customStyle="1" w:styleId="jac">
    <w:name w:val="目次附則（ja）"/>
    <w:basedOn w:val="a"/>
    <w:rsid w:val="00B27203"/>
    <w:pPr>
      <w:widowControl w:val="0"/>
      <w:ind w:left="439" w:hanging="219"/>
    </w:pPr>
    <w:rPr>
      <w:rFonts w:ascii="ＭＳ 明朝" w:eastAsia="ＭＳ 明朝" w:hAnsi="ＭＳ 明朝" w:cs="Kochi Mincho"/>
    </w:rPr>
  </w:style>
  <w:style w:type="paragraph" w:customStyle="1" w:styleId="enc">
    <w:name w:val="目次附則（en）"/>
    <w:basedOn w:val="jac"/>
    <w:rsid w:val="00B27203"/>
    <w:rPr>
      <w:rFonts w:ascii="Century" w:eastAsia="Century" w:hAnsi="Century" w:cs="Century"/>
    </w:rPr>
  </w:style>
  <w:style w:type="paragraph" w:customStyle="1" w:styleId="jad">
    <w:name w:val="目次前文（ja）"/>
    <w:basedOn w:val="jac"/>
    <w:rsid w:val="00B27203"/>
  </w:style>
  <w:style w:type="paragraph" w:customStyle="1" w:styleId="end">
    <w:name w:val="目次前文（en）"/>
    <w:basedOn w:val="enc"/>
    <w:rsid w:val="00B27203"/>
  </w:style>
  <w:style w:type="paragraph" w:customStyle="1" w:styleId="jae">
    <w:name w:val="制定文（ja）"/>
    <w:basedOn w:val="a"/>
    <w:rsid w:val="00B27203"/>
    <w:pPr>
      <w:widowControl w:val="0"/>
      <w:ind w:firstLine="219"/>
    </w:pPr>
    <w:rPr>
      <w:rFonts w:ascii="ＭＳ 明朝" w:eastAsia="ＭＳ 明朝" w:hAnsi="ＭＳ 明朝" w:cs="ＭＳ 明朝"/>
    </w:rPr>
  </w:style>
  <w:style w:type="paragraph" w:customStyle="1" w:styleId="ene">
    <w:name w:val="制定文（en）"/>
    <w:basedOn w:val="jae"/>
    <w:rsid w:val="00B27203"/>
    <w:rPr>
      <w:rFonts w:ascii="Century" w:eastAsia="Century" w:hAnsi="Century" w:cs="Century"/>
    </w:rPr>
  </w:style>
  <w:style w:type="paragraph" w:customStyle="1" w:styleId="jaf">
    <w:name w:val="法令番号（ja）"/>
    <w:basedOn w:val="a"/>
    <w:rsid w:val="00B27203"/>
    <w:pPr>
      <w:widowControl w:val="0"/>
      <w:jc w:val="right"/>
    </w:pPr>
    <w:rPr>
      <w:rFonts w:ascii="ＭＳ 明朝" w:eastAsia="ＭＳ 明朝" w:hAnsi="ＭＳ 明朝" w:cs="Kochi Mincho"/>
    </w:rPr>
  </w:style>
  <w:style w:type="paragraph" w:customStyle="1" w:styleId="enf">
    <w:name w:val="法令番号（en）"/>
    <w:basedOn w:val="jaf"/>
    <w:rsid w:val="00B27203"/>
    <w:rPr>
      <w:rFonts w:ascii="Century" w:eastAsia="Century" w:hAnsi="Century" w:cs="Century"/>
    </w:rPr>
  </w:style>
  <w:style w:type="paragraph" w:customStyle="1" w:styleId="jaf0">
    <w:name w:val="目次（ja）"/>
    <w:basedOn w:val="a"/>
    <w:rsid w:val="00B27203"/>
    <w:rPr>
      <w:rFonts w:ascii="ＭＳ 明朝" w:eastAsia="ＭＳ 明朝" w:hAnsi="ＭＳ 明朝"/>
    </w:rPr>
  </w:style>
  <w:style w:type="paragraph" w:customStyle="1" w:styleId="enf0">
    <w:name w:val="目次（en）"/>
    <w:basedOn w:val="jaf0"/>
    <w:rsid w:val="00B27203"/>
    <w:rPr>
      <w:rFonts w:ascii="Century" w:eastAsia="Century" w:hAnsi="Century"/>
    </w:rPr>
  </w:style>
  <w:style w:type="paragraph" w:customStyle="1" w:styleId="jaf1">
    <w:name w:val="編（ja）"/>
    <w:basedOn w:val="a"/>
    <w:rsid w:val="00B27203"/>
    <w:pPr>
      <w:widowControl w:val="0"/>
      <w:ind w:left="661" w:hanging="221"/>
    </w:pPr>
    <w:rPr>
      <w:rFonts w:ascii="ＭＳ 明朝" w:eastAsia="ＭＳ 明朝" w:hAnsi="ＭＳ 明朝" w:cs="ＭＳ 明朝"/>
      <w:b/>
    </w:rPr>
  </w:style>
  <w:style w:type="paragraph" w:customStyle="1" w:styleId="enf1">
    <w:name w:val="編（en）"/>
    <w:basedOn w:val="jaf1"/>
    <w:rsid w:val="00B27203"/>
    <w:rPr>
      <w:rFonts w:ascii="Century" w:eastAsia="Century" w:hAnsi="Century" w:cs="Century"/>
    </w:rPr>
  </w:style>
  <w:style w:type="paragraph" w:customStyle="1" w:styleId="jaf2">
    <w:name w:val="節（ja）"/>
    <w:basedOn w:val="a"/>
    <w:rsid w:val="00B27203"/>
    <w:pPr>
      <w:widowControl w:val="0"/>
      <w:ind w:left="1101" w:hanging="221"/>
    </w:pPr>
    <w:rPr>
      <w:rFonts w:ascii="ＭＳ 明朝" w:eastAsia="ＭＳ 明朝" w:hAnsi="ＭＳ 明朝" w:cs="ＭＳ 明朝"/>
      <w:b/>
    </w:rPr>
  </w:style>
  <w:style w:type="paragraph" w:customStyle="1" w:styleId="enf2">
    <w:name w:val="節（en）"/>
    <w:basedOn w:val="jaf2"/>
    <w:rsid w:val="00B27203"/>
    <w:rPr>
      <w:rFonts w:ascii="Century" w:eastAsia="Century" w:hAnsi="Century" w:cs="Century"/>
    </w:rPr>
  </w:style>
  <w:style w:type="paragraph" w:customStyle="1" w:styleId="jaf3">
    <w:name w:val="条（ja）"/>
    <w:basedOn w:val="a"/>
    <w:rsid w:val="00B27203"/>
    <w:pPr>
      <w:widowControl w:val="0"/>
      <w:ind w:left="219" w:hanging="219"/>
    </w:pPr>
    <w:rPr>
      <w:rFonts w:ascii="ＭＳ 明朝" w:eastAsia="ＭＳ 明朝" w:hAnsi="ＭＳ 明朝" w:cs="ＭＳ 明朝"/>
    </w:rPr>
  </w:style>
  <w:style w:type="paragraph" w:customStyle="1" w:styleId="enf3">
    <w:name w:val="条（en）"/>
    <w:basedOn w:val="jaf3"/>
    <w:rsid w:val="00B27203"/>
    <w:rPr>
      <w:rFonts w:ascii="Century" w:eastAsia="Century" w:hAnsi="Century" w:cs="Century"/>
    </w:rPr>
  </w:style>
  <w:style w:type="paragraph" w:customStyle="1" w:styleId="jaf4">
    <w:name w:val="項（ja）"/>
    <w:basedOn w:val="a"/>
    <w:rsid w:val="00B27203"/>
    <w:pPr>
      <w:widowControl w:val="0"/>
      <w:ind w:left="219" w:hanging="219"/>
    </w:pPr>
    <w:rPr>
      <w:rFonts w:ascii="ＭＳ 明朝" w:eastAsia="ＭＳ 明朝" w:hAnsi="ＭＳ 明朝" w:cs="ＭＳ 明朝"/>
    </w:rPr>
  </w:style>
  <w:style w:type="paragraph" w:customStyle="1" w:styleId="enf4">
    <w:name w:val="項（en）"/>
    <w:basedOn w:val="jaf4"/>
    <w:rsid w:val="00B27203"/>
    <w:rPr>
      <w:rFonts w:ascii="Century" w:eastAsia="Century" w:hAnsi="Century" w:cs="Century"/>
    </w:rPr>
  </w:style>
  <w:style w:type="paragraph" w:customStyle="1" w:styleId="jaf5">
    <w:name w:val="項　番号なし（ja）"/>
    <w:basedOn w:val="a"/>
    <w:rsid w:val="00B27203"/>
    <w:pPr>
      <w:widowControl w:val="0"/>
      <w:ind w:firstLine="221"/>
    </w:pPr>
    <w:rPr>
      <w:rFonts w:ascii="ＭＳ 明朝" w:eastAsia="ＭＳ 明朝" w:hAnsi="ＭＳ 明朝" w:cs="ＭＳ 明朝"/>
    </w:rPr>
  </w:style>
  <w:style w:type="paragraph" w:customStyle="1" w:styleId="enf5">
    <w:name w:val="項　番号なし（en）"/>
    <w:basedOn w:val="jaf5"/>
    <w:rsid w:val="00B27203"/>
    <w:rPr>
      <w:rFonts w:ascii="Century" w:eastAsia="Century" w:hAnsi="Century" w:cs="Century"/>
    </w:rPr>
  </w:style>
  <w:style w:type="paragraph" w:customStyle="1" w:styleId="jaf6">
    <w:name w:val="号（ja）"/>
    <w:basedOn w:val="a"/>
    <w:rsid w:val="00B27203"/>
    <w:pPr>
      <w:widowControl w:val="0"/>
      <w:ind w:left="439" w:hanging="219"/>
    </w:pPr>
    <w:rPr>
      <w:rFonts w:ascii="ＭＳ 明朝" w:eastAsia="ＭＳ 明朝" w:hAnsi="ＭＳ 明朝" w:cs="ＭＳ 明朝"/>
    </w:rPr>
  </w:style>
  <w:style w:type="paragraph" w:customStyle="1" w:styleId="enf6">
    <w:name w:val="号（en）"/>
    <w:basedOn w:val="jaf6"/>
    <w:rsid w:val="00B27203"/>
    <w:rPr>
      <w:rFonts w:ascii="Century" w:eastAsia="Century" w:hAnsi="Century" w:cs="Century"/>
    </w:rPr>
  </w:style>
  <w:style w:type="paragraph" w:customStyle="1" w:styleId="jaf7">
    <w:name w:val="号　番号なし（ja）"/>
    <w:basedOn w:val="a"/>
    <w:rsid w:val="00B27203"/>
    <w:pPr>
      <w:widowControl w:val="0"/>
      <w:ind w:left="221" w:firstLine="221"/>
    </w:pPr>
    <w:rPr>
      <w:rFonts w:ascii="ＭＳ 明朝" w:eastAsia="ＭＳ 明朝" w:hAnsi="ＭＳ 明朝" w:cs="ＭＳ 明朝"/>
    </w:rPr>
  </w:style>
  <w:style w:type="paragraph" w:customStyle="1" w:styleId="enf7">
    <w:name w:val="号　番号なし（en）"/>
    <w:basedOn w:val="jaf7"/>
    <w:rsid w:val="00B27203"/>
    <w:rPr>
      <w:rFonts w:ascii="Century" w:eastAsia="Century" w:hAnsi="Century" w:cs="Century"/>
    </w:rPr>
  </w:style>
  <w:style w:type="paragraph" w:customStyle="1" w:styleId="jaf8">
    <w:name w:val="備考号（ja）"/>
    <w:basedOn w:val="a"/>
    <w:rsid w:val="00B27203"/>
    <w:pPr>
      <w:widowControl w:val="0"/>
      <w:ind w:left="659" w:hanging="219"/>
    </w:pPr>
    <w:rPr>
      <w:rFonts w:ascii="ＭＳ 明朝" w:eastAsia="ＭＳ 明朝" w:hAnsi="ＭＳ 明朝" w:cs="ＭＳ 明朝"/>
    </w:rPr>
  </w:style>
  <w:style w:type="paragraph" w:customStyle="1" w:styleId="enf8">
    <w:name w:val="備考号（en）"/>
    <w:basedOn w:val="jaf8"/>
    <w:rsid w:val="00B27203"/>
    <w:rPr>
      <w:rFonts w:ascii="Century" w:eastAsia="Century" w:hAnsi="Century" w:cs="Century"/>
    </w:rPr>
  </w:style>
  <w:style w:type="paragraph" w:customStyle="1" w:styleId="jaf9">
    <w:name w:val="号細分（ja）"/>
    <w:basedOn w:val="a"/>
    <w:rsid w:val="00B27203"/>
    <w:pPr>
      <w:widowControl w:val="0"/>
      <w:ind w:left="659" w:hanging="219"/>
    </w:pPr>
    <w:rPr>
      <w:rFonts w:ascii="ＭＳ 明朝" w:eastAsia="ＭＳ 明朝" w:hAnsi="ＭＳ 明朝" w:cs="ＭＳ 明朝"/>
    </w:rPr>
  </w:style>
  <w:style w:type="paragraph" w:customStyle="1" w:styleId="enf9">
    <w:name w:val="号細分（en）"/>
    <w:basedOn w:val="jaf9"/>
    <w:rsid w:val="00B27203"/>
    <w:rPr>
      <w:rFonts w:ascii="Century" w:eastAsia="Century" w:hAnsi="Century" w:cs="Century"/>
    </w:rPr>
  </w:style>
  <w:style w:type="paragraph" w:customStyle="1" w:styleId="jafa">
    <w:name w:val="号細分　番号なし（ja）"/>
    <w:basedOn w:val="a"/>
    <w:rsid w:val="00B27203"/>
    <w:pPr>
      <w:widowControl w:val="0"/>
      <w:ind w:left="439"/>
    </w:pPr>
    <w:rPr>
      <w:rFonts w:ascii="ＭＳ 明朝" w:eastAsia="ＭＳ 明朝" w:hAnsi="ＭＳ 明朝" w:cs="ＭＳ 明朝"/>
    </w:rPr>
  </w:style>
  <w:style w:type="paragraph" w:customStyle="1" w:styleId="enfa">
    <w:name w:val="号細分　番号なし（en）"/>
    <w:basedOn w:val="jafa"/>
    <w:rsid w:val="00B27203"/>
    <w:rPr>
      <w:rFonts w:ascii="Century" w:eastAsia="Century" w:hAnsi="Century" w:cs="Century"/>
    </w:rPr>
  </w:style>
  <w:style w:type="paragraph" w:customStyle="1" w:styleId="jafb">
    <w:name w:val="備考号細分（ja）"/>
    <w:basedOn w:val="a"/>
    <w:rsid w:val="00B27203"/>
    <w:pPr>
      <w:widowControl w:val="0"/>
      <w:ind w:left="1099" w:hanging="439"/>
    </w:pPr>
    <w:rPr>
      <w:rFonts w:ascii="ＭＳ 明朝" w:eastAsia="ＭＳ 明朝" w:hAnsi="ＭＳ 明朝" w:cs="ＭＳ 明朝"/>
    </w:rPr>
  </w:style>
  <w:style w:type="paragraph" w:customStyle="1" w:styleId="enfb">
    <w:name w:val="備考号細分（en）"/>
    <w:basedOn w:val="jafb"/>
    <w:rsid w:val="00B27203"/>
    <w:rPr>
      <w:rFonts w:ascii="Century" w:eastAsia="Century" w:hAnsi="Century" w:cs="Century"/>
    </w:rPr>
  </w:style>
  <w:style w:type="paragraph" w:customStyle="1" w:styleId="jafc">
    <w:name w:val="号細細分（ja）"/>
    <w:basedOn w:val="a"/>
    <w:rsid w:val="00B27203"/>
    <w:pPr>
      <w:widowControl w:val="0"/>
      <w:ind w:left="1099" w:hanging="439"/>
    </w:pPr>
    <w:rPr>
      <w:rFonts w:ascii="ＭＳ 明朝" w:eastAsia="ＭＳ 明朝" w:hAnsi="ＭＳ 明朝" w:cs="ＭＳ 明朝"/>
    </w:rPr>
  </w:style>
  <w:style w:type="paragraph" w:customStyle="1" w:styleId="enfc">
    <w:name w:val="号細細分（en）"/>
    <w:basedOn w:val="jafc"/>
    <w:rsid w:val="00B27203"/>
    <w:rPr>
      <w:rFonts w:ascii="Century" w:eastAsia="Century" w:hAnsi="Century" w:cs="Century"/>
    </w:rPr>
  </w:style>
  <w:style w:type="paragraph" w:customStyle="1" w:styleId="jafd">
    <w:name w:val="号細細分　番号なし（ja）"/>
    <w:basedOn w:val="a"/>
    <w:rsid w:val="00B27203"/>
    <w:pPr>
      <w:widowControl w:val="0"/>
      <w:ind w:left="659"/>
    </w:pPr>
    <w:rPr>
      <w:rFonts w:ascii="ＭＳ 明朝" w:eastAsia="ＭＳ 明朝" w:hAnsi="ＭＳ 明朝" w:cs="ＭＳ 明朝"/>
    </w:rPr>
  </w:style>
  <w:style w:type="paragraph" w:customStyle="1" w:styleId="enfd">
    <w:name w:val="号細細分　番号なし（en）"/>
    <w:basedOn w:val="jafd"/>
    <w:rsid w:val="00B27203"/>
    <w:rPr>
      <w:rFonts w:ascii="Century" w:eastAsia="Century" w:hAnsi="Century" w:cs="Century"/>
    </w:rPr>
  </w:style>
  <w:style w:type="paragraph" w:customStyle="1" w:styleId="jafe">
    <w:name w:val="備考号細細分（ja）"/>
    <w:basedOn w:val="a"/>
    <w:rsid w:val="00B27203"/>
    <w:pPr>
      <w:widowControl w:val="0"/>
      <w:ind w:left="1319" w:hanging="439"/>
    </w:pPr>
    <w:rPr>
      <w:rFonts w:ascii="ＭＳ 明朝" w:eastAsia="ＭＳ 明朝" w:hAnsi="ＭＳ 明朝" w:cs="ＭＳ 明朝"/>
    </w:rPr>
  </w:style>
  <w:style w:type="paragraph" w:customStyle="1" w:styleId="enfe">
    <w:name w:val="備考号細細分（en）"/>
    <w:basedOn w:val="jafe"/>
    <w:rsid w:val="00B27203"/>
    <w:rPr>
      <w:rFonts w:ascii="Century" w:eastAsia="Century" w:hAnsi="Century" w:cs="Century"/>
    </w:rPr>
  </w:style>
  <w:style w:type="paragraph" w:customStyle="1" w:styleId="jaff">
    <w:name w:val="号細細細分（ja）"/>
    <w:basedOn w:val="a"/>
    <w:rsid w:val="00B27203"/>
    <w:pPr>
      <w:widowControl w:val="0"/>
      <w:ind w:left="1319" w:hanging="439"/>
    </w:pPr>
    <w:rPr>
      <w:rFonts w:ascii="ＭＳ 明朝" w:eastAsia="ＭＳ 明朝" w:hAnsi="ＭＳ 明朝" w:cs="ＭＳ 明朝"/>
    </w:rPr>
  </w:style>
  <w:style w:type="paragraph" w:customStyle="1" w:styleId="enff">
    <w:name w:val="号細細細分（en）"/>
    <w:basedOn w:val="jaff"/>
    <w:rsid w:val="00B27203"/>
    <w:rPr>
      <w:rFonts w:ascii="Century" w:eastAsia="Century" w:hAnsi="Century" w:cs="Century"/>
    </w:rPr>
  </w:style>
  <w:style w:type="paragraph" w:customStyle="1" w:styleId="jaff0">
    <w:name w:val="号細細細分　番号なし（ja）"/>
    <w:basedOn w:val="a"/>
    <w:rsid w:val="00B27203"/>
    <w:pPr>
      <w:widowControl w:val="0"/>
      <w:ind w:left="879"/>
    </w:pPr>
    <w:rPr>
      <w:rFonts w:ascii="ＭＳ 明朝" w:eastAsia="ＭＳ 明朝" w:hAnsi="ＭＳ 明朝" w:cs="ＭＳ 明朝"/>
    </w:rPr>
  </w:style>
  <w:style w:type="paragraph" w:customStyle="1" w:styleId="enff0">
    <w:name w:val="号細細細分　番号なし（en）"/>
    <w:basedOn w:val="jaff0"/>
    <w:rsid w:val="00B27203"/>
    <w:rPr>
      <w:rFonts w:ascii="Century" w:eastAsia="Century" w:hAnsi="Century" w:cs="Century"/>
    </w:rPr>
  </w:style>
  <w:style w:type="paragraph" w:customStyle="1" w:styleId="jaff1">
    <w:name w:val="備考号細細細分（ja）"/>
    <w:basedOn w:val="a"/>
    <w:rsid w:val="00B27203"/>
    <w:pPr>
      <w:widowControl w:val="0"/>
      <w:ind w:left="1539" w:hanging="439"/>
    </w:pPr>
    <w:rPr>
      <w:rFonts w:ascii="ＭＳ 明朝" w:eastAsia="ＭＳ 明朝" w:hAnsi="ＭＳ 明朝" w:cs="ＭＳ 明朝"/>
    </w:rPr>
  </w:style>
  <w:style w:type="paragraph" w:customStyle="1" w:styleId="enff1">
    <w:name w:val="備考号細細細分（en）"/>
    <w:basedOn w:val="jaff1"/>
    <w:rsid w:val="00B27203"/>
    <w:rPr>
      <w:rFonts w:ascii="Century" w:eastAsia="Century" w:hAnsi="Century" w:cs="Century"/>
    </w:rPr>
  </w:style>
  <w:style w:type="paragraph" w:customStyle="1" w:styleId="jaff2">
    <w:name w:val="類（ja）"/>
    <w:basedOn w:val="a"/>
    <w:rsid w:val="00B27203"/>
    <w:pPr>
      <w:widowControl w:val="0"/>
      <w:ind w:left="439" w:hanging="219"/>
    </w:pPr>
    <w:rPr>
      <w:rFonts w:ascii="ＭＳ 明朝" w:eastAsia="ＭＳ 明朝" w:hAnsi="ＭＳ 明朝" w:cs="ＭＳ 明朝"/>
    </w:rPr>
  </w:style>
  <w:style w:type="paragraph" w:customStyle="1" w:styleId="enff2">
    <w:name w:val="類（en）"/>
    <w:basedOn w:val="jaff2"/>
    <w:rsid w:val="00B27203"/>
    <w:rPr>
      <w:rFonts w:ascii="Century" w:eastAsia="Century" w:hAnsi="Century" w:cs="Century"/>
    </w:rPr>
  </w:style>
  <w:style w:type="paragraph" w:customStyle="1" w:styleId="jaff3">
    <w:name w:val="公布文（ja）"/>
    <w:basedOn w:val="a"/>
    <w:rsid w:val="00B27203"/>
    <w:pPr>
      <w:widowControl w:val="0"/>
      <w:ind w:firstLine="219"/>
    </w:pPr>
    <w:rPr>
      <w:rFonts w:ascii="ＭＳ 明朝" w:eastAsia="ＭＳ 明朝" w:hAnsi="ＭＳ 明朝" w:cs="ＭＳ 明朝"/>
    </w:rPr>
  </w:style>
  <w:style w:type="paragraph" w:customStyle="1" w:styleId="enff3">
    <w:name w:val="公布文（en）"/>
    <w:basedOn w:val="jaff3"/>
    <w:rsid w:val="00B27203"/>
    <w:rPr>
      <w:rFonts w:ascii="Century" w:eastAsia="Century" w:hAnsi="Century" w:cs="Century"/>
    </w:rPr>
  </w:style>
  <w:style w:type="paragraph" w:customStyle="1" w:styleId="jaen">
    <w:name w:val="表（ja：en）"/>
    <w:basedOn w:val="a"/>
    <w:rsid w:val="00B27203"/>
    <w:pPr>
      <w:widowControl w:val="0"/>
      <w:snapToGrid w:val="0"/>
    </w:pPr>
    <w:rPr>
      <w:rFonts w:ascii="Century" w:eastAsia="ＭＳ 明朝" w:hAnsi="Century"/>
    </w:rPr>
  </w:style>
  <w:style w:type="paragraph" w:customStyle="1" w:styleId="jaff4">
    <w:name w:val="備考（ja）"/>
    <w:basedOn w:val="a"/>
    <w:rsid w:val="00B27203"/>
    <w:pPr>
      <w:widowControl w:val="0"/>
      <w:ind w:left="439" w:hanging="219"/>
    </w:pPr>
    <w:rPr>
      <w:rFonts w:ascii="ＭＳ 明朝" w:eastAsia="ＭＳ 明朝" w:hAnsi="ＭＳ 明朝" w:cs="ＭＳ 明朝"/>
    </w:rPr>
  </w:style>
  <w:style w:type="paragraph" w:customStyle="1" w:styleId="enff4">
    <w:name w:val="備考（en）"/>
    <w:basedOn w:val="jaff4"/>
    <w:rsid w:val="00B27203"/>
    <w:rPr>
      <w:rFonts w:ascii="Century" w:eastAsia="Century" w:hAnsi="Century" w:cs="Century"/>
    </w:rPr>
  </w:style>
  <w:style w:type="paragraph" w:customStyle="1" w:styleId="jaff5">
    <w:name w:val="表タイトル（ja）"/>
    <w:basedOn w:val="a"/>
    <w:rsid w:val="00B27203"/>
    <w:pPr>
      <w:widowControl w:val="0"/>
      <w:ind w:left="219"/>
    </w:pPr>
    <w:rPr>
      <w:rFonts w:ascii="ＭＳ 明朝" w:eastAsia="ＭＳ 明朝" w:hAnsi="ＭＳ 明朝" w:cs="ＭＳ 明朝"/>
    </w:rPr>
  </w:style>
  <w:style w:type="paragraph" w:customStyle="1" w:styleId="enff5">
    <w:name w:val="表タイトル（en）"/>
    <w:basedOn w:val="jaff5"/>
    <w:rsid w:val="00B27203"/>
    <w:rPr>
      <w:rFonts w:ascii="Century" w:eastAsia="Century" w:hAnsi="Century" w:cs="Century"/>
    </w:rPr>
  </w:style>
  <w:style w:type="paragraph" w:customStyle="1" w:styleId="jaff6">
    <w:name w:val="改正規定文（ja）"/>
    <w:basedOn w:val="a"/>
    <w:rsid w:val="00B27203"/>
    <w:pPr>
      <w:widowControl w:val="0"/>
      <w:ind w:left="219" w:firstLine="219"/>
    </w:pPr>
    <w:rPr>
      <w:rFonts w:ascii="ＭＳ 明朝" w:eastAsia="ＭＳ 明朝" w:hAnsi="ＭＳ 明朝" w:cs="ＭＳ 明朝"/>
    </w:rPr>
  </w:style>
  <w:style w:type="paragraph" w:customStyle="1" w:styleId="enff6">
    <w:name w:val="改正規定文（en）"/>
    <w:basedOn w:val="jaff6"/>
    <w:rsid w:val="00B27203"/>
    <w:rPr>
      <w:rFonts w:ascii="Century" w:eastAsia="Century" w:hAnsi="Century" w:cs="Century"/>
    </w:rPr>
  </w:style>
  <w:style w:type="paragraph" w:customStyle="1" w:styleId="jaff7">
    <w:name w:val="付記（ja）"/>
    <w:basedOn w:val="a"/>
    <w:rsid w:val="00B27203"/>
    <w:pPr>
      <w:widowControl w:val="0"/>
      <w:ind w:left="219" w:firstLine="219"/>
    </w:pPr>
    <w:rPr>
      <w:rFonts w:ascii="ＭＳ 明朝" w:eastAsia="ＭＳ 明朝" w:hAnsi="ＭＳ 明朝" w:cs="ＭＳ 明朝"/>
    </w:rPr>
  </w:style>
  <w:style w:type="paragraph" w:customStyle="1" w:styleId="enff7">
    <w:name w:val="付記（en）"/>
    <w:basedOn w:val="jaff7"/>
    <w:rsid w:val="00B27203"/>
    <w:rPr>
      <w:rFonts w:ascii="Century" w:eastAsia="Century" w:hAnsi="Century" w:cs="Century"/>
    </w:rPr>
  </w:style>
  <w:style w:type="paragraph" w:customStyle="1" w:styleId="jaff8">
    <w:name w:val="様式名（ja）"/>
    <w:basedOn w:val="a"/>
    <w:rsid w:val="00B27203"/>
    <w:pPr>
      <w:widowControl w:val="0"/>
      <w:ind w:left="439" w:hanging="219"/>
    </w:pPr>
    <w:rPr>
      <w:rFonts w:ascii="ＭＳ 明朝" w:eastAsia="ＭＳ 明朝" w:hAnsi="ＭＳ 明朝" w:cs="ＭＳ 明朝"/>
    </w:rPr>
  </w:style>
  <w:style w:type="paragraph" w:customStyle="1" w:styleId="enff8">
    <w:name w:val="様式名（en）"/>
    <w:basedOn w:val="jaff8"/>
    <w:rsid w:val="00B27203"/>
    <w:rPr>
      <w:rFonts w:ascii="Century" w:eastAsia="Century" w:hAnsi="Century" w:cs="Century"/>
    </w:rPr>
  </w:style>
  <w:style w:type="paragraph" w:customStyle="1" w:styleId="jaff9">
    <w:name w:val="様式項目（ja）"/>
    <w:basedOn w:val="a"/>
    <w:rsid w:val="00B27203"/>
    <w:pPr>
      <w:widowControl w:val="0"/>
      <w:ind w:left="221" w:firstLine="221"/>
    </w:pPr>
    <w:rPr>
      <w:rFonts w:ascii="ＭＳ 明朝" w:eastAsia="ＭＳ 明朝" w:hAnsi="ＭＳ 明朝" w:cs="ＭＳ 明朝"/>
    </w:rPr>
  </w:style>
  <w:style w:type="paragraph" w:customStyle="1" w:styleId="enff9">
    <w:name w:val="様式項目（en）"/>
    <w:basedOn w:val="jaff9"/>
    <w:rsid w:val="00B27203"/>
    <w:rPr>
      <w:rFonts w:ascii="Century" w:eastAsia="Century" w:hAnsi="Century" w:cs="Century"/>
    </w:rPr>
  </w:style>
  <w:style w:type="table" w:customStyle="1" w:styleId="1">
    <w:name w:val="表1"/>
    <w:rsid w:val="00B27203"/>
    <w:tblPr>
      <w:tblInd w:w="340" w:type="dxa"/>
      <w:tblCellMar>
        <w:top w:w="0" w:type="dxa"/>
        <w:left w:w="0" w:type="dxa"/>
        <w:bottom w:w="0" w:type="dxa"/>
        <w:right w:w="0" w:type="dxa"/>
      </w:tblCellMar>
    </w:tblPr>
  </w:style>
  <w:style w:type="numbering" w:customStyle="1" w:styleId="WW8Num1">
    <w:name w:val="WW8Num1"/>
    <w:rsid w:val="00B27203"/>
    <w:pPr>
      <w:numPr>
        <w:numId w:val="2"/>
      </w:numPr>
    </w:pPr>
  </w:style>
  <w:style w:type="numbering" w:customStyle="1" w:styleId="WW8Num2">
    <w:name w:val="WW8Num2"/>
    <w:rsid w:val="00B27203"/>
    <w:pPr>
      <w:numPr>
        <w:numId w:val="3"/>
      </w:numPr>
    </w:pPr>
  </w:style>
  <w:style w:type="numbering" w:customStyle="1" w:styleId="WW8Num3">
    <w:name w:val="WW8Num3"/>
    <w:rsid w:val="00B27203"/>
    <w:pPr>
      <w:numPr>
        <w:numId w:val="4"/>
      </w:numPr>
    </w:pPr>
  </w:style>
  <w:style w:type="numbering" w:customStyle="1" w:styleId="WW8Num4">
    <w:name w:val="WW8Num4"/>
    <w:rsid w:val="00B27203"/>
    <w:pPr>
      <w:numPr>
        <w:numId w:val="5"/>
      </w:numPr>
    </w:pPr>
  </w:style>
  <w:style w:type="numbering" w:customStyle="1" w:styleId="WW8Num5">
    <w:name w:val="WW8Num5"/>
    <w:rsid w:val="00B27203"/>
    <w:pPr>
      <w:numPr>
        <w:numId w:val="6"/>
      </w:numPr>
    </w:pPr>
  </w:style>
  <w:style w:type="numbering" w:customStyle="1" w:styleId="WW8Num6">
    <w:name w:val="WW8Num6"/>
    <w:rsid w:val="00B27203"/>
    <w:pPr>
      <w:numPr>
        <w:numId w:val="7"/>
      </w:numPr>
    </w:pPr>
  </w:style>
  <w:style w:type="numbering" w:customStyle="1" w:styleId="WW8Num7">
    <w:name w:val="WW8Num7"/>
    <w:rsid w:val="00B27203"/>
    <w:pPr>
      <w:numPr>
        <w:numId w:val="8"/>
      </w:numPr>
    </w:pPr>
  </w:style>
  <w:style w:type="numbering" w:customStyle="1" w:styleId="WW8Num8">
    <w:name w:val="WW8Num8"/>
    <w:rsid w:val="00B27203"/>
    <w:pPr>
      <w:numPr>
        <w:numId w:val="9"/>
      </w:numPr>
    </w:pPr>
  </w:style>
  <w:style w:type="numbering" w:customStyle="1" w:styleId="WW8Num9">
    <w:name w:val="WW8Num9"/>
    <w:rsid w:val="00B27203"/>
    <w:pPr>
      <w:numPr>
        <w:numId w:val="10"/>
      </w:numPr>
    </w:pPr>
  </w:style>
  <w:style w:type="numbering" w:customStyle="1" w:styleId="WW8Num10">
    <w:name w:val="WW8Num10"/>
    <w:rsid w:val="00B27203"/>
    <w:pPr>
      <w:numPr>
        <w:numId w:val="11"/>
      </w:numPr>
    </w:pPr>
  </w:style>
  <w:style w:type="numbering" w:customStyle="1" w:styleId="WW8Num11">
    <w:name w:val="WW8Num11"/>
    <w:rsid w:val="00B27203"/>
    <w:pPr>
      <w:numPr>
        <w:numId w:val="12"/>
      </w:numPr>
    </w:pPr>
  </w:style>
  <w:style w:type="numbering" w:customStyle="1" w:styleId="WW8Num12">
    <w:name w:val="WW8Num12"/>
    <w:rsid w:val="00B2720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2025-10-27T23:39:00Z</dcterms:created>
  <dcterms:modified xsi:type="dcterms:W3CDTF">2025-10-27T23:39:00Z</dcterms:modified>
</cp:coreProperties>
</file>