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55" w:rsidRDefault="00463C58">
      <w:pPr>
        <w:pStyle w:val="ja"/>
      </w:pPr>
      <w:r>
        <w:t>所得税法（非居住者、外国法人関連部分）</w:t>
      </w:r>
    </w:p>
    <w:p w:rsidR="00D17555" w:rsidRDefault="00D17555"/>
    <w:p w:rsidR="00D17555" w:rsidRDefault="00463C58">
      <w:pPr>
        <w:pStyle w:val="jaf"/>
      </w:pPr>
      <w:r>
        <w:t>（昭和四十年三月三十一日法律第三十三号）</w:t>
      </w:r>
    </w:p>
    <w:p w:rsidR="00D17555" w:rsidRDefault="00D17555"/>
    <w:p w:rsidR="00D17555" w:rsidRDefault="00463C58">
      <w:pPr>
        <w:pStyle w:val="jaf1"/>
      </w:pPr>
      <w:r>
        <w:t>第一編　総則</w:t>
      </w:r>
    </w:p>
    <w:p w:rsidR="00D17555" w:rsidRDefault="00463C58">
      <w:pPr>
        <w:pStyle w:val="ja3"/>
      </w:pPr>
      <w:r>
        <w:t>第二章　納税義務</w:t>
      </w:r>
    </w:p>
    <w:p w:rsidR="00D17555" w:rsidRDefault="00D17555"/>
    <w:p w:rsidR="00D17555" w:rsidRDefault="00463C58">
      <w:pPr>
        <w:pStyle w:val="jaa"/>
      </w:pPr>
      <w:r>
        <w:t>（納税義務者）</w:t>
      </w:r>
    </w:p>
    <w:p w:rsidR="00D17555" w:rsidRDefault="00463C58">
      <w:pPr>
        <w:pStyle w:val="jaf3"/>
      </w:pPr>
      <w:r>
        <w:t>第五条　居住者は、この法律により、所得税を納める義務がある。</w:t>
      </w:r>
    </w:p>
    <w:p w:rsidR="00D17555" w:rsidRDefault="00463C58">
      <w:pPr>
        <w:pStyle w:val="jaf4"/>
      </w:pPr>
      <w:r>
        <w:t>２　非居住者は、次に掲げる場合には、この法律により、所得税を納める義務がある。</w:t>
      </w:r>
    </w:p>
    <w:p w:rsidR="00D17555" w:rsidRDefault="00463C58">
      <w:pPr>
        <w:pStyle w:val="jaf6"/>
      </w:pPr>
      <w:r>
        <w:t>一　第百六十一条（国内源泉所得）に規定する国内源泉所得（次号において「国内源泉所得」という。）を有するとき（同号に掲げる場合を除く。）。</w:t>
      </w:r>
    </w:p>
    <w:p w:rsidR="00D17555" w:rsidRDefault="00463C58">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の支払を国内において受けるとき又は当該信託財産に帰せられる外国法人課税所得（国内源泉所得のうち第百六十一条第一号の二から第七号まで又は第九号から</w:t>
      </w:r>
      <w:r>
        <w:t>第十二号までに掲げるものをいう。以下この条において同じ。）の支払を受けるとき。</w:t>
      </w:r>
    </w:p>
    <w:p w:rsidR="00D17555" w:rsidRDefault="00463C58">
      <w:pPr>
        <w:pStyle w:val="jaf4"/>
      </w:pPr>
      <w:r>
        <w:t>３　内国法人は、国内において内国法人課税所得の支払を受けるとき又はその引受けを行う法人課税信託の信託財産に帰せられる外国法人課税所得の支払を受けるときは、この法律により、所得税を納める義務がある。</w:t>
      </w:r>
    </w:p>
    <w:p w:rsidR="00D17555" w:rsidRDefault="00463C58">
      <w:pPr>
        <w:pStyle w:val="jaf4"/>
      </w:pPr>
      <w:r>
        <w:t>４　外国法人は、外国法人課税所得の支払を受けるとき又はその引受けを行う法人課税信託の信託財産に帰せられる内国法人課税所得の支払を国内において受けるときは、この法律により、所得税を納める義務がある。</w:t>
      </w:r>
    </w:p>
    <w:p w:rsidR="00D17555" w:rsidRDefault="00D17555"/>
    <w:p w:rsidR="00D17555" w:rsidRDefault="00463C58">
      <w:pPr>
        <w:pStyle w:val="ja3"/>
      </w:pPr>
      <w:r>
        <w:t>第三章　課税所得の範囲</w:t>
      </w:r>
    </w:p>
    <w:p w:rsidR="00D17555" w:rsidRDefault="00D17555"/>
    <w:p w:rsidR="00D17555" w:rsidRDefault="00463C58">
      <w:pPr>
        <w:pStyle w:val="jaa"/>
      </w:pPr>
      <w:r>
        <w:t>（課税所</w:t>
      </w:r>
      <w:r>
        <w:t>得の範囲）</w:t>
      </w:r>
    </w:p>
    <w:p w:rsidR="00D17555" w:rsidRDefault="00463C58">
      <w:pPr>
        <w:pStyle w:val="jaf3"/>
      </w:pPr>
      <w:r>
        <w:t>第七条　所得税は、次の各号に掲げる者の区分に応じ当該各号に定める所得について課する。</w:t>
      </w:r>
    </w:p>
    <w:p w:rsidR="00D17555" w:rsidRDefault="00463C58">
      <w:pPr>
        <w:pStyle w:val="jaf6"/>
      </w:pPr>
      <w:r>
        <w:t>一　非永住者以外の居住者　すべての所得</w:t>
      </w:r>
    </w:p>
    <w:p w:rsidR="00D17555" w:rsidRDefault="00463C58">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D17555" w:rsidRDefault="00463C58">
      <w:pPr>
        <w:pStyle w:val="jaf6"/>
      </w:pPr>
      <w:r>
        <w:t>三　非居住者　第百六十四条第一項各号（非居住者に対する課税の方法）に掲げる非居住者の区分に応じそれぞれ同項各号及び同条第二項各号に掲げる国内源泉所得</w:t>
      </w:r>
    </w:p>
    <w:p w:rsidR="00D17555" w:rsidRDefault="00463C58">
      <w:pPr>
        <w:pStyle w:val="jaf6"/>
      </w:pPr>
      <w:r>
        <w:t>四　内国法人　国内において支払われる第百七十</w:t>
      </w:r>
      <w:r>
        <w:t>四条各号（内国法人に係る所得税の課税標準）に掲げる利子等、配当等、給付補てん金、利息、利益、差益、利益の分配及び賞金</w:t>
      </w:r>
    </w:p>
    <w:p w:rsidR="00D17555" w:rsidRDefault="00463C58">
      <w:pPr>
        <w:pStyle w:val="jaf6"/>
      </w:pPr>
      <w:r>
        <w:lastRenderedPageBreak/>
        <w:t>五　外国法人　国内源泉所得のうち第百六十一条第一号の二から第七号まで及び第九号から第十二号までに掲げるもの（法人税法第百四十一条第四号（国内に恒久的施設を有しない外国法人）に掲げる外国法人については、第百六十一条第一号の二に掲げるものを除く。）</w:t>
      </w:r>
    </w:p>
    <w:p w:rsidR="00D17555" w:rsidRDefault="00463C58">
      <w:pPr>
        <w:pStyle w:val="jaf4"/>
      </w:pPr>
      <w:r>
        <w:t>２　前項第二号に掲げる所得の範囲に関し必要な事項は、政令で定める。</w:t>
      </w:r>
    </w:p>
    <w:p w:rsidR="00D17555" w:rsidRDefault="00D17555"/>
    <w:p w:rsidR="00D17555" w:rsidRDefault="00463C58">
      <w:pPr>
        <w:pStyle w:val="jaa"/>
      </w:pPr>
      <w:r>
        <w:t>（納税義務者の区分が異動した場合の課税所得の範囲）</w:t>
      </w:r>
    </w:p>
    <w:p w:rsidR="00D17555" w:rsidRDefault="00463C58">
      <w:pPr>
        <w:pStyle w:val="jaf3"/>
      </w:pPr>
      <w:r>
        <w:t>第八条　その年において、個人が非永住者以外の居住者、非永住者又は第百六十四条第一項各号（非居住者に対する課税の方法）に掲げる非居住者の区分のうち二以上のものに該当した場合には、その者がその年において非永住者以外の居住者、非永住者又は当該各号に掲げる非居住者であつた期間に応じ、それぞれの期間内に生じた前条第一項第一号から第三号までに掲げる所得に対し、所得税を課する。</w:t>
      </w:r>
    </w:p>
    <w:p w:rsidR="00D17555" w:rsidRDefault="00D17555"/>
    <w:p w:rsidR="00D17555" w:rsidRDefault="00463C58">
      <w:pPr>
        <w:pStyle w:val="jaf1"/>
      </w:pPr>
      <w:r>
        <w:t>第三編　非居住者及び法人の納税義務</w:t>
      </w:r>
    </w:p>
    <w:p w:rsidR="00D17555" w:rsidRDefault="00463C58">
      <w:pPr>
        <w:pStyle w:val="ja3"/>
      </w:pPr>
      <w:r>
        <w:t>第一章　国内源泉所得</w:t>
      </w:r>
    </w:p>
    <w:p w:rsidR="00D17555" w:rsidRDefault="00D17555"/>
    <w:p w:rsidR="00D17555" w:rsidRDefault="00463C58">
      <w:pPr>
        <w:pStyle w:val="jaa"/>
      </w:pPr>
      <w:r>
        <w:t>（国内源泉所得）</w:t>
      </w:r>
    </w:p>
    <w:p w:rsidR="00D17555" w:rsidRDefault="00463C58">
      <w:pPr>
        <w:pStyle w:val="jaf3"/>
      </w:pPr>
      <w:r>
        <w:t>第百六十一条　この編において「国内源泉所得」とは、次に掲げるもの</w:t>
      </w:r>
      <w:r>
        <w:t>をいう。</w:t>
      </w:r>
    </w:p>
    <w:p w:rsidR="00D17555" w:rsidRDefault="00463C58">
      <w:pPr>
        <w:pStyle w:val="jaf6"/>
      </w:pPr>
      <w:r>
        <w:t>一　国内において行う事業から生じ、又は国内にある資産の運用、保有若しくは譲渡により生ずる所得（次号から第十二号までに該当するものを除く。）その他その源泉が国内にある所得として政令で定めるもの</w:t>
      </w:r>
    </w:p>
    <w:p w:rsidR="00D17555" w:rsidRDefault="00463C58">
      <w:pPr>
        <w:pStyle w:val="jaf6"/>
      </w:pPr>
      <w:r>
        <w:t>一の二　国内において民法第六百六十七条第一項（組合契約）に規定する組合契約（これに類するものとして政令で定める契約を含む。以下この号において同じ。）に基づいて行う事業から生ずる利益で当該組合契約に基づいて配分を受けるもののうち政令で定めるもの</w:t>
      </w:r>
    </w:p>
    <w:p w:rsidR="00D17555" w:rsidRDefault="00463C58">
      <w:pPr>
        <w:pStyle w:val="jaf6"/>
      </w:pPr>
      <w:r>
        <w:t>一の三　国内にある土地若しくは土地の上に存する権利又は建物及びその</w:t>
      </w:r>
      <w:r>
        <w:t>附属設備若しくは構築物の譲渡による対価（政令で定めるものを除く。）</w:t>
      </w:r>
    </w:p>
    <w:p w:rsidR="00D17555" w:rsidRDefault="00463C58">
      <w:pPr>
        <w:pStyle w:val="jaf6"/>
      </w:pPr>
      <w:r>
        <w:t>二　国内において人的役務の提供を主たる内容とする事業で政令で定めるものを行う者が受ける当該人的役務の提供に係る対価</w:t>
      </w:r>
    </w:p>
    <w:p w:rsidR="00D17555" w:rsidRDefault="00463C58">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鉱業法（昭和二十五年法律第二百八十九号）の規定による租鉱権の設定又は居住者若しくは内国法人</w:t>
      </w:r>
      <w:r>
        <w:t>に対する船舶若しくは航空機の貸付けによる対価</w:t>
      </w:r>
    </w:p>
    <w:p w:rsidR="00D17555" w:rsidRDefault="00463C58">
      <w:pPr>
        <w:pStyle w:val="jaf6"/>
      </w:pPr>
      <w:r>
        <w:t>四　第二十三条第一項（利子所得）に規定する利子等のうち次に掲げるもの</w:t>
      </w:r>
    </w:p>
    <w:p w:rsidR="00D17555" w:rsidRDefault="00463C58">
      <w:pPr>
        <w:pStyle w:val="jaf9"/>
      </w:pPr>
      <w:r>
        <w:t>イ　公社債のうち日本国の国債若しくは地方債又は内国法人の発行する債券の利子</w:t>
      </w:r>
    </w:p>
    <w:p w:rsidR="00D17555" w:rsidRDefault="00463C58">
      <w:pPr>
        <w:pStyle w:val="jaf9"/>
      </w:pPr>
      <w:r>
        <w:t>ロ　国内にある営業所、事務所その他これらに準ずるもの（以下この編において「営業所」という。）に預け入れられた預貯金の利子</w:t>
      </w:r>
    </w:p>
    <w:p w:rsidR="00D17555" w:rsidRDefault="00463C58">
      <w:pPr>
        <w:pStyle w:val="jaf9"/>
      </w:pPr>
      <w:r>
        <w:t>ハ　国内にある営業所に信託された合同運用信託、公社債投資信託又は公募公社債等運用投資信託の収益の分配</w:t>
      </w:r>
    </w:p>
    <w:p w:rsidR="00D17555" w:rsidRDefault="00463C58">
      <w:pPr>
        <w:pStyle w:val="jaf6"/>
      </w:pPr>
      <w:r>
        <w:t>五　第二十四条第一項（配当所得）に規定する配当等のうち次に掲げるもの</w:t>
      </w:r>
    </w:p>
    <w:p w:rsidR="00D17555" w:rsidRDefault="00463C58">
      <w:pPr>
        <w:pStyle w:val="jaf9"/>
      </w:pPr>
      <w:r>
        <w:lastRenderedPageBreak/>
        <w:t>イ　内国法人から受ける第二</w:t>
      </w:r>
      <w:r>
        <w:t>十四条第一項に規定する剰余金の配当、利益の配当、剰余金の分配又は基金利息</w:t>
      </w:r>
    </w:p>
    <w:p w:rsidR="00D17555" w:rsidRDefault="00463C58">
      <w:pPr>
        <w:pStyle w:val="jaf9"/>
      </w:pPr>
      <w:r>
        <w:t>ロ　国内にある営業所に信託された投資信託（公社債投資信託及び公募公社債等運用投資信託を除く。）又は特定受益証券発行信託の収益の分配</w:t>
      </w:r>
    </w:p>
    <w:p w:rsidR="00D17555" w:rsidRDefault="00463C58">
      <w:pPr>
        <w:pStyle w:val="jaf6"/>
      </w:pPr>
      <w:r>
        <w:t>六　国内において業務を行う者に対する貸付金（これに準ずるものを含む。）で当該業務に係るものの利子（政令で定める利子を除く。）</w:t>
      </w:r>
    </w:p>
    <w:p w:rsidR="00D17555" w:rsidRDefault="00463C58">
      <w:pPr>
        <w:pStyle w:val="jaf6"/>
      </w:pPr>
      <w:r>
        <w:t>七　国内において業務を行う者から受ける次に掲げる使用料又は対価で当該業務に係るもの</w:t>
      </w:r>
    </w:p>
    <w:p w:rsidR="00D17555" w:rsidRDefault="00463C58">
      <w:pPr>
        <w:pStyle w:val="jaf9"/>
      </w:pPr>
      <w:r>
        <w:t>イ　工業所有権その他の技術に関する権利、特別の技術による生産方式若しくはこれらに準ずるものの使用</w:t>
      </w:r>
      <w:r>
        <w:t>料又はその譲渡による対価</w:t>
      </w:r>
    </w:p>
    <w:p w:rsidR="00D17555" w:rsidRDefault="00463C58">
      <w:pPr>
        <w:pStyle w:val="jaf9"/>
      </w:pPr>
      <w:r>
        <w:t>ロ　著作権（出版権及び著作隣接権その他これに準ずるものを含む。）の使用料又はその譲渡による対価</w:t>
      </w:r>
    </w:p>
    <w:p w:rsidR="00D17555" w:rsidRDefault="00463C58">
      <w:pPr>
        <w:pStyle w:val="jaf9"/>
      </w:pPr>
      <w:r>
        <w:t>ハ　機械、装置その他政令で定める用具の使用料</w:t>
      </w:r>
    </w:p>
    <w:p w:rsidR="00D17555" w:rsidRDefault="00463C58">
      <w:pPr>
        <w:pStyle w:val="jaf6"/>
      </w:pPr>
      <w:r>
        <w:t>八　次に掲げる給与、報酬又は年金</w:t>
      </w:r>
    </w:p>
    <w:p w:rsidR="00D17555" w:rsidRDefault="00463C58">
      <w:pPr>
        <w:pStyle w:val="jaf9"/>
      </w:pPr>
      <w:r>
        <w:t>イ　俸給、給料、賃金、歳費、賞与又はこれらの性質を有する給与その他人的役務の提供に対する報酬のうち、国内において行う勤務その他の人的役務の提供（内国法人の役員として国外において行う勤務その他の政令で定める人的役務の提供を含む。）に基因するもの</w:t>
      </w:r>
    </w:p>
    <w:p w:rsidR="00D17555" w:rsidRDefault="00463C58">
      <w:pPr>
        <w:pStyle w:val="jaf9"/>
      </w:pPr>
      <w:r>
        <w:t>ロ　第三十五条第三項（公的年金等の定義）に規定する公的年金等（政令</w:t>
      </w:r>
      <w:r>
        <w:t>で定めるものを除く。）</w:t>
      </w:r>
    </w:p>
    <w:p w:rsidR="00D17555" w:rsidRDefault="00463C58">
      <w:pPr>
        <w:pStyle w:val="jaf9"/>
      </w:pPr>
      <w:r>
        <w:t>ハ　第三十条第一項（退職所得）に規定する退職手当等のうちその支払を受ける者が居住者であつた期間に行つた勤務その他の人的役務の提供（内国法人の役員として非居住者であつた期間に行つた勤務その他の政令で定める人的役務の提供を含む。）に基因するもの</w:t>
      </w:r>
    </w:p>
    <w:p w:rsidR="00D17555" w:rsidRDefault="00463C58">
      <w:pPr>
        <w:pStyle w:val="jaf6"/>
      </w:pPr>
      <w:r>
        <w:t>九　国内において行う事業の広告宣伝のための賞金として政令で定めるもの</w:t>
      </w:r>
    </w:p>
    <w:p w:rsidR="00D17555" w:rsidRDefault="00463C58">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D17555" w:rsidRDefault="00463C58">
      <w:pPr>
        <w:pStyle w:val="jaf6"/>
      </w:pPr>
      <w:r>
        <w:t>十一　次に掲げる給付補てん金、利息、利益又は差益</w:t>
      </w:r>
    </w:p>
    <w:p w:rsidR="00D17555" w:rsidRDefault="00463C58">
      <w:pPr>
        <w:pStyle w:val="jaf9"/>
      </w:pPr>
      <w:r>
        <w:t>イ　第百七十四条第三号（内国法人に係る所得税の課税標準）に掲げる給付補てん金のうち国内にある営業所が受け入れた定期積金に係るもの</w:t>
      </w:r>
    </w:p>
    <w:p w:rsidR="00D17555" w:rsidRDefault="00463C58">
      <w:pPr>
        <w:pStyle w:val="jaf9"/>
      </w:pPr>
      <w:r>
        <w:t>ロ　第百七十四条第四号に掲げる給付補てん金のうち国内にある営業所が受け入れた同号に規定する掛金に係るもの</w:t>
      </w:r>
    </w:p>
    <w:p w:rsidR="00D17555" w:rsidRDefault="00463C58">
      <w:pPr>
        <w:pStyle w:val="jaf9"/>
      </w:pPr>
      <w:r>
        <w:t>ハ　第百七十四条第五号に掲げる利息のうち国内にある営業所を通じて締結された同号に規定する契約に係るもの</w:t>
      </w:r>
    </w:p>
    <w:p w:rsidR="00D17555" w:rsidRDefault="00463C58">
      <w:pPr>
        <w:pStyle w:val="jaf9"/>
      </w:pPr>
      <w:r>
        <w:t>ニ　第百七十四条第六号に掲げる利益のうち国内にある営業所を通じて締結された同号に規定する契約に係るもの</w:t>
      </w:r>
    </w:p>
    <w:p w:rsidR="00D17555" w:rsidRDefault="00463C58">
      <w:pPr>
        <w:pStyle w:val="jaf9"/>
      </w:pPr>
      <w:r>
        <w:t>ホ　第百七十四条第七号に掲げる差益のうち国内にある営業所が受け入れた</w:t>
      </w:r>
      <w:r>
        <w:t>預貯金に係るもの</w:t>
      </w:r>
    </w:p>
    <w:p w:rsidR="00D17555" w:rsidRDefault="00463C58">
      <w:pPr>
        <w:pStyle w:val="jaf9"/>
      </w:pPr>
      <w:r>
        <w:t>ヘ　第百七十四条第八号に掲げる差益のうち国内にある営業所又は国内において契約の締結の代理をする者を通じて締結された同号に規定する契約に係るもの</w:t>
      </w:r>
    </w:p>
    <w:p w:rsidR="00D17555" w:rsidRDefault="00463C58">
      <w:pPr>
        <w:pStyle w:val="jaf6"/>
      </w:pPr>
      <w:r>
        <w:t>十二　国内において事業を行う者に対する出資につき、匿名組合契約（これに準ずる契約として政令で定めるものを含む。）に基づいて受ける利益の分配</w:t>
      </w:r>
    </w:p>
    <w:p w:rsidR="00D17555" w:rsidRDefault="00D17555"/>
    <w:p w:rsidR="00D17555" w:rsidRDefault="00463C58">
      <w:pPr>
        <w:pStyle w:val="jaa"/>
      </w:pPr>
      <w:r>
        <w:t>（租税条約に異なる定めがある場合の国内源泉所得）</w:t>
      </w:r>
    </w:p>
    <w:p w:rsidR="00D17555" w:rsidRDefault="00463C58">
      <w:pPr>
        <w:pStyle w:val="jaf3"/>
      </w:pPr>
      <w:r>
        <w:t>第百六十二条　日本国が締結した所得に対する租税に関する二重課税防止のための条約において国内源泉所得につき前条の規定と異なる定めがある場合には、その条約の適用を</w:t>
      </w:r>
      <w:r>
        <w:t>受ける者については、同条の規定にかかわらず、国内源泉所得は、その異なる定めがある限りにおいて、その条約に定める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D17555" w:rsidRDefault="00D17555"/>
    <w:p w:rsidR="00D17555" w:rsidRDefault="00463C58">
      <w:pPr>
        <w:pStyle w:val="jaa"/>
      </w:pPr>
      <w:r>
        <w:t>（国内源泉所得の範囲の細目）</w:t>
      </w:r>
    </w:p>
    <w:p w:rsidR="00D17555" w:rsidRDefault="00463C58">
      <w:pPr>
        <w:pStyle w:val="jaf3"/>
      </w:pPr>
      <w:r>
        <w:t>第百六十三条　前二条に定めるもののほか、国内源泉所得の範囲に関し必要な事項は、政令で定め</w:t>
      </w:r>
      <w:r>
        <w:t>る。</w:t>
      </w:r>
    </w:p>
    <w:p w:rsidR="00D17555" w:rsidRDefault="00D17555"/>
    <w:p w:rsidR="00D17555" w:rsidRDefault="00463C58">
      <w:pPr>
        <w:pStyle w:val="ja3"/>
      </w:pPr>
      <w:r>
        <w:t>第二章　非居住者の納税義務</w:t>
      </w:r>
    </w:p>
    <w:p w:rsidR="00D17555" w:rsidRDefault="00463C58">
      <w:pPr>
        <w:pStyle w:val="jaf2"/>
      </w:pPr>
      <w:r>
        <w:t>第一節　通則</w:t>
      </w:r>
    </w:p>
    <w:p w:rsidR="00D17555" w:rsidRDefault="00D17555"/>
    <w:p w:rsidR="00D17555" w:rsidRDefault="00463C58">
      <w:pPr>
        <w:pStyle w:val="jaa"/>
      </w:pPr>
      <w:r>
        <w:t>（非居住者に対する課税の方法）</w:t>
      </w:r>
    </w:p>
    <w:p w:rsidR="00D17555" w:rsidRDefault="00463C58">
      <w:pPr>
        <w:pStyle w:val="jaf3"/>
      </w:pPr>
      <w:r>
        <w:t>第百六十四条　非居住者に対して課する所得税の額は、次の各号に掲げる非居住者の区分に応じ当該各号に掲げる国内源泉所得について、次節第一款（非居住者に対する所得税の総合課税）の規定を適用して計算したところによる。</w:t>
      </w:r>
    </w:p>
    <w:p w:rsidR="00D17555" w:rsidRDefault="00463C58">
      <w:pPr>
        <w:pStyle w:val="jaf6"/>
      </w:pPr>
      <w:r>
        <w:t>一　国内に支店、工場その他事業を行う一定の場所で政令で定めるものを有する非居住者　すべての国内源泉所得</w:t>
      </w:r>
    </w:p>
    <w:p w:rsidR="00D17555" w:rsidRDefault="00463C58">
      <w:pPr>
        <w:pStyle w:val="jaf6"/>
      </w:pPr>
      <w:r>
        <w:t>二　国内において建設、据付け、組立てその他の作業又はその作業の指揮監督の役務の提供（以下この条において「建設作業等</w:t>
      </w:r>
      <w:r>
        <w:t>」という。）を一年を超えて行う非居住者（前号に該当する者を除く。）　次に掲げる国内源泉所得</w:t>
      </w:r>
    </w:p>
    <w:p w:rsidR="00D17555" w:rsidRDefault="00463C58">
      <w:pPr>
        <w:pStyle w:val="jaf9"/>
      </w:pPr>
      <w:r>
        <w:t>イ　第百六十一条第一号から第三号まで（国内源泉所得）に掲げる国内源泉所得</w:t>
      </w:r>
    </w:p>
    <w:p w:rsidR="00D17555" w:rsidRDefault="00463C58">
      <w:pPr>
        <w:pStyle w:val="jaf9"/>
      </w:pPr>
      <w:r>
        <w:t>ロ　第百六十一条第四号から第十二号までに掲げる国内源泉所得のうち、その非居住者が国内において行う建設作業等に係る事業に帰せられるもの</w:t>
      </w:r>
    </w:p>
    <w:p w:rsidR="00D17555" w:rsidRDefault="00463C58">
      <w:pPr>
        <w:pStyle w:val="jaf6"/>
      </w:pPr>
      <w:r>
        <w:t>三　国内に自己のために契約を締結する権限のある者その他これに準ずる者で政令で定めるもの（以下この条において「代理人等」という。）を置く非居住者（第一号に該当する者を除く。）　次に掲げる国内源泉所得</w:t>
      </w:r>
    </w:p>
    <w:p w:rsidR="00D17555" w:rsidRDefault="00463C58">
      <w:pPr>
        <w:pStyle w:val="jaf9"/>
      </w:pPr>
      <w:r>
        <w:t>イ　第百六十一</w:t>
      </w:r>
      <w:r>
        <w:t>条第一号から第三号までに掲げる国内源泉所得</w:t>
      </w:r>
    </w:p>
    <w:p w:rsidR="00D17555" w:rsidRDefault="00463C58">
      <w:pPr>
        <w:pStyle w:val="jaf9"/>
      </w:pPr>
      <w:r>
        <w:t>ロ　第百六十一条第四号から第十二号までに掲げる国内源泉所得のうち、その非居住者が国内においてその代理人等を通じて行う事業に帰せられるもの</w:t>
      </w:r>
    </w:p>
    <w:p w:rsidR="00D17555" w:rsidRDefault="00463C58">
      <w:pPr>
        <w:pStyle w:val="jaf6"/>
      </w:pPr>
      <w:r>
        <w:t>四　前三号に掲げる非居住者以外の非居住者　次に掲げる国内源泉所得</w:t>
      </w:r>
    </w:p>
    <w:p w:rsidR="00D17555" w:rsidRDefault="00463C58">
      <w:pPr>
        <w:pStyle w:val="jaf9"/>
      </w:pPr>
      <w:r>
        <w:t>イ　第百六十一条第一号及び第一号の三に掲げる国内源泉所得のうち、国内にある資産の運用若しくは保有又は国内にある不動産の譲渡により生ずるものその他政令で定めるもの</w:t>
      </w:r>
    </w:p>
    <w:p w:rsidR="00D17555" w:rsidRDefault="00463C58">
      <w:pPr>
        <w:pStyle w:val="jaf9"/>
      </w:pPr>
      <w:r>
        <w:t>ロ　第百六十一条第二号及び第三号に掲げる国内源泉所得</w:t>
      </w:r>
    </w:p>
    <w:p w:rsidR="00D17555" w:rsidRDefault="00463C58">
      <w:pPr>
        <w:pStyle w:val="jaf4"/>
      </w:pPr>
      <w:r>
        <w:t>２　次の各号に掲げる非居住者が当該各号に掲げる国内源泉所得を有する場合には、当該非居住者に対して課する所得税の額は、前項の規定によるもののほか、当該各号に掲げる国内源泉所得について第三節（非居住者に対する所得税の分離課税）の規定を適用して計算したところによる。</w:t>
      </w:r>
    </w:p>
    <w:p w:rsidR="00D17555" w:rsidRDefault="00463C58">
      <w:pPr>
        <w:pStyle w:val="jaf6"/>
      </w:pPr>
      <w:r>
        <w:t>一　前項第二号又は第三号に掲げる非</w:t>
      </w:r>
      <w:r>
        <w:t>居住者　第百六十一条第四号から第十二号までに掲げる国内源泉所得のうち、前項第二号に規定する建設作業等に係る事業又は同項第三号に規定する代理人等を通じて行う事業に帰せられるもの以外のもの</w:t>
      </w:r>
    </w:p>
    <w:p w:rsidR="00D17555" w:rsidRDefault="00463C58">
      <w:pPr>
        <w:pStyle w:val="jaf6"/>
      </w:pPr>
      <w:r>
        <w:t>二　前項第四号に掲げる非居住者　第百六十一条第四号から第十二号までに掲げる国内源泉所得</w:t>
      </w:r>
    </w:p>
    <w:p w:rsidR="00D17555" w:rsidRDefault="00D17555"/>
    <w:p w:rsidR="00D17555" w:rsidRDefault="00463C58">
      <w:pPr>
        <w:pStyle w:val="jaf2"/>
      </w:pPr>
      <w:r>
        <w:t>第二節　非居住者に対する所得税の総合課税</w:t>
      </w:r>
    </w:p>
    <w:p w:rsidR="00D17555" w:rsidRDefault="00463C58">
      <w:pPr>
        <w:pStyle w:val="ja0"/>
      </w:pPr>
      <w:r>
        <w:t>第一款　課税標準、税額等の計算</w:t>
      </w:r>
    </w:p>
    <w:p w:rsidR="00D17555" w:rsidRDefault="00D17555"/>
    <w:p w:rsidR="00D17555" w:rsidRDefault="00463C58">
      <w:pPr>
        <w:pStyle w:val="jaa"/>
      </w:pPr>
      <w:r>
        <w:t>（総合課税に係る所得税の課税標準、税額等の計算）</w:t>
      </w:r>
    </w:p>
    <w:p w:rsidR="00D17555" w:rsidRDefault="00463C58">
      <w:pPr>
        <w:pStyle w:val="jaf3"/>
      </w:pPr>
      <w:r>
        <w:t>第百六十五条　前条第一項各号に掲げる非居住者の当該各号に掲げる国内源泉所得について課する所得税（以下この節にお</w:t>
      </w:r>
      <w:r>
        <w:t>いて「総合課税に係る所得税」という。）の課税標準及び所得税の額は、当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D17555" w:rsidRDefault="00D17555"/>
    <w:p w:rsidR="00D17555" w:rsidRDefault="00463C58">
      <w:pPr>
        <w:pStyle w:val="ja0"/>
      </w:pPr>
      <w:r>
        <w:t>第二款　申告、納付及び還付</w:t>
      </w:r>
    </w:p>
    <w:p w:rsidR="00D17555" w:rsidRDefault="00D17555"/>
    <w:p w:rsidR="00D17555" w:rsidRDefault="00463C58">
      <w:pPr>
        <w:pStyle w:val="jaa"/>
      </w:pPr>
      <w:r>
        <w:t>（申告、納付及び還付）</w:t>
      </w:r>
    </w:p>
    <w:p w:rsidR="00D17555" w:rsidRDefault="00463C58">
      <w:pPr>
        <w:pStyle w:val="jaf3"/>
      </w:pPr>
      <w:r>
        <w:t>第百六十六条　前編第五章（居住者に係る申告、納付及び還付</w:t>
      </w:r>
      <w:r>
        <w:t>）の規定は、非居住者の総合課税に係る所得税についての申告、納付及び還付について準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色申告）中「業務を行なう」とあるのは「業務を国内において</w:t>
      </w:r>
      <w:r>
        <w:t>行う」と、第百四十四条（青色申告の承認の申請）及び第百四十七条（青色申告の承認があつたものとみなす場合）中「業務を開始した」とあるのは「業務を国内において開始した」と読み替えるものとする。</w:t>
      </w:r>
    </w:p>
    <w:p w:rsidR="00D17555" w:rsidRDefault="00D17555"/>
    <w:p w:rsidR="00D17555" w:rsidRDefault="00463C58">
      <w:pPr>
        <w:pStyle w:val="ja0"/>
      </w:pPr>
      <w:r>
        <w:t>第三款　更正の請求の特例</w:t>
      </w:r>
    </w:p>
    <w:p w:rsidR="00D17555" w:rsidRDefault="00D17555"/>
    <w:p w:rsidR="00D17555" w:rsidRDefault="00463C58">
      <w:pPr>
        <w:pStyle w:val="jaa"/>
      </w:pPr>
      <w:r>
        <w:t>（更正の請求の特例）</w:t>
      </w:r>
    </w:p>
    <w:p w:rsidR="00D17555" w:rsidRDefault="00463C58">
      <w:pPr>
        <w:pStyle w:val="jaf3"/>
      </w:pPr>
      <w:r>
        <w:t>第百六十七条　前編第六章（居住者に係る更正の請求の特例）の規定は、非居住者の総合課税に係る所得税についての国税通則法第二十三条第一項　（更正の請求）の規定による更正の請求について準用する。</w:t>
      </w:r>
    </w:p>
    <w:p w:rsidR="00D17555" w:rsidRDefault="00D17555"/>
    <w:p w:rsidR="00D17555" w:rsidRDefault="00463C58">
      <w:pPr>
        <w:pStyle w:val="ja0"/>
      </w:pPr>
      <w:r>
        <w:t>第四款　更正及び決定</w:t>
      </w:r>
    </w:p>
    <w:p w:rsidR="00D17555" w:rsidRDefault="00D17555"/>
    <w:p w:rsidR="00D17555" w:rsidRDefault="00463C58">
      <w:pPr>
        <w:pStyle w:val="jaa"/>
      </w:pPr>
      <w:r>
        <w:t>（更正及び決定）</w:t>
      </w:r>
    </w:p>
    <w:p w:rsidR="00D17555" w:rsidRDefault="00463C58">
      <w:pPr>
        <w:pStyle w:val="jaf3"/>
      </w:pPr>
      <w:r>
        <w:t>第百六十八条　前編第七章（居住者に係る更正及び決定）の規定は、非居住者の総合課税に係る所得税についての更正又は決定について準用する。</w:t>
      </w:r>
    </w:p>
    <w:p w:rsidR="00D17555" w:rsidRDefault="00D17555"/>
    <w:p w:rsidR="00D17555" w:rsidRDefault="00463C58">
      <w:pPr>
        <w:pStyle w:val="jaf2"/>
      </w:pPr>
      <w:r>
        <w:t>第三節　非居住者に対する所得税の分離課税</w:t>
      </w:r>
    </w:p>
    <w:p w:rsidR="00D17555" w:rsidRDefault="00D17555"/>
    <w:p w:rsidR="00D17555" w:rsidRDefault="00463C58">
      <w:pPr>
        <w:pStyle w:val="jaa"/>
      </w:pPr>
      <w:r>
        <w:t>（分離課税に係る所得税の課税標準）</w:t>
      </w:r>
    </w:p>
    <w:p w:rsidR="00D17555" w:rsidRDefault="00463C58">
      <w:pPr>
        <w:pStyle w:val="jaf3"/>
      </w:pPr>
      <w:r>
        <w:t>第百六十九条　第百六十四条第二項各号（非居住者に対する課税の方法）に掲げる非居住者の当該各号に定める国内源泉所得については、他の所得と区分して所得税を課するものとし、その所得税の課税標準は、その支払を受けるべき当該国内源泉所得の金額（次の各号に掲げる国内源泉所得については、当該各号に定める金額）</w:t>
      </w:r>
      <w:r>
        <w:t>とする。</w:t>
      </w:r>
    </w:p>
    <w:p w:rsidR="00D17555" w:rsidRDefault="00463C58">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D17555" w:rsidRDefault="00463C58">
      <w:pPr>
        <w:pStyle w:val="jaf6"/>
      </w:pPr>
      <w:r>
        <w:t>二　第百六十一条第五号に掲げる配当等のうち無記名株式等の剰余金の配当（第二十四条第一項（配当所得）に規定する剰余金の配当をいう。）又は無記名の投資信託（公社債投資信託及び公募公社債等運用投資信託を除く。）若しくは特定受益証券発行信託の受益証券に係る収益の分配　その支払を受けた金額</w:t>
      </w:r>
    </w:p>
    <w:p w:rsidR="00D17555" w:rsidRDefault="00463C58">
      <w:pPr>
        <w:pStyle w:val="jaf6"/>
      </w:pPr>
      <w:r>
        <w:t>三　第百六十一条第八号ロ</w:t>
      </w:r>
      <w:r>
        <w:t>に掲げる年金　その支払を受けるべき年金の額から六万円にその支払を受けるべき年金の額に係る月数を乗じて計算した金額を控除した金額</w:t>
      </w:r>
    </w:p>
    <w:p w:rsidR="00D17555" w:rsidRDefault="00463C58">
      <w:pPr>
        <w:pStyle w:val="jaf6"/>
      </w:pPr>
      <w:r>
        <w:t>四　第百六十一条第九号に掲げる賞金　その支払を受けるべき金額から五十万円を控除した金額</w:t>
      </w:r>
    </w:p>
    <w:p w:rsidR="00D17555" w:rsidRDefault="00463C58">
      <w:pPr>
        <w:pStyle w:val="jaf6"/>
      </w:pPr>
      <w:r>
        <w:t>五　第百六十一条第十号に掲げる年金　同号に規定する契約に基づいて支払を受けるべき金額から当該契約に基づいて払い込まれた保険料又は掛金の額のうちその支払を受けるべき金額に対応するものとして政令で定めるところにより計算した金額を控除した金額</w:t>
      </w:r>
    </w:p>
    <w:p w:rsidR="00D17555" w:rsidRDefault="00D17555"/>
    <w:p w:rsidR="00D17555" w:rsidRDefault="00463C58">
      <w:pPr>
        <w:pStyle w:val="jaa"/>
      </w:pPr>
      <w:r>
        <w:t>（分離課税に係る所得税の税率）</w:t>
      </w:r>
    </w:p>
    <w:p w:rsidR="00D17555" w:rsidRDefault="00463C58">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とする。</w:t>
      </w:r>
    </w:p>
    <w:p w:rsidR="00D17555" w:rsidRDefault="00D17555"/>
    <w:p w:rsidR="00D17555" w:rsidRDefault="00463C58">
      <w:pPr>
        <w:pStyle w:val="jaa"/>
      </w:pPr>
      <w:r>
        <w:t>（退職所得についての選択課税）</w:t>
      </w:r>
    </w:p>
    <w:p w:rsidR="00D17555" w:rsidRDefault="00463C58">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等をいう。以下この節において同じ</w:t>
      </w:r>
      <w:r>
        <w:t>。）の支払を受ける場合には、その者は、前条の規定にかかわらず、当該退職手当等について、その支払の基因となつた退職（その年中に支払を受ける当該退職手当等が二以上ある場合には、それぞれの退職手当等の支払の基因となつた退職）を事由としてその年中に支払を受ける退職手当等の総額を居住者として受けたものとみなして、これに第三十条及び第八十九条（税率）の規定を適用するものとした場合の税額に相当する金額により所得税を課されることを選択することができる。</w:t>
      </w:r>
    </w:p>
    <w:p w:rsidR="00D17555" w:rsidRDefault="00D17555"/>
    <w:p w:rsidR="00D17555" w:rsidRDefault="00463C58">
      <w:pPr>
        <w:pStyle w:val="jaa"/>
      </w:pPr>
      <w:r>
        <w:t>（給与等につき源泉徴収を受けない場合の申告納税等）</w:t>
      </w:r>
    </w:p>
    <w:p w:rsidR="00D17555" w:rsidRDefault="00463C58">
      <w:pPr>
        <w:pStyle w:val="jaf3"/>
      </w:pPr>
      <w:r>
        <w:t>第百七十二条　第</w:t>
      </w:r>
      <w:r>
        <w:t>百六十九条（課税標準）に規定する非居住者が第百六十一条第八号イ又はハ（国内において行う勤務に基因する給与等）に掲げる給与又は報酬の支払を受ける場合において、当該給与又は報酬について次編第五章（非居住者又は法人の所得に係る源泉徴収）の規定の適用を受けないときは、その者は、次条の規定による申告書を提出することができる場合を除き、その年の翌年三月十五日（同日前に国内に居所を有しないこととなる場合には、その有しないこととなる日）までに、税務署長に対し、次に掲げる事項を記載した申告書を提出しなければならない。</w:t>
      </w:r>
    </w:p>
    <w:p w:rsidR="00D17555" w:rsidRDefault="00463C58">
      <w:pPr>
        <w:pStyle w:val="jaf6"/>
      </w:pPr>
      <w:r>
        <w:t>一　そ</w:t>
      </w:r>
      <w:r>
        <w:t>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及び当該金額につき第百七十条（税率）の規定を適用して計算した所得税の額</w:t>
      </w:r>
    </w:p>
    <w:p w:rsidR="00D17555" w:rsidRDefault="00463C58">
      <w:pPr>
        <w:pStyle w:val="jaf6"/>
      </w:pPr>
      <w:r>
        <w:t>二　前号に規定する給与又は報酬の額のうちに、その年の中途において国内に居所を有しないこととなつたことにより提出するこの項の規定による申告書に記載すべき部分の金額がある場</w:t>
      </w:r>
      <w:r>
        <w:t>合には、当該金額及び当該金額につき第百七十条の規定を適用して計算した所得税の額</w:t>
      </w:r>
    </w:p>
    <w:p w:rsidR="00D17555" w:rsidRDefault="00463C58">
      <w:pPr>
        <w:pStyle w:val="jaf6"/>
      </w:pPr>
      <w:r>
        <w:t>三　第一号に掲げる所得税の額から前号に掲げる所得税の額を控除した金額</w:t>
      </w:r>
    </w:p>
    <w:p w:rsidR="00D17555" w:rsidRDefault="00463C58">
      <w:pPr>
        <w:pStyle w:val="jaf6"/>
      </w:pPr>
      <w:r>
        <w:t>四　第一号に掲げる金額の計算の基礎、その者の国内における勤務の種類その他財務省令で定める事項</w:t>
      </w:r>
    </w:p>
    <w:p w:rsidR="00D17555" w:rsidRDefault="00463C58">
      <w:pPr>
        <w:pStyle w:val="jaf4"/>
      </w:pPr>
      <w:r>
        <w:t>２　前条に規定する退職手当等につき前項の規定による申告書を提出すべき者が、当該退職手当等について同条の選択をする場合には、その申告書に、同項各号に掲げる事項のほか、次に掲げる事項を記載しなければならない。</w:t>
      </w:r>
    </w:p>
    <w:p w:rsidR="00D17555" w:rsidRDefault="00463C58">
      <w:pPr>
        <w:pStyle w:val="jaf6"/>
      </w:pPr>
      <w:r>
        <w:t>一　その年中に支払を受ける退職手当等の総額（前条の規定の適用が</w:t>
      </w:r>
      <w:r>
        <w:t>ある部分の金額に限る。）及び当該総額につき同条の規定を適用して計算した所得税の額</w:t>
      </w:r>
    </w:p>
    <w:p w:rsidR="00D17555" w:rsidRDefault="00463C58">
      <w:pPr>
        <w:pStyle w:val="jaf6"/>
      </w:pPr>
      <w:r>
        <w:t>二　その年中に支払を受ける退職手当等につき次編第五章の規定により徴収された又は徴収されるべき所得税の額がある場合には、その所得税の額（当該退職手当等の額のうちに、その年の中途において国内に居所を有しないこととなつたことにより提出する前項の規定による申告書に記載すべき部分の金額がある場合には、当該金額につき第百七十条の規定を適用して計算した所得税の額を含む。）</w:t>
      </w:r>
    </w:p>
    <w:p w:rsidR="00D17555" w:rsidRDefault="00463C58">
      <w:pPr>
        <w:pStyle w:val="jaf6"/>
      </w:pPr>
      <w:r>
        <w:t>三　第一号に掲げる所得税の額から前号に掲げる所得税の額を控除した金額</w:t>
      </w:r>
    </w:p>
    <w:p w:rsidR="00D17555" w:rsidRDefault="00463C58">
      <w:pPr>
        <w:pStyle w:val="jaf6"/>
      </w:pPr>
      <w:r>
        <w:t>四　第一号に掲げる退職手当等の総額の支払者別の内訳及びその支払者の氏名又は名称及び住所若しくは居所又は本店若しくは主たる事務所の所在地</w:t>
      </w:r>
    </w:p>
    <w:p w:rsidR="00D17555" w:rsidRDefault="00463C58">
      <w:pPr>
        <w:pStyle w:val="jaf6"/>
      </w:pPr>
      <w:r>
        <w:t>五　第一号に掲げる所得税の額の計算の基礎</w:t>
      </w:r>
    </w:p>
    <w:p w:rsidR="00D17555" w:rsidRDefault="00463C58">
      <w:pPr>
        <w:pStyle w:val="jaf4"/>
      </w:pPr>
      <w:r>
        <w:t>３　第一項の規定による申告書を提出した非居住者は、当該申告書の提出期限までに、同項第三号に掲げる金額（前項の規定の適用を受ける者については、当該金額と同項第三号に掲げる金額との合計額）に相当する所得税を国に納付しなければならない。</w:t>
      </w:r>
    </w:p>
    <w:p w:rsidR="00D17555" w:rsidRDefault="00D17555"/>
    <w:p w:rsidR="00D17555" w:rsidRDefault="00463C58">
      <w:pPr>
        <w:pStyle w:val="jaa"/>
      </w:pPr>
      <w:r>
        <w:t>（退職所得の選択課税による還付）</w:t>
      </w:r>
    </w:p>
    <w:p w:rsidR="00D17555" w:rsidRDefault="00463C58">
      <w:pPr>
        <w:pStyle w:val="jaf3"/>
      </w:pPr>
      <w:r>
        <w:t>第百七十三条　第百六十九条（課税標準）に規定する非居住者がその支払を受ける第百七十一条（退職所得についての選択課税）に規定する退職手当等につき次編第五章（非居住者又は法人の所得に係る源泉徴収）の規定の適用を受ける場合において、当該退職手当等につ</w:t>
      </w:r>
      <w:r>
        <w:t>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書を提出することができる。</w:t>
      </w:r>
    </w:p>
    <w:p w:rsidR="00D17555" w:rsidRDefault="00463C58">
      <w:pPr>
        <w:pStyle w:val="jaf6"/>
      </w:pPr>
      <w:r>
        <w:t>一　前条第二項第一号に掲げる退職手当等の総額及び所得税の額</w:t>
      </w:r>
    </w:p>
    <w:p w:rsidR="00D17555" w:rsidRDefault="00463C58">
      <w:pPr>
        <w:pStyle w:val="jaf6"/>
      </w:pPr>
      <w:r>
        <w:t>二　前条第二項第二号に掲げる所得税の額</w:t>
      </w:r>
    </w:p>
    <w:p w:rsidR="00D17555" w:rsidRDefault="00463C58">
      <w:pPr>
        <w:pStyle w:val="jaf6"/>
      </w:pPr>
      <w:r>
        <w:t>三　前号に掲げる所得税の額から第一号に掲げる所得税の額を控除した金額</w:t>
      </w:r>
    </w:p>
    <w:p w:rsidR="00D17555" w:rsidRDefault="00463C58">
      <w:pPr>
        <w:pStyle w:val="jaf6"/>
      </w:pPr>
      <w:r>
        <w:t>四　前条第二項第四号及び第五号に掲げる事項その他財務省令で定める事項</w:t>
      </w:r>
    </w:p>
    <w:p w:rsidR="00D17555" w:rsidRDefault="00463C58">
      <w:pPr>
        <w:pStyle w:val="jaf4"/>
      </w:pPr>
      <w:r>
        <w:t>２　前項の規定</w:t>
      </w:r>
      <w:r>
        <w:t>による申告書の提出があつた場合には、税務署長は、同項第三号に掲げる金額に相当する所得税を還付する。</w:t>
      </w:r>
    </w:p>
    <w:p w:rsidR="00D17555" w:rsidRDefault="00463C58">
      <w:pPr>
        <w:pStyle w:val="jaf4"/>
      </w:pPr>
      <w:r>
        <w:t>３　前項の場合において、同項の申告書に記載された第一項第二号に掲げる所得税の額（次編第五章の規定により徴収されるべきものに限る。）のうちにまだ納付されていないものがあるときは、前項の規定による還付金の額のうちその納付されていない部分の金額に相当する金額については、その納付があるまでは、還付しない。</w:t>
      </w:r>
    </w:p>
    <w:p w:rsidR="00D17555" w:rsidRDefault="00463C58">
      <w:pPr>
        <w:pStyle w:val="jaf4"/>
      </w:pPr>
      <w:r>
        <w:t>４　第二項の規定による還付金について還付加算金を計算する場合には、その計算の基礎となる国税通則法第五十八条第一項</w:t>
      </w:r>
      <w:r>
        <w:t xml:space="preserve">　（還付加算金）の期間は、第一項の規定による申告書の提出があつた日（同日後に納付された前項に規定する所得税の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D17555" w:rsidRDefault="00463C58">
      <w:pPr>
        <w:pStyle w:val="jaf4"/>
      </w:pPr>
      <w:r>
        <w:t>５　前二項に定めるもののほか、第二項の還付の手続その他同項の規定の適用に関し必要な事項は、政令で定める。</w:t>
      </w:r>
    </w:p>
    <w:p w:rsidR="00D17555" w:rsidRDefault="00D17555"/>
    <w:p w:rsidR="00D17555" w:rsidRDefault="00463C58">
      <w:pPr>
        <w:pStyle w:val="ja3"/>
      </w:pPr>
      <w:r>
        <w:t>第三章　法人の納税義務</w:t>
      </w:r>
    </w:p>
    <w:p w:rsidR="00D17555" w:rsidRDefault="00463C58">
      <w:pPr>
        <w:pStyle w:val="jaf2"/>
      </w:pPr>
      <w:r>
        <w:t>第二節　外国法人の納税義務</w:t>
      </w:r>
    </w:p>
    <w:p w:rsidR="00D17555" w:rsidRDefault="00D17555"/>
    <w:p w:rsidR="00D17555" w:rsidRDefault="00463C58">
      <w:pPr>
        <w:pStyle w:val="jaa"/>
      </w:pPr>
      <w:r>
        <w:t>（外国法人に係る所得税</w:t>
      </w:r>
      <w:r>
        <w:t>の課税標準）</w:t>
      </w:r>
    </w:p>
    <w:p w:rsidR="00D17555" w:rsidRDefault="00463C58">
      <w:pPr>
        <w:pStyle w:val="jaf3"/>
      </w:pPr>
      <w:r>
        <w:t>第百七十八条　外国法人に対し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　（国内に恒久的施設を有しない外国法人）に掲げる者である場合には第百六十一条第一号の三　から第七号　まで及び第九号　から第十二号　までに掲げるものに限るものとし、政令で定めるものを除く。）の金額（第百六十九条第一号、第二号、第四号及び第五号（分離課税に係る所得税の課税標準</w:t>
      </w:r>
      <w:r>
        <w:t>）に掲げる国内源泉所得については、これらの規定に定める金額）とする。</w:t>
      </w:r>
    </w:p>
    <w:p w:rsidR="00D17555" w:rsidRDefault="00D17555"/>
    <w:p w:rsidR="00D17555" w:rsidRDefault="00463C58">
      <w:pPr>
        <w:pStyle w:val="jaa"/>
      </w:pPr>
      <w:r>
        <w:t>（外国法人に係る所得税の税率）</w:t>
      </w:r>
    </w:p>
    <w:p w:rsidR="00D17555" w:rsidRDefault="00463C58">
      <w:pPr>
        <w:pStyle w:val="jaf3"/>
      </w:pPr>
      <w:r>
        <w:t>第百七十九条　外国法人に対して課する所得税の額は、次の各号の区分に応じ当該各号に定める金額とする。</w:t>
      </w:r>
    </w:p>
    <w:p w:rsidR="00D17555" w:rsidRDefault="00463C58">
      <w:pPr>
        <w:pStyle w:val="jaf6"/>
      </w:pPr>
      <w:r>
        <w:t>一　前条に規定する国内源泉所得（次号及び第三号に掲げるものを除く。）　その金額（第百六十九条第二号、第四号及び第五号（分離課税に係る所得税の課税標準）に掲げる国内源泉所得については、これらの規定に定める金額）に百分の二十の税率を乗じて計算した金額</w:t>
      </w:r>
    </w:p>
    <w:p w:rsidR="00D17555" w:rsidRDefault="00463C58">
      <w:pPr>
        <w:pStyle w:val="jaf6"/>
      </w:pPr>
      <w:r>
        <w:t>二　第百六十一条第一号の三（国内源泉所得）に掲げる国内源泉所</w:t>
      </w:r>
      <w:r>
        <w:t>得　その金額に百分の十の税率を乗じて計算した金額</w:t>
      </w:r>
    </w:p>
    <w:p w:rsidR="00D17555" w:rsidRDefault="00463C58">
      <w:pPr>
        <w:pStyle w:val="jaf6"/>
      </w:pPr>
      <w:r>
        <w:t>三　第百六十一条第四号及び第十一号に掲げる国内源泉所得　その金額（第百六十九条第一号に掲げる国内源泉所得については、同号に定める金額）に百分の十五の税率を乗じて計算した金額</w:t>
      </w:r>
    </w:p>
    <w:p w:rsidR="00D17555" w:rsidRDefault="00D17555"/>
    <w:p w:rsidR="00D17555" w:rsidRDefault="00463C58">
      <w:pPr>
        <w:pStyle w:val="jaa"/>
      </w:pPr>
      <w:r>
        <w:t>（国内に恒久的施設を有する外国法人の受ける国内源泉所得に係る課税の特例）</w:t>
      </w:r>
    </w:p>
    <w:p w:rsidR="00D17555" w:rsidRDefault="00463C58">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める国内源泉所得に該当することにつきその法人税の納税地の所轄税務署長（以下この条において「所轄税務署長」という。）の証明書の交付を受け、その証明書を当該国内源泉所得の支払をする者に提示した場合には</w:t>
      </w:r>
      <w:r>
        <w:t>、その証明書が効力を有している間に支払を受ける当該国内源泉所得については、適用しない。</w:t>
      </w:r>
    </w:p>
    <w:p w:rsidR="00D17555" w:rsidRDefault="00463C58">
      <w:pPr>
        <w:pStyle w:val="jaf6"/>
      </w:pPr>
      <w:r>
        <w:t>一　法人税法第百四十一条第一号（国内に恒久的施設を有する外国法人）に掲げる外国法人に該当する法人（第百六十一条第一号の二（国内源泉所得）に規定する組合契約を締結している組合員（これに類する者で政令で定めるものを含む。）である法人（以下この項において「組合員である法人」という。）にあつては、政令で定めるものに限る。）　第百六十一条第一号の二から第三号まで、第六号、第七号、第九号又は第十号に掲げる国内源泉所得（同条第一号の三</w:t>
      </w:r>
      <w:r>
        <w:t>に規定する対価にあつては、第十三条第一項ただし書（信託財産に属する資産及び負債並びに信託財産に帰せられる収益及び費用の帰属）に規定する信託で国内にある営業所に信託されたものの信託財産に帰せられるものに係るものに限る。）</w:t>
      </w:r>
    </w:p>
    <w:p w:rsidR="00D17555" w:rsidRDefault="00463C58">
      <w:pPr>
        <w:pStyle w:val="jaf6"/>
      </w:pPr>
      <w:r>
        <w:t>二　法人税法第百四十一条第二号に掲げる外国法人に該当する法人（組合員である法人にあつては、政令で定めるものに限る。）　前号に定める国内源泉所得のうち、その法人が国内において行う同条第二号に規定する建設作業等に係る事業に帰せられるもの</w:t>
      </w:r>
    </w:p>
    <w:p w:rsidR="00D17555" w:rsidRDefault="00463C58">
      <w:pPr>
        <w:pStyle w:val="jaf6"/>
      </w:pPr>
      <w:r>
        <w:t>三　法人税法第百四十一条第三号に掲げる外国法人に該当する法</w:t>
      </w:r>
      <w:r>
        <w:t>人（組合員である法人にあつては、政令で定めるものに限る。）　第一号に定める国内源泉所得のうち、その法人が国内において同条第三号に規定する代理人等を通じて行う事業に帰せられるもの</w:t>
      </w:r>
    </w:p>
    <w:p w:rsidR="00D17555" w:rsidRDefault="00463C58">
      <w:pPr>
        <w:pStyle w:val="jaf4"/>
      </w:pPr>
      <w:r>
        <w:t>２　前項各号に掲げる法人で同項に規定する証明書の交付を受けたものが、その交付を受けた後、同項に規定する要件に該当しないこととなり、又は当該各号に規定する外国法人に該当しないこととなつた場合には、その該当しないこととなつた日以後遅滞なく、政令で定めるところにより、その旨を所轄税務署長に届け出るとともに、その証明書の提示先にその旨を通知</w:t>
      </w:r>
      <w:r>
        <w:t>しなければならない。</w:t>
      </w:r>
    </w:p>
    <w:p w:rsidR="00D17555" w:rsidRDefault="00463C58">
      <w:pPr>
        <w:pStyle w:val="jaf4"/>
      </w:pPr>
      <w:r>
        <w:t>３　所轄税務署長は、第一項各号に掲げる法人で同項に規定する証明書の交付を受けたものが、その交付を受けた後、同項に規定する要件に該当しないこととなり、又は当該各号に規定する外国法人に該当しないこととなつたと認める場合には、当該証明書の交付を受けたものに対し、書面によりその旨を通知するものとする。</w:t>
      </w:r>
    </w:p>
    <w:p w:rsidR="00D17555" w:rsidRDefault="00463C58">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D17555" w:rsidRDefault="00463C58">
      <w:pPr>
        <w:pStyle w:val="jaf4"/>
      </w:pPr>
      <w:r>
        <w:t>５　所轄税務署長は、第二項の</w:t>
      </w:r>
      <w:r>
        <w:t>規定による届出があつた場合又は第三項の規定により通知をした場合には、財務省令で定めるところにより、当該届出をした者又は当該通知を受けた者の名称その他の財務省令で定める事項を公示するものとする。</w:t>
      </w:r>
    </w:p>
    <w:p w:rsidR="00D17555" w:rsidRDefault="00463C58">
      <w:pPr>
        <w:pStyle w:val="jaf4"/>
      </w:pPr>
      <w:r>
        <w:t>６　第一項に規定する証明書は、次に掲げる場合には、その効力を失う。</w:t>
      </w:r>
    </w:p>
    <w:p w:rsidR="00D17555" w:rsidRDefault="00463C58">
      <w:pPr>
        <w:pStyle w:val="jaf6"/>
      </w:pPr>
      <w:r>
        <w:t>一　当該証明書につき所轄税務署長が定めた有効期限を経過したとき。</w:t>
      </w:r>
    </w:p>
    <w:p w:rsidR="00D17555" w:rsidRDefault="00463C58">
      <w:pPr>
        <w:pStyle w:val="jaf6"/>
      </w:pPr>
      <w:r>
        <w:t>二　前項の規定による公示があつたとき。</w:t>
      </w:r>
    </w:p>
    <w:p w:rsidR="00D17555" w:rsidRDefault="00D17555"/>
    <w:p w:rsidR="00D17555" w:rsidRDefault="00463C58">
      <w:pPr>
        <w:pStyle w:val="jaa"/>
      </w:pPr>
      <w:r>
        <w:t>（信託財産に係る利子等の課税の特例）</w:t>
      </w:r>
    </w:p>
    <w:p w:rsidR="00D17555" w:rsidRDefault="00463C58">
      <w:pPr>
        <w:pStyle w:val="jaf3"/>
      </w:pPr>
      <w:r>
        <w:t>第百八十条の二　第七条第一項第五号（外国法人の課税所得の範囲）、第百七十八条（外国法人に係る所得税の課税</w:t>
      </w:r>
      <w:r>
        <w:t>標準）及び第百七十九条（外国法人に係る所得税の税率）の規定は、外国法人である信託会社（金融機関の信託業務の兼営等に関する法律により同法第一条第一項（兼営の認可）に規定する信託業務を営む同項に規定する金融機関を含む。次項において「外国信託会社」という。）が、その引き受けた第百七十六条第一項（信託財産に係る利子等の課税の特例）に規定する証券投資信託の信託財産に属する同項に規定する公社債等につき第百六十一条第四号（同号ロを除く。）又は第五号（国内源泉所得）に掲げる国内源泉所得の支払をする者の備え付ける帳簿に、当該</w:t>
      </w:r>
      <w:r>
        <w:t>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D17555" w:rsidRDefault="00463C58">
      <w:pPr>
        <w:pStyle w:val="jaf4"/>
      </w:pPr>
      <w:r>
        <w:t>２　第七条第一項第五号、第百七十八条及び第百七十九条の規定は、外国信託会社が、その引き受けた第百七十六条第二項に規定する退職年金等信託の信託財産に属する同項に規定する公社債等につき第百六十一条第四号（同号ロを除く。）、第五号又は第十二号に掲げる国内源泉所得の支払をする者の備え付ける帳簿に、当該公社債等が当該信託財産に属する旨</w:t>
      </w:r>
      <w:r>
        <w:t>その他財務省令で定める事項の登載を受けている場合には、当該公社債等についてその登載を受けている期間内に支払われる当該国内源泉所得については、適用しない。</w:t>
      </w:r>
    </w:p>
    <w:p w:rsidR="00D17555" w:rsidRDefault="00463C58">
      <w:pPr>
        <w:pStyle w:val="jaf4"/>
      </w:pPr>
      <w:r>
        <w:t>３　外国法人がその引き受けた集団投資信託（第百七十六条第三項に規定する集団投資信託をいう。以下この条において同じ。）の信託財産について納付した所得税（外国の法令により課される所得税に相当する税で同項に規定する政令で定めるものを含む。次項において同じ。）の額は、政令で定めるところにより、当該集団投資信託の収益の分配に係る所得税の額から控除する。</w:t>
      </w:r>
    </w:p>
    <w:p w:rsidR="00D17555" w:rsidRDefault="00463C58">
      <w:pPr>
        <w:pStyle w:val="jaf4"/>
      </w:pPr>
      <w:r>
        <w:t>４　前項の規定により控除すべき集団投資信託の信託財産について納付した所得税の額は、当該集団投資信託の収益の分配の額の計算上、当該収益の分配の額に加算する。</w:t>
      </w:r>
    </w:p>
    <w:p w:rsidR="00D17555" w:rsidRDefault="00D17555"/>
    <w:p w:rsidR="00D17555" w:rsidRDefault="00463C58">
      <w:pPr>
        <w:pStyle w:val="ja3"/>
      </w:pPr>
      <w:r>
        <w:t>第五章　非居住者又は法人の所得に係る源泉徴収</w:t>
      </w:r>
    </w:p>
    <w:p w:rsidR="00D17555" w:rsidRDefault="00D17555"/>
    <w:p w:rsidR="00D17555" w:rsidRDefault="00463C58">
      <w:pPr>
        <w:pStyle w:val="jaa"/>
      </w:pPr>
      <w:r>
        <w:t>（源泉徴収義務）</w:t>
      </w:r>
    </w:p>
    <w:p w:rsidR="00D17555" w:rsidRDefault="00463C58">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には第百六十一条第一号の三から第十二号までに掲げるものに限るものとし、政令で</w:t>
      </w:r>
      <w:r>
        <w:t>定めるものを除く。）の支払をする者又は外国法人に対し国内において同条第一号の二から第七号まで若しくは第九号から第十二号までに掲げる国内源泉所得（その外国法人が法人税法第百四十一条第四号（国内に恒久的施設を有しない外国法人）に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条の二第一項若しくは第二項（信託財産に係る利子等の課税の特例）の規定に該当す</w:t>
      </w:r>
      <w:r>
        <w:t>るもの及び政令で定めるものを除く。）の支払をする者は、その支払の際、これらの国内源泉所得について所得税を徴収し、その徴収の日の属する月の翌月十日までに、これを国に納付しなければならない。</w:t>
      </w:r>
    </w:p>
    <w:p w:rsidR="00D17555" w:rsidRDefault="00463C58">
      <w:pPr>
        <w:pStyle w:val="jaf4"/>
      </w:pPr>
      <w:r>
        <w:t>２　前項に規定する国内源泉所得の支払が国外において行なわれる場合において、その支払をする者が国内に住所若しくは居所を有し、又は国内に事務所、事業所その他これらに準ずるものを有するときは、その者が当該国内源泉所得を国内において支払うものとみなして、同項の規定を適用する。この場合において、同項中「翌月十日まで」とあるのは、「翌</w:t>
      </w:r>
      <w:r>
        <w:t>月末日まで」とする。</w:t>
      </w:r>
    </w:p>
    <w:p w:rsidR="00D17555" w:rsidRDefault="00463C58">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財産に係る利子等の課税の特例）の規定に該当するものを除く。）の支払をする者は、その支払の際、当該利子等、配当等、給付補てん金、利息、利益、差益、利益の分配又は賞金について所得税を徴収し、その徴収の日の属する月の翌月十日までに、これを国に納付しなければならない。</w:t>
      </w:r>
    </w:p>
    <w:p w:rsidR="00D17555" w:rsidRDefault="00463C58">
      <w:pPr>
        <w:pStyle w:val="jaf4"/>
      </w:pPr>
      <w:r>
        <w:t>４　第百八十一条第二項（配</w:t>
      </w:r>
      <w:r>
        <w:t>当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D17555" w:rsidRDefault="00463C58">
      <w:pPr>
        <w:pStyle w:val="jaf4"/>
      </w:pPr>
      <w:r>
        <w:t>５　第百六十一条第一号の二に規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他これに類する期間（これらの期間が一年を超える場合は、これらの期間をその開始</w:t>
      </w:r>
      <w:r>
        <w:t>の日以後一年ごとに区分した各期間（最後に一年未満の期間を生じたときは、その一年未満の期間）。以下この項において「計算期間」という。）において生じた当該国内源泉所得につき金銭その他の資産（以下この項において「金銭等」という。）の交付を受け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同日）においてその支払があつたものとみなして、この法律の規定を適用する。</w:t>
      </w:r>
    </w:p>
    <w:p w:rsidR="00D17555" w:rsidRDefault="00D17555"/>
    <w:p w:rsidR="00D17555" w:rsidRDefault="00463C58">
      <w:pPr>
        <w:pStyle w:val="jaa"/>
      </w:pPr>
      <w:r>
        <w:t>（徴収税額）</w:t>
      </w:r>
    </w:p>
    <w:p w:rsidR="00D17555" w:rsidRDefault="00463C58">
      <w:pPr>
        <w:pStyle w:val="jaf3"/>
      </w:pPr>
      <w:r>
        <w:t>第二百十三条　前条第一項の規定により徴収すべき所得税の額は、次の各号の区分に応じ当該各号に定める金額とする。</w:t>
      </w:r>
    </w:p>
    <w:p w:rsidR="00D17555" w:rsidRDefault="00463C58">
      <w:pPr>
        <w:pStyle w:val="jaf6"/>
      </w:pPr>
      <w:r>
        <w:t>一　前条第一項に規定する国内源泉所得（次号及び第三号に掲げるものを除く。）　その金額（次に掲げる国内源泉所得については、それぞれ次に定める金額）に百分の二十の税率を乗じて計算した金額</w:t>
      </w:r>
    </w:p>
    <w:p w:rsidR="00D17555" w:rsidRDefault="00463C58">
      <w:pPr>
        <w:pStyle w:val="jaf9"/>
      </w:pPr>
      <w:r>
        <w:t>イ　第百六十一条第八号ロ（国内源泉所得）に掲げる年金　その支払われる年金の額から六万円にその支払われる年金の額に係る月数を乗じて計算した金額を控除した残額</w:t>
      </w:r>
    </w:p>
    <w:p w:rsidR="00D17555" w:rsidRDefault="00463C58">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D17555" w:rsidRDefault="00463C58">
      <w:pPr>
        <w:pStyle w:val="jaf9"/>
      </w:pPr>
      <w:r>
        <w:t>ハ　第百六十一条第十号に掲げる年金　同号に規定する契約に基づいて支払われる年金の額から当該契約に基づいて払い込まれた保険料又は掛金の額のうちその支払われる年金の額に対応するものと</w:t>
      </w:r>
      <w:r>
        <w:t>して政令で定めるところにより計算した金額を控除した残額</w:t>
      </w:r>
    </w:p>
    <w:p w:rsidR="00D17555" w:rsidRDefault="00463C58">
      <w:pPr>
        <w:pStyle w:val="jaf6"/>
      </w:pPr>
      <w:r>
        <w:t>二　第百六十一条第一号の三に掲げる国内源泉所得　その金額に百分の十の税率を乗じて計算した金額</w:t>
      </w:r>
    </w:p>
    <w:p w:rsidR="00D17555" w:rsidRDefault="00463C58">
      <w:pPr>
        <w:pStyle w:val="jaf6"/>
      </w:pPr>
      <w:r>
        <w:t>三　第百六十一条第四号及び第十一号に掲げる国内源泉所得　その金額に百分の十五の税率を乗じて計算した金額</w:t>
      </w:r>
    </w:p>
    <w:p w:rsidR="00D17555" w:rsidRDefault="00463C58">
      <w:pPr>
        <w:pStyle w:val="jaf4"/>
      </w:pPr>
      <w:r>
        <w:t>２　前条第三項の規定により徴収すべき所得税の額は、次の各号の区分に応じ当該各号に定める金額とする。</w:t>
      </w:r>
    </w:p>
    <w:p w:rsidR="00D17555" w:rsidRDefault="00463C58">
      <w:pPr>
        <w:pStyle w:val="jaf6"/>
      </w:pPr>
      <w:r>
        <w:t>一　前条第三項に規定する利子等、給付補てん金、利息、利益又は差益　その金額に百分の十五の税率を乗じて計算した金額</w:t>
      </w:r>
    </w:p>
    <w:p w:rsidR="00D17555" w:rsidRDefault="00463C58">
      <w:pPr>
        <w:pStyle w:val="jaf6"/>
      </w:pPr>
      <w:r>
        <w:t>二　前条第三項に規定する配当等又は利益の分配</w:t>
      </w:r>
      <w:r>
        <w:t xml:space="preserve">　その金額に百分の二十の税率を乗じて計算した金額</w:t>
      </w:r>
    </w:p>
    <w:p w:rsidR="00D17555" w:rsidRDefault="00463C58">
      <w:pPr>
        <w:pStyle w:val="jaf6"/>
      </w:pPr>
      <w:r>
        <w:t>三　前条第三項に規定する賞金　その金額（金銭以外のもので支払われる場合には、その支払の時における価額として政令で定めるところにより計算した金額）から政令で定める金額を控除した残額に百分の十の税率を乗じて計算した金額</w:t>
      </w:r>
    </w:p>
    <w:p w:rsidR="00D17555" w:rsidRDefault="00D17555"/>
    <w:p w:rsidR="00D17555" w:rsidRDefault="00463C58">
      <w:pPr>
        <w:pStyle w:val="jaa"/>
      </w:pPr>
      <w:r>
        <w:t>（源泉徴収を要しない非居住者の国内源泉所得）</w:t>
      </w:r>
    </w:p>
    <w:p w:rsidR="00D17555" w:rsidRDefault="00463C58">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w:t>
      </w:r>
      <w:r>
        <w:t>その支払を受けることとなる国内源泉所得が当該各号に定める国内源泉所得に該当することにつき納税地の所轄税務署長の証明書の交付を受け、その証明書を当該国内源泉所得の支払をする者に提示した場合には、その支払をする者は、その証明書が効力を有している間にその証明書を提示した者に対して支払う当該国内源泉所得については、第二百十二条第一項（源泉徴収義務）の規定にかかわらず、所得税を徴収して納付することを要しない。</w:t>
      </w:r>
    </w:p>
    <w:p w:rsidR="00D17555" w:rsidRDefault="00463C58">
      <w:pPr>
        <w:pStyle w:val="jaf6"/>
      </w:pPr>
      <w:r>
        <w:t>一　第百六十四条第一項第一号（国内に恒久的施設を有する非居住者）に掲げる非居住者に該当する者（第百六十一条第</w:t>
      </w:r>
      <w:r>
        <w:t>一号の二（国内源泉所得）に規定する組合契約を締結している組合員（これに類する者で政令で定めるものを含む。）である者（以下この項において「組合員である者」という。）にあつては、政令で定めるものに限る。）　第百六十一条第一号の二、第二号、第三号、第六号、第七号、第八号イ（給与に係る部分を除く。）又は第十号に掲げる国内源泉所得（政令で定めるものを除く。）</w:t>
      </w:r>
    </w:p>
    <w:p w:rsidR="00D17555" w:rsidRDefault="00463C58">
      <w:pPr>
        <w:pStyle w:val="jaf6"/>
      </w:pPr>
      <w:r>
        <w:t>二　第百六十四条第一項第二号に掲げる非居住者に該当する者（組合員である者にあつては、政令で定めるものに限る。）　前号に定める国内源泉所得のうち、その者が国内にお</w:t>
      </w:r>
      <w:r>
        <w:t>いて行う同項第二号に規定する建設作業等に係る事業に帰せられるもの</w:t>
      </w:r>
    </w:p>
    <w:p w:rsidR="00D17555" w:rsidRDefault="00463C58">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D17555" w:rsidRDefault="00463C58">
      <w:pPr>
        <w:pStyle w:val="jaf4"/>
      </w:pPr>
      <w:r>
        <w:t>２　前項各号に掲げる者で同項に規定する証明書の交付を受けたものが、その交付を受けた後、同項に規定する要件に該当しないこととなり、又は当該各号に規定する非居住者に該当しないこととなつた場合には、その該当しないこととなつた</w:t>
      </w:r>
      <w:r>
        <w:t>日以後遅滞なく、政令で定めるところにより、その旨を納税地の所轄税務署長に届け出るとともに、その証明書の提示先にその旨を通知しなければならない。</w:t>
      </w:r>
    </w:p>
    <w:p w:rsidR="00D17555" w:rsidRDefault="00463C58">
      <w:pPr>
        <w:pStyle w:val="jaf4"/>
      </w:pPr>
      <w:r>
        <w:t>３　納税地の所轄税務署長は、第一項各号に掲げる者で同項に規定する証明書の交付を受けたものが、その交付を受けた後、同項に規定する要件に該当しないこととなり、又は当該各号に規定する非居住者に該当しないこととなつたと認める場合には、当該証明書の交付を受けたものに対し、書面によりその旨を通知するものとする。</w:t>
      </w:r>
    </w:p>
    <w:p w:rsidR="00D17555" w:rsidRDefault="00463C58">
      <w:pPr>
        <w:pStyle w:val="jaf4"/>
      </w:pPr>
      <w:r>
        <w:t>４　前項の場合において、同項に規定する通知を受けた者は、当該通知を</w:t>
      </w:r>
      <w:r>
        <w:t>受けた日以後遅滞なく、第一項に規定する証明書の提示先に当該通知を受けた旨を通知しなければならない。</w:t>
      </w:r>
    </w:p>
    <w:p w:rsidR="00D17555" w:rsidRDefault="00463C58">
      <w:pPr>
        <w:pStyle w:val="jaf4"/>
      </w:pPr>
      <w:r>
        <w:t>５　納税地の所轄税務署長は、第二項の規定による届出があつた場合又は第三項の規定により通知をした場合には、財務省令で定めるところにより、当該届出をした者又は当該通知を受けた者の氏名その他の財務省令で定める事項を公示するものとする。</w:t>
      </w:r>
    </w:p>
    <w:p w:rsidR="00D17555" w:rsidRDefault="00463C58">
      <w:pPr>
        <w:pStyle w:val="jaf4"/>
      </w:pPr>
      <w:r>
        <w:t>６　第一項に規定する証明書は、次に掲げる場合には、その効力を失う。</w:t>
      </w:r>
    </w:p>
    <w:p w:rsidR="00D17555" w:rsidRDefault="00463C58">
      <w:pPr>
        <w:pStyle w:val="jaf6"/>
      </w:pPr>
      <w:r>
        <w:t>一　当該証明書につき納税地の所轄税務署長が定めた有効期限を経過したとき。</w:t>
      </w:r>
    </w:p>
    <w:p w:rsidR="00D17555" w:rsidRDefault="00463C58">
      <w:pPr>
        <w:pStyle w:val="jaf6"/>
      </w:pPr>
      <w:r>
        <w:t>二　前項の規定による公示があつたとき。</w:t>
      </w:r>
    </w:p>
    <w:p w:rsidR="00D17555" w:rsidRDefault="00D17555"/>
    <w:p w:rsidR="00D17555" w:rsidRDefault="00463C58">
      <w:pPr>
        <w:pStyle w:val="jaa"/>
      </w:pPr>
      <w:r>
        <w:t>（非居住者の人的役務の提供による給与等に係る源泉徴収の特例）</w:t>
      </w:r>
    </w:p>
    <w:p w:rsidR="00D17555" w:rsidRDefault="00463C58">
      <w:pPr>
        <w:pStyle w:val="jaf3"/>
      </w:pPr>
      <w:r>
        <w:t>第二百十五条　国内において第百六十一条第二号（国内源泉所得）に規定する事業を行う非居住者又は外国法人が同号に掲げる対価につき第二百十二条第一項（源泉徴収義務）の規定により所得税を徴収された場合には、政令で定めるところにより、当該非居住者又は外国法人が当該所得税を徴収された対価のうちから当該事業のために人的役務の提供をする非居住者に対してその人的役務の提供につき支払う第百六十一条第八号イ又はハに掲げる給与又は報酬について、その支払の際、同項の規定</w:t>
      </w:r>
      <w:r>
        <w:t>による所得税の徴収が行われたものとみなす。</w:t>
      </w:r>
    </w:p>
    <w:sectPr w:rsidR="00D17555" w:rsidSect="00D175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555" w:rsidRDefault="00D17555" w:rsidP="00D17555">
      <w:r>
        <w:separator/>
      </w:r>
    </w:p>
  </w:endnote>
  <w:endnote w:type="continuationSeparator" w:id="0">
    <w:p w:rsidR="00D17555" w:rsidRDefault="00D17555" w:rsidP="00D1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555" w:rsidRDefault="00D17555">
    <w:pPr>
      <w:pStyle w:val="a3"/>
    </w:pPr>
    <w:r>
      <w:fldChar w:fldCharType="begin"/>
    </w:r>
    <w:r>
      <w:instrText xml:space="preserve"> PAGE  \* MERGEFORMAT </w:instrText>
    </w:r>
    <w:r>
      <w:fldChar w:fldCharType="separate"/>
    </w:r>
    <w:r w:rsidR="00463C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555" w:rsidRDefault="00D17555" w:rsidP="00D17555">
      <w:r>
        <w:separator/>
      </w:r>
    </w:p>
  </w:footnote>
  <w:footnote w:type="continuationSeparator" w:id="0">
    <w:p w:rsidR="00D17555" w:rsidRDefault="00D17555" w:rsidP="00D17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E09"/>
    <w:multiLevelType w:val="multilevel"/>
    <w:tmpl w:val="9DC873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E1EDC"/>
    <w:multiLevelType w:val="multilevel"/>
    <w:tmpl w:val="3DD43C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C7D59"/>
    <w:multiLevelType w:val="multilevel"/>
    <w:tmpl w:val="270A23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897E11"/>
    <w:multiLevelType w:val="multilevel"/>
    <w:tmpl w:val="345069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41FF6"/>
    <w:multiLevelType w:val="multilevel"/>
    <w:tmpl w:val="A906DE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6F67A7"/>
    <w:multiLevelType w:val="multilevel"/>
    <w:tmpl w:val="7DFC8C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22387"/>
    <w:multiLevelType w:val="multilevel"/>
    <w:tmpl w:val="7B26DE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57D82"/>
    <w:multiLevelType w:val="multilevel"/>
    <w:tmpl w:val="632AAE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922B0"/>
    <w:multiLevelType w:val="multilevel"/>
    <w:tmpl w:val="D7CE7D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D0007"/>
    <w:multiLevelType w:val="multilevel"/>
    <w:tmpl w:val="6DF24C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F5931"/>
    <w:multiLevelType w:val="multilevel"/>
    <w:tmpl w:val="0950BF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116BCB"/>
    <w:multiLevelType w:val="multilevel"/>
    <w:tmpl w:val="51CA3B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95871"/>
    <w:multiLevelType w:val="multilevel"/>
    <w:tmpl w:val="69123B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2"/>
  </w:num>
  <w:num w:numId="4">
    <w:abstractNumId w:val="3"/>
  </w:num>
  <w:num w:numId="5">
    <w:abstractNumId w:val="8"/>
  </w:num>
  <w:num w:numId="6">
    <w:abstractNumId w:val="11"/>
  </w:num>
  <w:num w:numId="7">
    <w:abstractNumId w:val="12"/>
  </w:num>
  <w:num w:numId="8">
    <w:abstractNumId w:val="7"/>
  </w:num>
  <w:num w:numId="9">
    <w:abstractNumId w:val="1"/>
  </w:num>
  <w:num w:numId="10">
    <w:abstractNumId w:val="9"/>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555"/>
    <w:rsid w:val="00463C58"/>
    <w:rsid w:val="00D175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75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7555"/>
    <w:rPr>
      <w:rFonts w:ascii="Century" w:eastAsia="Century" w:hAnsi="Century"/>
    </w:rPr>
  </w:style>
  <w:style w:type="paragraph" w:customStyle="1" w:styleId="ja0">
    <w:name w:val="款（ja）"/>
    <w:basedOn w:val="a"/>
    <w:rsid w:val="00D17555"/>
    <w:pPr>
      <w:widowControl w:val="0"/>
      <w:ind w:left="1321" w:hanging="221"/>
    </w:pPr>
    <w:rPr>
      <w:rFonts w:ascii="ＭＳ 明朝" w:eastAsia="ＭＳ 明朝" w:hAnsi="ＭＳ 明朝" w:cs="ＭＳ 明朝"/>
      <w:b/>
    </w:rPr>
  </w:style>
  <w:style w:type="paragraph" w:customStyle="1" w:styleId="en0">
    <w:name w:val="款（en）"/>
    <w:basedOn w:val="ja0"/>
    <w:rsid w:val="00D17555"/>
    <w:rPr>
      <w:rFonts w:ascii="Century" w:eastAsia="Century" w:hAnsi="Century" w:cs="Century"/>
    </w:rPr>
  </w:style>
  <w:style w:type="paragraph" w:customStyle="1" w:styleId="ja1">
    <w:name w:val="前文（ja）"/>
    <w:basedOn w:val="a"/>
    <w:rsid w:val="00D17555"/>
    <w:pPr>
      <w:widowControl w:val="0"/>
      <w:ind w:firstLine="219"/>
    </w:pPr>
    <w:rPr>
      <w:rFonts w:ascii="ＭＳ 明朝" w:eastAsia="ＭＳ 明朝" w:hAnsi="ＭＳ 明朝" w:cs="ＭＳ 明朝"/>
    </w:rPr>
  </w:style>
  <w:style w:type="paragraph" w:customStyle="1" w:styleId="en1">
    <w:name w:val="前文（en）"/>
    <w:basedOn w:val="ja1"/>
    <w:rsid w:val="00D17555"/>
    <w:rPr>
      <w:rFonts w:ascii="Century" w:eastAsia="Century" w:hAnsi="Century" w:cs="Century"/>
    </w:rPr>
  </w:style>
  <w:style w:type="paragraph" w:customStyle="1" w:styleId="ja2">
    <w:name w:val="附則（ja）"/>
    <w:basedOn w:val="a"/>
    <w:rsid w:val="00D17555"/>
    <w:pPr>
      <w:widowControl w:val="0"/>
      <w:ind w:left="881" w:hanging="221"/>
    </w:pPr>
    <w:rPr>
      <w:rFonts w:ascii="ＭＳ 明朝" w:eastAsia="ＭＳ 明朝" w:hAnsi="ＭＳ 明朝" w:cs="ＭＳ 明朝"/>
      <w:b/>
    </w:rPr>
  </w:style>
  <w:style w:type="paragraph" w:customStyle="1" w:styleId="en2">
    <w:name w:val="附則（en）"/>
    <w:basedOn w:val="ja2"/>
    <w:rsid w:val="00D17555"/>
    <w:rPr>
      <w:rFonts w:ascii="Century" w:hAnsi="Century" w:cs="Century"/>
    </w:rPr>
  </w:style>
  <w:style w:type="paragraph" w:customStyle="1" w:styleId="ja3">
    <w:name w:val="章（ja）"/>
    <w:basedOn w:val="a"/>
    <w:rsid w:val="00D17555"/>
    <w:pPr>
      <w:widowControl w:val="0"/>
      <w:ind w:left="881" w:hanging="221"/>
    </w:pPr>
    <w:rPr>
      <w:rFonts w:ascii="ＭＳ 明朝" w:eastAsia="ＭＳ 明朝" w:hAnsi="ＭＳ 明朝" w:cs="ＭＳ 明朝"/>
      <w:b/>
    </w:rPr>
  </w:style>
  <w:style w:type="paragraph" w:customStyle="1" w:styleId="en3">
    <w:name w:val="章（en）"/>
    <w:basedOn w:val="ja3"/>
    <w:rsid w:val="00D17555"/>
    <w:rPr>
      <w:rFonts w:ascii="Century" w:eastAsia="Century" w:hAnsi="Century" w:cs="Century"/>
    </w:rPr>
  </w:style>
  <w:style w:type="paragraph" w:customStyle="1" w:styleId="ja4">
    <w:name w:val="目次編（ja）"/>
    <w:basedOn w:val="a"/>
    <w:rsid w:val="00D17555"/>
    <w:pPr>
      <w:widowControl w:val="0"/>
      <w:ind w:left="219" w:hanging="219"/>
    </w:pPr>
    <w:rPr>
      <w:rFonts w:ascii="ＭＳ 明朝" w:eastAsia="ＭＳ 明朝" w:hAnsi="ＭＳ 明朝"/>
    </w:rPr>
  </w:style>
  <w:style w:type="paragraph" w:customStyle="1" w:styleId="en4">
    <w:name w:val="目次編（en）"/>
    <w:basedOn w:val="ja4"/>
    <w:rsid w:val="00D17555"/>
    <w:rPr>
      <w:rFonts w:ascii="Century" w:eastAsia="Century" w:hAnsi="Century"/>
    </w:rPr>
  </w:style>
  <w:style w:type="paragraph" w:customStyle="1" w:styleId="ja5">
    <w:name w:val="目次章（ja）"/>
    <w:basedOn w:val="a"/>
    <w:rsid w:val="00D17555"/>
    <w:pPr>
      <w:widowControl w:val="0"/>
      <w:ind w:left="439" w:hanging="219"/>
    </w:pPr>
    <w:rPr>
      <w:rFonts w:ascii="ＭＳ 明朝" w:eastAsia="ＭＳ 明朝" w:hAnsi="ＭＳ 明朝"/>
    </w:rPr>
  </w:style>
  <w:style w:type="paragraph" w:customStyle="1" w:styleId="en5">
    <w:name w:val="目次章（en）"/>
    <w:basedOn w:val="ja5"/>
    <w:rsid w:val="00D17555"/>
    <w:rPr>
      <w:rFonts w:ascii="Century" w:eastAsia="Century" w:hAnsi="Century"/>
    </w:rPr>
  </w:style>
  <w:style w:type="paragraph" w:customStyle="1" w:styleId="ja6">
    <w:name w:val="目次節（ja）"/>
    <w:basedOn w:val="a"/>
    <w:rsid w:val="00D17555"/>
    <w:pPr>
      <w:widowControl w:val="0"/>
      <w:ind w:left="659" w:hanging="219"/>
    </w:pPr>
    <w:rPr>
      <w:rFonts w:ascii="ＭＳ 明朝" w:eastAsia="ＭＳ 明朝" w:hAnsi="ＭＳ 明朝"/>
    </w:rPr>
  </w:style>
  <w:style w:type="paragraph" w:customStyle="1" w:styleId="en6">
    <w:name w:val="目次節（en）"/>
    <w:basedOn w:val="ja6"/>
    <w:rsid w:val="00D17555"/>
    <w:rPr>
      <w:rFonts w:ascii="Century" w:eastAsia="Century" w:hAnsi="Century"/>
    </w:rPr>
  </w:style>
  <w:style w:type="paragraph" w:customStyle="1" w:styleId="ja7">
    <w:name w:val="目次款（ja）"/>
    <w:basedOn w:val="a"/>
    <w:rsid w:val="00D17555"/>
    <w:pPr>
      <w:widowControl w:val="0"/>
      <w:ind w:left="879" w:hanging="219"/>
    </w:pPr>
    <w:rPr>
      <w:rFonts w:ascii="ＭＳ 明朝" w:eastAsia="ＭＳ 明朝" w:hAnsi="ＭＳ 明朝" w:cs="Kochi Mincho"/>
    </w:rPr>
  </w:style>
  <w:style w:type="paragraph" w:customStyle="1" w:styleId="en7">
    <w:name w:val="目次款（en）"/>
    <w:basedOn w:val="ja7"/>
    <w:rsid w:val="00D17555"/>
    <w:rPr>
      <w:rFonts w:ascii="Century" w:eastAsia="Century" w:hAnsi="Century"/>
    </w:rPr>
  </w:style>
  <w:style w:type="paragraph" w:customStyle="1" w:styleId="ja8">
    <w:name w:val="別表名（ja）"/>
    <w:basedOn w:val="a"/>
    <w:rsid w:val="00D175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7555"/>
    <w:rPr>
      <w:rFonts w:ascii="Century" w:eastAsia="Century" w:hAnsi="Century" w:cs="Century"/>
    </w:rPr>
  </w:style>
  <w:style w:type="paragraph" w:customStyle="1" w:styleId="ja9">
    <w:name w:val="目（ja）"/>
    <w:basedOn w:val="a"/>
    <w:rsid w:val="00D17555"/>
    <w:pPr>
      <w:widowControl w:val="0"/>
      <w:ind w:left="1541" w:hanging="221"/>
    </w:pPr>
    <w:rPr>
      <w:rFonts w:ascii="ＭＳ 明朝" w:eastAsia="ＭＳ 明朝" w:hAnsi="ＭＳ 明朝" w:cs="ＭＳ 明朝"/>
      <w:b/>
    </w:rPr>
  </w:style>
  <w:style w:type="paragraph" w:customStyle="1" w:styleId="en9">
    <w:name w:val="目（en）"/>
    <w:basedOn w:val="ja9"/>
    <w:rsid w:val="00D17555"/>
    <w:rPr>
      <w:rFonts w:ascii="Century" w:eastAsia="Century" w:hAnsi="Century" w:cs="Century"/>
    </w:rPr>
  </w:style>
  <w:style w:type="paragraph" w:customStyle="1" w:styleId="jaa">
    <w:name w:val="見出し（ja）"/>
    <w:basedOn w:val="a"/>
    <w:rsid w:val="00D17555"/>
    <w:pPr>
      <w:widowControl w:val="0"/>
      <w:ind w:left="439" w:hanging="219"/>
    </w:pPr>
    <w:rPr>
      <w:rFonts w:ascii="ＭＳ 明朝" w:eastAsia="ＭＳ 明朝" w:hAnsi="ＭＳ 明朝" w:cs="ＭＳ 明朝"/>
    </w:rPr>
  </w:style>
  <w:style w:type="paragraph" w:customStyle="1" w:styleId="ena">
    <w:name w:val="見出し（en）"/>
    <w:basedOn w:val="jaa"/>
    <w:rsid w:val="00D17555"/>
    <w:rPr>
      <w:rFonts w:ascii="Century" w:eastAsia="Century" w:hAnsi="Century" w:cs="Century"/>
    </w:rPr>
  </w:style>
  <w:style w:type="paragraph" w:styleId="a3">
    <w:name w:val="footer"/>
    <w:basedOn w:val="a"/>
    <w:rsid w:val="00D175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7555"/>
    <w:pPr>
      <w:widowControl w:val="0"/>
      <w:ind w:left="1099" w:hanging="219"/>
    </w:pPr>
    <w:rPr>
      <w:rFonts w:ascii="ＭＳ 明朝" w:eastAsia="ＭＳ 明朝" w:hAnsi="ＭＳ 明朝" w:cs="Kochi Mincho"/>
    </w:rPr>
  </w:style>
  <w:style w:type="paragraph" w:customStyle="1" w:styleId="enb">
    <w:name w:val="目次目（en）"/>
    <w:basedOn w:val="jab"/>
    <w:rsid w:val="00D17555"/>
    <w:rPr>
      <w:rFonts w:ascii="Century" w:eastAsia="Century" w:hAnsi="Century"/>
    </w:rPr>
  </w:style>
  <w:style w:type="paragraph" w:customStyle="1" w:styleId="jac">
    <w:name w:val="目次附則（ja）"/>
    <w:basedOn w:val="a"/>
    <w:rsid w:val="00D17555"/>
    <w:pPr>
      <w:widowControl w:val="0"/>
      <w:ind w:left="439" w:hanging="219"/>
    </w:pPr>
    <w:rPr>
      <w:rFonts w:ascii="ＭＳ 明朝" w:eastAsia="ＭＳ 明朝" w:hAnsi="ＭＳ 明朝" w:cs="Kochi Mincho"/>
    </w:rPr>
  </w:style>
  <w:style w:type="paragraph" w:customStyle="1" w:styleId="enc">
    <w:name w:val="目次附則（en）"/>
    <w:basedOn w:val="jac"/>
    <w:rsid w:val="00D17555"/>
    <w:rPr>
      <w:rFonts w:ascii="Century" w:eastAsia="Century" w:hAnsi="Century" w:cs="Century"/>
    </w:rPr>
  </w:style>
  <w:style w:type="paragraph" w:customStyle="1" w:styleId="jad">
    <w:name w:val="目次前文（ja）"/>
    <w:basedOn w:val="jac"/>
    <w:rsid w:val="00D17555"/>
  </w:style>
  <w:style w:type="paragraph" w:customStyle="1" w:styleId="end">
    <w:name w:val="目次前文（en）"/>
    <w:basedOn w:val="enc"/>
    <w:rsid w:val="00D17555"/>
  </w:style>
  <w:style w:type="paragraph" w:customStyle="1" w:styleId="jae">
    <w:name w:val="制定文（ja）"/>
    <w:basedOn w:val="a"/>
    <w:rsid w:val="00D17555"/>
    <w:pPr>
      <w:widowControl w:val="0"/>
      <w:ind w:firstLine="219"/>
    </w:pPr>
    <w:rPr>
      <w:rFonts w:ascii="ＭＳ 明朝" w:eastAsia="ＭＳ 明朝" w:hAnsi="ＭＳ 明朝" w:cs="ＭＳ 明朝"/>
    </w:rPr>
  </w:style>
  <w:style w:type="paragraph" w:customStyle="1" w:styleId="ene">
    <w:name w:val="制定文（en）"/>
    <w:basedOn w:val="jae"/>
    <w:rsid w:val="00D17555"/>
    <w:rPr>
      <w:rFonts w:ascii="Century" w:eastAsia="Century" w:hAnsi="Century" w:cs="Century"/>
    </w:rPr>
  </w:style>
  <w:style w:type="paragraph" w:customStyle="1" w:styleId="jaf">
    <w:name w:val="法令番号（ja）"/>
    <w:basedOn w:val="a"/>
    <w:rsid w:val="00D17555"/>
    <w:pPr>
      <w:widowControl w:val="0"/>
      <w:jc w:val="right"/>
    </w:pPr>
    <w:rPr>
      <w:rFonts w:ascii="ＭＳ 明朝" w:eastAsia="ＭＳ 明朝" w:hAnsi="ＭＳ 明朝" w:cs="Kochi Mincho"/>
    </w:rPr>
  </w:style>
  <w:style w:type="paragraph" w:customStyle="1" w:styleId="enf">
    <w:name w:val="法令番号（en）"/>
    <w:basedOn w:val="jaf"/>
    <w:rsid w:val="00D17555"/>
    <w:rPr>
      <w:rFonts w:ascii="Century" w:eastAsia="Century" w:hAnsi="Century" w:cs="Century"/>
    </w:rPr>
  </w:style>
  <w:style w:type="paragraph" w:customStyle="1" w:styleId="jaf0">
    <w:name w:val="目次（ja）"/>
    <w:basedOn w:val="a"/>
    <w:rsid w:val="00D17555"/>
    <w:rPr>
      <w:rFonts w:ascii="ＭＳ 明朝" w:eastAsia="ＭＳ 明朝" w:hAnsi="ＭＳ 明朝"/>
    </w:rPr>
  </w:style>
  <w:style w:type="paragraph" w:customStyle="1" w:styleId="enf0">
    <w:name w:val="目次（en）"/>
    <w:basedOn w:val="jaf0"/>
    <w:rsid w:val="00D17555"/>
    <w:rPr>
      <w:rFonts w:ascii="Century" w:eastAsia="Century" w:hAnsi="Century"/>
    </w:rPr>
  </w:style>
  <w:style w:type="paragraph" w:customStyle="1" w:styleId="jaf1">
    <w:name w:val="編（ja）"/>
    <w:basedOn w:val="a"/>
    <w:rsid w:val="00D17555"/>
    <w:pPr>
      <w:widowControl w:val="0"/>
      <w:ind w:left="661" w:hanging="221"/>
    </w:pPr>
    <w:rPr>
      <w:rFonts w:ascii="ＭＳ 明朝" w:eastAsia="ＭＳ 明朝" w:hAnsi="ＭＳ 明朝" w:cs="ＭＳ 明朝"/>
      <w:b/>
    </w:rPr>
  </w:style>
  <w:style w:type="paragraph" w:customStyle="1" w:styleId="enf1">
    <w:name w:val="編（en）"/>
    <w:basedOn w:val="jaf1"/>
    <w:rsid w:val="00D17555"/>
    <w:rPr>
      <w:rFonts w:ascii="Century" w:eastAsia="Century" w:hAnsi="Century" w:cs="Century"/>
    </w:rPr>
  </w:style>
  <w:style w:type="paragraph" w:customStyle="1" w:styleId="jaf2">
    <w:name w:val="節（ja）"/>
    <w:basedOn w:val="a"/>
    <w:rsid w:val="00D17555"/>
    <w:pPr>
      <w:widowControl w:val="0"/>
      <w:ind w:left="1101" w:hanging="221"/>
    </w:pPr>
    <w:rPr>
      <w:rFonts w:ascii="ＭＳ 明朝" w:eastAsia="ＭＳ 明朝" w:hAnsi="ＭＳ 明朝" w:cs="ＭＳ 明朝"/>
      <w:b/>
    </w:rPr>
  </w:style>
  <w:style w:type="paragraph" w:customStyle="1" w:styleId="enf2">
    <w:name w:val="節（en）"/>
    <w:basedOn w:val="jaf2"/>
    <w:rsid w:val="00D17555"/>
    <w:rPr>
      <w:rFonts w:ascii="Century" w:eastAsia="Century" w:hAnsi="Century" w:cs="Century"/>
    </w:rPr>
  </w:style>
  <w:style w:type="paragraph" w:customStyle="1" w:styleId="jaf3">
    <w:name w:val="条（ja）"/>
    <w:basedOn w:val="a"/>
    <w:rsid w:val="00D17555"/>
    <w:pPr>
      <w:widowControl w:val="0"/>
      <w:ind w:left="219" w:hanging="219"/>
    </w:pPr>
    <w:rPr>
      <w:rFonts w:ascii="ＭＳ 明朝" w:eastAsia="ＭＳ 明朝" w:hAnsi="ＭＳ 明朝" w:cs="ＭＳ 明朝"/>
    </w:rPr>
  </w:style>
  <w:style w:type="paragraph" w:customStyle="1" w:styleId="enf3">
    <w:name w:val="条（en）"/>
    <w:basedOn w:val="jaf3"/>
    <w:rsid w:val="00D17555"/>
    <w:rPr>
      <w:rFonts w:ascii="Century" w:eastAsia="Century" w:hAnsi="Century" w:cs="Century"/>
    </w:rPr>
  </w:style>
  <w:style w:type="paragraph" w:customStyle="1" w:styleId="jaf4">
    <w:name w:val="項（ja）"/>
    <w:basedOn w:val="a"/>
    <w:rsid w:val="00D17555"/>
    <w:pPr>
      <w:widowControl w:val="0"/>
      <w:ind w:left="219" w:hanging="219"/>
    </w:pPr>
    <w:rPr>
      <w:rFonts w:ascii="ＭＳ 明朝" w:eastAsia="ＭＳ 明朝" w:hAnsi="ＭＳ 明朝" w:cs="ＭＳ 明朝"/>
    </w:rPr>
  </w:style>
  <w:style w:type="paragraph" w:customStyle="1" w:styleId="enf4">
    <w:name w:val="項（en）"/>
    <w:basedOn w:val="jaf4"/>
    <w:rsid w:val="00D17555"/>
    <w:rPr>
      <w:rFonts w:ascii="Century" w:eastAsia="Century" w:hAnsi="Century" w:cs="Century"/>
    </w:rPr>
  </w:style>
  <w:style w:type="paragraph" w:customStyle="1" w:styleId="jaf5">
    <w:name w:val="項　番号なし（ja）"/>
    <w:basedOn w:val="a"/>
    <w:rsid w:val="00D17555"/>
    <w:pPr>
      <w:widowControl w:val="0"/>
      <w:ind w:firstLine="221"/>
    </w:pPr>
    <w:rPr>
      <w:rFonts w:ascii="ＭＳ 明朝" w:eastAsia="ＭＳ 明朝" w:hAnsi="ＭＳ 明朝" w:cs="ＭＳ 明朝"/>
    </w:rPr>
  </w:style>
  <w:style w:type="paragraph" w:customStyle="1" w:styleId="enf5">
    <w:name w:val="項　番号なし（en）"/>
    <w:basedOn w:val="jaf5"/>
    <w:rsid w:val="00D17555"/>
    <w:rPr>
      <w:rFonts w:ascii="Century" w:eastAsia="Century" w:hAnsi="Century" w:cs="Century"/>
    </w:rPr>
  </w:style>
  <w:style w:type="paragraph" w:customStyle="1" w:styleId="jaf6">
    <w:name w:val="号（ja）"/>
    <w:basedOn w:val="a"/>
    <w:rsid w:val="00D17555"/>
    <w:pPr>
      <w:widowControl w:val="0"/>
      <w:ind w:left="439" w:hanging="219"/>
    </w:pPr>
    <w:rPr>
      <w:rFonts w:ascii="ＭＳ 明朝" w:eastAsia="ＭＳ 明朝" w:hAnsi="ＭＳ 明朝" w:cs="ＭＳ 明朝"/>
    </w:rPr>
  </w:style>
  <w:style w:type="paragraph" w:customStyle="1" w:styleId="enf6">
    <w:name w:val="号（en）"/>
    <w:basedOn w:val="jaf6"/>
    <w:rsid w:val="00D17555"/>
    <w:rPr>
      <w:rFonts w:ascii="Century" w:eastAsia="Century" w:hAnsi="Century" w:cs="Century"/>
    </w:rPr>
  </w:style>
  <w:style w:type="paragraph" w:customStyle="1" w:styleId="jaf7">
    <w:name w:val="号　番号なし（ja）"/>
    <w:basedOn w:val="a"/>
    <w:rsid w:val="00D17555"/>
    <w:pPr>
      <w:widowControl w:val="0"/>
      <w:ind w:left="221" w:firstLine="221"/>
    </w:pPr>
    <w:rPr>
      <w:rFonts w:ascii="ＭＳ 明朝" w:eastAsia="ＭＳ 明朝" w:hAnsi="ＭＳ 明朝" w:cs="ＭＳ 明朝"/>
    </w:rPr>
  </w:style>
  <w:style w:type="paragraph" w:customStyle="1" w:styleId="enf7">
    <w:name w:val="号　番号なし（en）"/>
    <w:basedOn w:val="jaf7"/>
    <w:rsid w:val="00D17555"/>
    <w:rPr>
      <w:rFonts w:ascii="Century" w:eastAsia="Century" w:hAnsi="Century" w:cs="Century"/>
    </w:rPr>
  </w:style>
  <w:style w:type="paragraph" w:customStyle="1" w:styleId="jaf8">
    <w:name w:val="備考号（ja）"/>
    <w:basedOn w:val="a"/>
    <w:rsid w:val="00D17555"/>
    <w:pPr>
      <w:widowControl w:val="0"/>
      <w:ind w:left="659" w:hanging="219"/>
    </w:pPr>
    <w:rPr>
      <w:rFonts w:ascii="ＭＳ 明朝" w:eastAsia="ＭＳ 明朝" w:hAnsi="ＭＳ 明朝" w:cs="ＭＳ 明朝"/>
    </w:rPr>
  </w:style>
  <w:style w:type="paragraph" w:customStyle="1" w:styleId="enf8">
    <w:name w:val="備考号（en）"/>
    <w:basedOn w:val="jaf8"/>
    <w:rsid w:val="00D17555"/>
    <w:rPr>
      <w:rFonts w:ascii="Century" w:eastAsia="Century" w:hAnsi="Century" w:cs="Century"/>
    </w:rPr>
  </w:style>
  <w:style w:type="paragraph" w:customStyle="1" w:styleId="jaf9">
    <w:name w:val="号細分（ja）"/>
    <w:basedOn w:val="a"/>
    <w:rsid w:val="00D17555"/>
    <w:pPr>
      <w:widowControl w:val="0"/>
      <w:ind w:left="659" w:hanging="219"/>
    </w:pPr>
    <w:rPr>
      <w:rFonts w:ascii="ＭＳ 明朝" w:eastAsia="ＭＳ 明朝" w:hAnsi="ＭＳ 明朝" w:cs="ＭＳ 明朝"/>
    </w:rPr>
  </w:style>
  <w:style w:type="paragraph" w:customStyle="1" w:styleId="enf9">
    <w:name w:val="号細分（en）"/>
    <w:basedOn w:val="jaf9"/>
    <w:rsid w:val="00D17555"/>
    <w:rPr>
      <w:rFonts w:ascii="Century" w:eastAsia="Century" w:hAnsi="Century" w:cs="Century"/>
    </w:rPr>
  </w:style>
  <w:style w:type="paragraph" w:customStyle="1" w:styleId="jafa">
    <w:name w:val="号細分　番号なし（ja）"/>
    <w:basedOn w:val="a"/>
    <w:rsid w:val="00D17555"/>
    <w:pPr>
      <w:widowControl w:val="0"/>
      <w:ind w:left="439"/>
    </w:pPr>
    <w:rPr>
      <w:rFonts w:ascii="ＭＳ 明朝" w:eastAsia="ＭＳ 明朝" w:hAnsi="ＭＳ 明朝" w:cs="ＭＳ 明朝"/>
    </w:rPr>
  </w:style>
  <w:style w:type="paragraph" w:customStyle="1" w:styleId="enfa">
    <w:name w:val="号細分　番号なし（en）"/>
    <w:basedOn w:val="jafa"/>
    <w:rsid w:val="00D17555"/>
    <w:rPr>
      <w:rFonts w:ascii="Century" w:eastAsia="Century" w:hAnsi="Century" w:cs="Century"/>
    </w:rPr>
  </w:style>
  <w:style w:type="paragraph" w:customStyle="1" w:styleId="jafb">
    <w:name w:val="備考号細分（ja）"/>
    <w:basedOn w:val="a"/>
    <w:rsid w:val="00D17555"/>
    <w:pPr>
      <w:widowControl w:val="0"/>
      <w:ind w:left="1099" w:hanging="439"/>
    </w:pPr>
    <w:rPr>
      <w:rFonts w:ascii="ＭＳ 明朝" w:eastAsia="ＭＳ 明朝" w:hAnsi="ＭＳ 明朝" w:cs="ＭＳ 明朝"/>
    </w:rPr>
  </w:style>
  <w:style w:type="paragraph" w:customStyle="1" w:styleId="enfb">
    <w:name w:val="備考号細分（en）"/>
    <w:basedOn w:val="jafb"/>
    <w:rsid w:val="00D17555"/>
    <w:rPr>
      <w:rFonts w:ascii="Century" w:eastAsia="Century" w:hAnsi="Century" w:cs="Century"/>
    </w:rPr>
  </w:style>
  <w:style w:type="paragraph" w:customStyle="1" w:styleId="jafc">
    <w:name w:val="号細細分（ja）"/>
    <w:basedOn w:val="a"/>
    <w:rsid w:val="00D17555"/>
    <w:pPr>
      <w:widowControl w:val="0"/>
      <w:ind w:left="1099" w:hanging="439"/>
    </w:pPr>
    <w:rPr>
      <w:rFonts w:ascii="ＭＳ 明朝" w:eastAsia="ＭＳ 明朝" w:hAnsi="ＭＳ 明朝" w:cs="ＭＳ 明朝"/>
    </w:rPr>
  </w:style>
  <w:style w:type="paragraph" w:customStyle="1" w:styleId="enfc">
    <w:name w:val="号細細分（en）"/>
    <w:basedOn w:val="jafc"/>
    <w:rsid w:val="00D17555"/>
    <w:rPr>
      <w:rFonts w:ascii="Century" w:eastAsia="Century" w:hAnsi="Century" w:cs="Century"/>
    </w:rPr>
  </w:style>
  <w:style w:type="paragraph" w:customStyle="1" w:styleId="jafd">
    <w:name w:val="号細細分　番号なし（ja）"/>
    <w:basedOn w:val="a"/>
    <w:rsid w:val="00D17555"/>
    <w:pPr>
      <w:widowControl w:val="0"/>
      <w:ind w:left="659"/>
    </w:pPr>
    <w:rPr>
      <w:rFonts w:ascii="ＭＳ 明朝" w:eastAsia="ＭＳ 明朝" w:hAnsi="ＭＳ 明朝" w:cs="ＭＳ 明朝"/>
    </w:rPr>
  </w:style>
  <w:style w:type="paragraph" w:customStyle="1" w:styleId="enfd">
    <w:name w:val="号細細分　番号なし（en）"/>
    <w:basedOn w:val="jafd"/>
    <w:rsid w:val="00D17555"/>
    <w:rPr>
      <w:rFonts w:ascii="Century" w:eastAsia="Century" w:hAnsi="Century" w:cs="Century"/>
    </w:rPr>
  </w:style>
  <w:style w:type="paragraph" w:customStyle="1" w:styleId="jafe">
    <w:name w:val="備考号細細分（ja）"/>
    <w:basedOn w:val="a"/>
    <w:rsid w:val="00D17555"/>
    <w:pPr>
      <w:widowControl w:val="0"/>
      <w:ind w:left="1319" w:hanging="439"/>
    </w:pPr>
    <w:rPr>
      <w:rFonts w:ascii="ＭＳ 明朝" w:eastAsia="ＭＳ 明朝" w:hAnsi="ＭＳ 明朝" w:cs="ＭＳ 明朝"/>
    </w:rPr>
  </w:style>
  <w:style w:type="paragraph" w:customStyle="1" w:styleId="enfe">
    <w:name w:val="備考号細細分（en）"/>
    <w:basedOn w:val="jafe"/>
    <w:rsid w:val="00D17555"/>
    <w:rPr>
      <w:rFonts w:ascii="Century" w:eastAsia="Century" w:hAnsi="Century" w:cs="Century"/>
    </w:rPr>
  </w:style>
  <w:style w:type="paragraph" w:customStyle="1" w:styleId="jaff">
    <w:name w:val="号細細細分（ja）"/>
    <w:basedOn w:val="a"/>
    <w:rsid w:val="00D17555"/>
    <w:pPr>
      <w:widowControl w:val="0"/>
      <w:ind w:left="1319" w:hanging="439"/>
    </w:pPr>
    <w:rPr>
      <w:rFonts w:ascii="ＭＳ 明朝" w:eastAsia="ＭＳ 明朝" w:hAnsi="ＭＳ 明朝" w:cs="ＭＳ 明朝"/>
    </w:rPr>
  </w:style>
  <w:style w:type="paragraph" w:customStyle="1" w:styleId="enff">
    <w:name w:val="号細細細分（en）"/>
    <w:basedOn w:val="jaff"/>
    <w:rsid w:val="00D17555"/>
    <w:rPr>
      <w:rFonts w:ascii="Century" w:eastAsia="Century" w:hAnsi="Century" w:cs="Century"/>
    </w:rPr>
  </w:style>
  <w:style w:type="paragraph" w:customStyle="1" w:styleId="jaff0">
    <w:name w:val="号細細細分　番号なし（ja）"/>
    <w:basedOn w:val="a"/>
    <w:rsid w:val="00D17555"/>
    <w:pPr>
      <w:widowControl w:val="0"/>
      <w:ind w:left="879"/>
    </w:pPr>
    <w:rPr>
      <w:rFonts w:ascii="ＭＳ 明朝" w:eastAsia="ＭＳ 明朝" w:hAnsi="ＭＳ 明朝" w:cs="ＭＳ 明朝"/>
    </w:rPr>
  </w:style>
  <w:style w:type="paragraph" w:customStyle="1" w:styleId="enff0">
    <w:name w:val="号細細細分　番号なし（en）"/>
    <w:basedOn w:val="jaff0"/>
    <w:rsid w:val="00D17555"/>
    <w:rPr>
      <w:rFonts w:ascii="Century" w:eastAsia="Century" w:hAnsi="Century" w:cs="Century"/>
    </w:rPr>
  </w:style>
  <w:style w:type="paragraph" w:customStyle="1" w:styleId="jaff1">
    <w:name w:val="備考号細細細分（ja）"/>
    <w:basedOn w:val="a"/>
    <w:rsid w:val="00D175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7555"/>
    <w:rPr>
      <w:rFonts w:ascii="Century" w:eastAsia="Century" w:hAnsi="Century" w:cs="Century"/>
    </w:rPr>
  </w:style>
  <w:style w:type="paragraph" w:customStyle="1" w:styleId="jaff2">
    <w:name w:val="類（ja）"/>
    <w:basedOn w:val="a"/>
    <w:rsid w:val="00D17555"/>
    <w:pPr>
      <w:widowControl w:val="0"/>
      <w:ind w:left="439" w:hanging="219"/>
    </w:pPr>
    <w:rPr>
      <w:rFonts w:ascii="ＭＳ 明朝" w:eastAsia="ＭＳ 明朝" w:hAnsi="ＭＳ 明朝" w:cs="ＭＳ 明朝"/>
    </w:rPr>
  </w:style>
  <w:style w:type="paragraph" w:customStyle="1" w:styleId="enff2">
    <w:name w:val="類（en）"/>
    <w:basedOn w:val="jaff2"/>
    <w:rsid w:val="00D17555"/>
    <w:rPr>
      <w:rFonts w:ascii="Century" w:eastAsia="Century" w:hAnsi="Century" w:cs="Century"/>
    </w:rPr>
  </w:style>
  <w:style w:type="paragraph" w:customStyle="1" w:styleId="jaff3">
    <w:name w:val="公布文（ja）"/>
    <w:basedOn w:val="a"/>
    <w:rsid w:val="00D17555"/>
    <w:pPr>
      <w:widowControl w:val="0"/>
      <w:ind w:firstLine="219"/>
    </w:pPr>
    <w:rPr>
      <w:rFonts w:ascii="ＭＳ 明朝" w:eastAsia="ＭＳ 明朝" w:hAnsi="ＭＳ 明朝" w:cs="ＭＳ 明朝"/>
    </w:rPr>
  </w:style>
  <w:style w:type="paragraph" w:customStyle="1" w:styleId="enff3">
    <w:name w:val="公布文（en）"/>
    <w:basedOn w:val="jaff3"/>
    <w:rsid w:val="00D17555"/>
    <w:rPr>
      <w:rFonts w:ascii="Century" w:eastAsia="Century" w:hAnsi="Century" w:cs="Century"/>
    </w:rPr>
  </w:style>
  <w:style w:type="paragraph" w:customStyle="1" w:styleId="jaen">
    <w:name w:val="表（ja：en）"/>
    <w:basedOn w:val="a"/>
    <w:rsid w:val="00D17555"/>
    <w:pPr>
      <w:widowControl w:val="0"/>
      <w:snapToGrid w:val="0"/>
    </w:pPr>
    <w:rPr>
      <w:rFonts w:ascii="Century" w:eastAsia="ＭＳ 明朝" w:hAnsi="Century"/>
    </w:rPr>
  </w:style>
  <w:style w:type="paragraph" w:customStyle="1" w:styleId="jaff4">
    <w:name w:val="備考（ja）"/>
    <w:basedOn w:val="a"/>
    <w:rsid w:val="00D17555"/>
    <w:pPr>
      <w:widowControl w:val="0"/>
      <w:ind w:left="439" w:hanging="219"/>
    </w:pPr>
    <w:rPr>
      <w:rFonts w:ascii="ＭＳ 明朝" w:eastAsia="ＭＳ 明朝" w:hAnsi="ＭＳ 明朝" w:cs="ＭＳ 明朝"/>
    </w:rPr>
  </w:style>
  <w:style w:type="paragraph" w:customStyle="1" w:styleId="enff4">
    <w:name w:val="備考（en）"/>
    <w:basedOn w:val="jaff4"/>
    <w:rsid w:val="00D17555"/>
    <w:rPr>
      <w:rFonts w:ascii="Century" w:eastAsia="Century" w:hAnsi="Century" w:cs="Century"/>
    </w:rPr>
  </w:style>
  <w:style w:type="paragraph" w:customStyle="1" w:styleId="jaff5">
    <w:name w:val="表タイトル（ja）"/>
    <w:basedOn w:val="a"/>
    <w:rsid w:val="00D17555"/>
    <w:pPr>
      <w:widowControl w:val="0"/>
      <w:ind w:left="219"/>
    </w:pPr>
    <w:rPr>
      <w:rFonts w:ascii="ＭＳ 明朝" w:eastAsia="ＭＳ 明朝" w:hAnsi="ＭＳ 明朝" w:cs="ＭＳ 明朝"/>
    </w:rPr>
  </w:style>
  <w:style w:type="paragraph" w:customStyle="1" w:styleId="enff5">
    <w:name w:val="表タイトル（en）"/>
    <w:basedOn w:val="jaff5"/>
    <w:rsid w:val="00D17555"/>
    <w:rPr>
      <w:rFonts w:ascii="Century" w:eastAsia="Century" w:hAnsi="Century" w:cs="Century"/>
    </w:rPr>
  </w:style>
  <w:style w:type="paragraph" w:customStyle="1" w:styleId="jaff6">
    <w:name w:val="改正規定文（ja）"/>
    <w:basedOn w:val="a"/>
    <w:rsid w:val="00D17555"/>
    <w:pPr>
      <w:widowControl w:val="0"/>
      <w:ind w:left="219" w:firstLine="219"/>
    </w:pPr>
    <w:rPr>
      <w:rFonts w:ascii="ＭＳ 明朝" w:eastAsia="ＭＳ 明朝" w:hAnsi="ＭＳ 明朝" w:cs="ＭＳ 明朝"/>
    </w:rPr>
  </w:style>
  <w:style w:type="paragraph" w:customStyle="1" w:styleId="enff6">
    <w:name w:val="改正規定文（en）"/>
    <w:basedOn w:val="jaff6"/>
    <w:rsid w:val="00D17555"/>
    <w:rPr>
      <w:rFonts w:ascii="Century" w:eastAsia="Century" w:hAnsi="Century" w:cs="Century"/>
    </w:rPr>
  </w:style>
  <w:style w:type="paragraph" w:customStyle="1" w:styleId="jaff7">
    <w:name w:val="付記（ja）"/>
    <w:basedOn w:val="a"/>
    <w:rsid w:val="00D17555"/>
    <w:pPr>
      <w:widowControl w:val="0"/>
      <w:ind w:left="219" w:firstLine="219"/>
    </w:pPr>
    <w:rPr>
      <w:rFonts w:ascii="ＭＳ 明朝" w:eastAsia="ＭＳ 明朝" w:hAnsi="ＭＳ 明朝" w:cs="ＭＳ 明朝"/>
    </w:rPr>
  </w:style>
  <w:style w:type="paragraph" w:customStyle="1" w:styleId="enff7">
    <w:name w:val="付記（en）"/>
    <w:basedOn w:val="jaff7"/>
    <w:rsid w:val="00D17555"/>
    <w:rPr>
      <w:rFonts w:ascii="Century" w:eastAsia="Century" w:hAnsi="Century" w:cs="Century"/>
    </w:rPr>
  </w:style>
  <w:style w:type="paragraph" w:customStyle="1" w:styleId="jaff8">
    <w:name w:val="様式名（ja）"/>
    <w:basedOn w:val="a"/>
    <w:rsid w:val="00D17555"/>
    <w:pPr>
      <w:widowControl w:val="0"/>
      <w:ind w:left="439" w:hanging="219"/>
    </w:pPr>
    <w:rPr>
      <w:rFonts w:ascii="ＭＳ 明朝" w:eastAsia="ＭＳ 明朝" w:hAnsi="ＭＳ 明朝" w:cs="ＭＳ 明朝"/>
    </w:rPr>
  </w:style>
  <w:style w:type="paragraph" w:customStyle="1" w:styleId="enff8">
    <w:name w:val="様式名（en）"/>
    <w:basedOn w:val="jaff8"/>
    <w:rsid w:val="00D17555"/>
    <w:rPr>
      <w:rFonts w:ascii="Century" w:eastAsia="Century" w:hAnsi="Century" w:cs="Century"/>
    </w:rPr>
  </w:style>
  <w:style w:type="paragraph" w:customStyle="1" w:styleId="jaff9">
    <w:name w:val="様式項目（ja）"/>
    <w:basedOn w:val="a"/>
    <w:rsid w:val="00D17555"/>
    <w:pPr>
      <w:widowControl w:val="0"/>
      <w:ind w:left="221" w:firstLine="221"/>
    </w:pPr>
    <w:rPr>
      <w:rFonts w:ascii="ＭＳ 明朝" w:eastAsia="ＭＳ 明朝" w:hAnsi="ＭＳ 明朝" w:cs="ＭＳ 明朝"/>
    </w:rPr>
  </w:style>
  <w:style w:type="paragraph" w:customStyle="1" w:styleId="enff9">
    <w:name w:val="様式項目（en）"/>
    <w:basedOn w:val="jaff9"/>
    <w:rsid w:val="00D17555"/>
    <w:rPr>
      <w:rFonts w:ascii="Century" w:eastAsia="Century" w:hAnsi="Century" w:cs="Century"/>
    </w:rPr>
  </w:style>
  <w:style w:type="table" w:customStyle="1" w:styleId="1">
    <w:name w:val="表1"/>
    <w:rsid w:val="00D17555"/>
    <w:tblPr>
      <w:tblInd w:w="340" w:type="dxa"/>
      <w:tblCellMar>
        <w:top w:w="0" w:type="dxa"/>
        <w:left w:w="0" w:type="dxa"/>
        <w:bottom w:w="0" w:type="dxa"/>
        <w:right w:w="0" w:type="dxa"/>
      </w:tblCellMar>
    </w:tblPr>
  </w:style>
  <w:style w:type="numbering" w:customStyle="1" w:styleId="WW8Num1">
    <w:name w:val="WW8Num1"/>
    <w:rsid w:val="00D17555"/>
    <w:pPr>
      <w:numPr>
        <w:numId w:val="2"/>
      </w:numPr>
    </w:pPr>
  </w:style>
  <w:style w:type="numbering" w:customStyle="1" w:styleId="WW8Num2">
    <w:name w:val="WW8Num2"/>
    <w:rsid w:val="00D17555"/>
    <w:pPr>
      <w:numPr>
        <w:numId w:val="3"/>
      </w:numPr>
    </w:pPr>
  </w:style>
  <w:style w:type="numbering" w:customStyle="1" w:styleId="WW8Num3">
    <w:name w:val="WW8Num3"/>
    <w:rsid w:val="00D17555"/>
    <w:pPr>
      <w:numPr>
        <w:numId w:val="4"/>
      </w:numPr>
    </w:pPr>
  </w:style>
  <w:style w:type="numbering" w:customStyle="1" w:styleId="WW8Num4">
    <w:name w:val="WW8Num4"/>
    <w:rsid w:val="00D17555"/>
    <w:pPr>
      <w:numPr>
        <w:numId w:val="5"/>
      </w:numPr>
    </w:pPr>
  </w:style>
  <w:style w:type="numbering" w:customStyle="1" w:styleId="WW8Num5">
    <w:name w:val="WW8Num5"/>
    <w:rsid w:val="00D17555"/>
    <w:pPr>
      <w:numPr>
        <w:numId w:val="6"/>
      </w:numPr>
    </w:pPr>
  </w:style>
  <w:style w:type="numbering" w:customStyle="1" w:styleId="WW8Num6">
    <w:name w:val="WW8Num6"/>
    <w:rsid w:val="00D17555"/>
    <w:pPr>
      <w:numPr>
        <w:numId w:val="7"/>
      </w:numPr>
    </w:pPr>
  </w:style>
  <w:style w:type="numbering" w:customStyle="1" w:styleId="WW8Num7">
    <w:name w:val="WW8Num7"/>
    <w:rsid w:val="00D17555"/>
    <w:pPr>
      <w:numPr>
        <w:numId w:val="8"/>
      </w:numPr>
    </w:pPr>
  </w:style>
  <w:style w:type="numbering" w:customStyle="1" w:styleId="WW8Num8">
    <w:name w:val="WW8Num8"/>
    <w:rsid w:val="00D17555"/>
    <w:pPr>
      <w:numPr>
        <w:numId w:val="9"/>
      </w:numPr>
    </w:pPr>
  </w:style>
  <w:style w:type="numbering" w:customStyle="1" w:styleId="WW8Num9">
    <w:name w:val="WW8Num9"/>
    <w:rsid w:val="00D17555"/>
    <w:pPr>
      <w:numPr>
        <w:numId w:val="10"/>
      </w:numPr>
    </w:pPr>
  </w:style>
  <w:style w:type="numbering" w:customStyle="1" w:styleId="WW8Num10">
    <w:name w:val="WW8Num10"/>
    <w:rsid w:val="00D17555"/>
    <w:pPr>
      <w:numPr>
        <w:numId w:val="11"/>
      </w:numPr>
    </w:pPr>
  </w:style>
  <w:style w:type="numbering" w:customStyle="1" w:styleId="WW8Num11">
    <w:name w:val="WW8Num11"/>
    <w:rsid w:val="00D17555"/>
    <w:pPr>
      <w:numPr>
        <w:numId w:val="12"/>
      </w:numPr>
    </w:pPr>
  </w:style>
  <w:style w:type="numbering" w:customStyle="1" w:styleId="WW8Num12">
    <w:name w:val="WW8Num12"/>
    <w:rsid w:val="00D17555"/>
    <w:pPr>
      <w:numPr>
        <w:numId w:val="13"/>
      </w:numPr>
    </w:pPr>
  </w:style>
  <w:style w:type="paragraph" w:styleId="a4">
    <w:name w:val="header"/>
    <w:basedOn w:val="a"/>
    <w:link w:val="a5"/>
    <w:uiPriority w:val="99"/>
    <w:unhideWhenUsed/>
    <w:rsid w:val="00463C58"/>
    <w:pPr>
      <w:tabs>
        <w:tab w:val="center" w:pos="4252"/>
        <w:tab w:val="right" w:pos="8504"/>
      </w:tabs>
      <w:snapToGrid w:val="0"/>
    </w:pPr>
  </w:style>
  <w:style w:type="character" w:customStyle="1" w:styleId="a5">
    <w:name w:val="ヘッダー (文字)"/>
    <w:basedOn w:val="a0"/>
    <w:link w:val="a4"/>
    <w:uiPriority w:val="99"/>
    <w:rsid w:val="00463C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