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8EC" w:rsidRDefault="007E2C61">
      <w:pPr>
        <w:pStyle w:val="ja"/>
      </w:pPr>
      <w:r>
        <w:t>食品衛生法施行令</w:t>
      </w:r>
    </w:p>
    <w:p w:rsidR="006C28EC" w:rsidRDefault="006C28EC"/>
    <w:p w:rsidR="006C28EC" w:rsidRDefault="007E2C61">
      <w:pPr>
        <w:pStyle w:val="jaf"/>
      </w:pPr>
      <w:r>
        <w:t>（昭和二十八年八月三十一日政令第二百二十九号）</w:t>
      </w:r>
    </w:p>
    <w:p w:rsidR="006C28EC" w:rsidRDefault="006C28EC"/>
    <w:p w:rsidR="006C28EC" w:rsidRDefault="007E2C61">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6C28EC" w:rsidRDefault="006C28EC"/>
    <w:p w:rsidR="006C28EC" w:rsidRDefault="007E2C61">
      <w:pPr>
        <w:pStyle w:val="jaa"/>
      </w:pPr>
      <w:r>
        <w:t>（総合衛生管理製造過程の承認）</w:t>
      </w:r>
    </w:p>
    <w:p w:rsidR="006C28EC" w:rsidRDefault="007E2C61">
      <w:pPr>
        <w:pStyle w:val="jaf3"/>
      </w:pPr>
      <w:r>
        <w:t>第一条　食品衛生法（以下「法」という。）第十三条第一項の政令で定める食品は、次のとおりとする。</w:t>
      </w:r>
    </w:p>
    <w:p w:rsidR="006C28EC" w:rsidRDefault="007E2C61">
      <w:pPr>
        <w:pStyle w:val="jaf6"/>
      </w:pPr>
      <w:r>
        <w:t>一　牛乳、山羊乳、脱脂乳及び加工乳</w:t>
      </w:r>
    </w:p>
    <w:p w:rsidR="006C28EC" w:rsidRDefault="007E2C61">
      <w:pPr>
        <w:pStyle w:val="jaf6"/>
      </w:pPr>
      <w:r>
        <w:t>二　クリーム、アイスクリーム、無糖練乳、無糖脱脂練乳、脱脂粉乳、発酵乳、乳酸菌飲料及び乳飲料</w:t>
      </w:r>
    </w:p>
    <w:p w:rsidR="006C28EC" w:rsidRDefault="007E2C61">
      <w:pPr>
        <w:pStyle w:val="jaf6"/>
      </w:pPr>
      <w:r>
        <w:t>三　清涼飲料水</w:t>
      </w:r>
    </w:p>
    <w:p w:rsidR="006C28EC" w:rsidRDefault="007E2C61">
      <w:pPr>
        <w:pStyle w:val="jaf6"/>
      </w:pPr>
      <w:r>
        <w:t>四　食肉製品（ハム、ソーセージ、ベーコンその他これらに類するものをいう。第十三条において同じ。）</w:t>
      </w:r>
    </w:p>
    <w:p w:rsidR="006C28EC" w:rsidRDefault="007E2C61">
      <w:pPr>
        <w:pStyle w:val="jaf6"/>
      </w:pPr>
      <w:r>
        <w:t>五　魚肉練り製品（魚肉ハム、魚肉ソーセージ、鯨肉ベーコンその他これらに類するものを含む。）</w:t>
      </w:r>
    </w:p>
    <w:p w:rsidR="006C28EC" w:rsidRDefault="007E2C61">
      <w:pPr>
        <w:pStyle w:val="jaf6"/>
      </w:pPr>
      <w:r>
        <w:t>六　容器包装詰加圧加熱殺菌食品（食品（前各号に掲げる食品及び鯨肉製品（鯨肉ベーコンを除く。）を除く。）であつて、気密性のある容器包装に入れ、密封した後、加圧加熱殺菌したものをいう。）</w:t>
      </w:r>
    </w:p>
    <w:p w:rsidR="006C28EC" w:rsidRDefault="007E2C61">
      <w:pPr>
        <w:pStyle w:val="jaf4"/>
      </w:pPr>
      <w:r>
        <w:t>２　法第十三条第七項の政令で</w:t>
      </w:r>
      <w:r>
        <w:t>定める手数料の額は、次の各号に掲げる者の区分に応じ、それぞれ当該各号に定める額とする。</w:t>
      </w:r>
    </w:p>
    <w:p w:rsidR="006C28EC" w:rsidRDefault="007E2C61">
      <w:pPr>
        <w:pStyle w:val="jaf6"/>
      </w:pPr>
      <w:r>
        <w:t>一　法第十三条第一項の承認を受けようとする者　二十三万九千七百円</w:t>
      </w:r>
    </w:p>
    <w:p w:rsidR="006C28EC" w:rsidRDefault="007E2C61">
      <w:pPr>
        <w:pStyle w:val="jaf6"/>
      </w:pPr>
      <w:r>
        <w:t>二　法第十三条第四項の変更の承認を受けようとする者　九万六千九百円</w:t>
      </w:r>
    </w:p>
    <w:p w:rsidR="006C28EC" w:rsidRDefault="006C28EC"/>
    <w:p w:rsidR="006C28EC" w:rsidRDefault="007E2C61">
      <w:pPr>
        <w:pStyle w:val="jaa"/>
      </w:pPr>
      <w:r>
        <w:t>（総合衛生管理製造過程の承認の有効期間）</w:t>
      </w:r>
    </w:p>
    <w:p w:rsidR="006C28EC" w:rsidRDefault="007E2C61">
      <w:pPr>
        <w:pStyle w:val="jaf3"/>
      </w:pPr>
      <w:r>
        <w:t>第二条　法第十四条第一項の政令で定める期間は、三年とする。</w:t>
      </w:r>
    </w:p>
    <w:p w:rsidR="006C28EC" w:rsidRDefault="006C28EC"/>
    <w:p w:rsidR="006C28EC" w:rsidRDefault="007E2C61">
      <w:pPr>
        <w:pStyle w:val="jaa"/>
      </w:pPr>
      <w:r>
        <w:t>（総合衛生管理製造過程の承認の更新手数料の額）</w:t>
      </w:r>
    </w:p>
    <w:p w:rsidR="006C28EC" w:rsidRDefault="007E2C61">
      <w:pPr>
        <w:pStyle w:val="jaf3"/>
      </w:pPr>
      <w:r>
        <w:t>第三条　法第十四条第五項の政令で定める手数料の額は、十七万二百円とする。</w:t>
      </w:r>
    </w:p>
    <w:p w:rsidR="006C28EC" w:rsidRDefault="006C28EC"/>
    <w:p w:rsidR="006C28EC" w:rsidRDefault="007E2C61">
      <w:pPr>
        <w:pStyle w:val="jaa"/>
      </w:pPr>
      <w:r>
        <w:t>（法第二十五条第一項の検査）</w:t>
      </w:r>
    </w:p>
    <w:p w:rsidR="006C28EC" w:rsidRDefault="007E2C61">
      <w:pPr>
        <w:pStyle w:val="jaf3"/>
      </w:pPr>
      <w:r>
        <w:t>第四条　法第二十五条第一項の政</w:t>
      </w:r>
      <w:r>
        <w:t>令で定める添加物はタール色素とし、その検査を行う者は登録検査機関とする。</w:t>
      </w:r>
    </w:p>
    <w:p w:rsidR="006C28EC" w:rsidRDefault="007E2C61">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6C28EC" w:rsidRDefault="007E2C61">
      <w:pPr>
        <w:pStyle w:val="jaf4"/>
      </w:pPr>
      <w:r>
        <w:t>３　厚生労働大臣若しくは都道府県知事又は登録検査機関は、前項の申請書を受理した</w:t>
      </w:r>
      <w:r>
        <w:lastRenderedPageBreak/>
        <w:t>ときは、厚生労働省令で定めるところにより、試験品を採取するものとする。</w:t>
      </w:r>
    </w:p>
    <w:p w:rsidR="006C28EC" w:rsidRDefault="007E2C61">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6C28EC" w:rsidRDefault="006C28EC"/>
    <w:p w:rsidR="006C28EC" w:rsidRDefault="007E2C61">
      <w:pPr>
        <w:pStyle w:val="jaa"/>
      </w:pPr>
      <w:r>
        <w:t>（法第二十六条第一項の検査）</w:t>
      </w:r>
    </w:p>
    <w:p w:rsidR="006C28EC" w:rsidRDefault="007E2C61">
      <w:pPr>
        <w:pStyle w:val="jaf3"/>
      </w:pPr>
      <w:r>
        <w:t>第五条　法第二十六条第一項の規定による命令は、都道府</w:t>
      </w:r>
      <w:r>
        <w:t>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又は器具について、検査の項目、試験品の採取方法、検査の方法その他厚生労働省令で定める事項を記載した検査命令書により行うものとする。</w:t>
      </w:r>
    </w:p>
    <w:p w:rsidR="006C28EC" w:rsidRDefault="007E2C61">
      <w:pPr>
        <w:pStyle w:val="jaf4"/>
      </w:pPr>
      <w:r>
        <w:t>２　法第二十六条第一項の規定により検査を受けようとする者は、厚生労働省令で定めるところにより、都道府県知事又は登録検査機関に申請書を提出しなければならない。</w:t>
      </w:r>
    </w:p>
    <w:p w:rsidR="006C28EC" w:rsidRDefault="007E2C61">
      <w:pPr>
        <w:pStyle w:val="jaf4"/>
      </w:pPr>
      <w:r>
        <w:t>３　都道府県知事又は登録</w:t>
      </w:r>
      <w:r>
        <w:t>検査機関は、前項の申請書を受理したときは、検査命令書に記載されたところに従い、試験品を採取し、検査を行うものとする。</w:t>
      </w:r>
    </w:p>
    <w:p w:rsidR="006C28EC" w:rsidRDefault="006C28EC"/>
    <w:p w:rsidR="006C28EC" w:rsidRDefault="007E2C61">
      <w:pPr>
        <w:pStyle w:val="jaa"/>
      </w:pPr>
      <w:r>
        <w:t>（法第二十六条第二項の検査）</w:t>
      </w:r>
    </w:p>
    <w:p w:rsidR="006C28EC" w:rsidRDefault="007E2C61">
      <w:pPr>
        <w:pStyle w:val="jaf3"/>
      </w:pPr>
      <w:r>
        <w:t>第六条　法第二十六条第二項の規定により検査を受けようとする者は、厚生労働省令で定めるところにより、厚生労働大臣又は登録検査機関に申請書を提出しなければならない。</w:t>
      </w:r>
    </w:p>
    <w:p w:rsidR="006C28EC" w:rsidRDefault="007E2C61">
      <w:pPr>
        <w:pStyle w:val="jaf4"/>
      </w:pPr>
      <w:r>
        <w:t>２　厚生労働大臣又は登録検査機関は、前項の申請書を受理したときは、検査命令書に記載されたところに従い、試験品を採取し、検査を行うものとする。</w:t>
      </w:r>
    </w:p>
    <w:p w:rsidR="006C28EC" w:rsidRDefault="006C28EC"/>
    <w:p w:rsidR="006C28EC" w:rsidRDefault="007E2C61">
      <w:pPr>
        <w:pStyle w:val="jaa"/>
      </w:pPr>
      <w:r>
        <w:t>（法第二十六条第三項の検査）</w:t>
      </w:r>
    </w:p>
    <w:p w:rsidR="006C28EC" w:rsidRDefault="007E2C61">
      <w:pPr>
        <w:pStyle w:val="jaf3"/>
      </w:pPr>
      <w:r>
        <w:t>第七条　前条の規定は、法第</w:t>
      </w:r>
      <w:r>
        <w:t>二十六条第三項の検査について準用する。</w:t>
      </w:r>
    </w:p>
    <w:p w:rsidR="006C28EC" w:rsidRDefault="006C28EC"/>
    <w:p w:rsidR="006C28EC" w:rsidRDefault="007E2C61">
      <w:pPr>
        <w:pStyle w:val="jaa"/>
      </w:pPr>
      <w:r>
        <w:t>（食品衛生検査施設）</w:t>
      </w:r>
    </w:p>
    <w:p w:rsidR="006C28EC" w:rsidRDefault="007E2C61">
      <w:pPr>
        <w:pStyle w:val="jaf3"/>
      </w:pPr>
      <w:r>
        <w:t>第八条　法第二十九条第一項又は第二項の規定に基づき都道府県、保健所を設置する市又は特別区が設置する食品衛生検査施設には、検査又は試験のために必要な職員を置き、理化学検査室、微生物検査室、動物飼育室、事務室等を設け、並びに検査又は試験のために必要な機械及び器具であつて厚生労働省令で定めるものを備えなければならない。</w:t>
      </w:r>
    </w:p>
    <w:p w:rsidR="006C28EC" w:rsidRDefault="007E2C61">
      <w:pPr>
        <w:pStyle w:val="jaf4"/>
      </w:pPr>
      <w:r>
        <w:t>２　前項の食品衛生検査施設においては、厚生労働省令の定めるところにより、検査又は試験に関する事務を管理しなければならない。</w:t>
      </w:r>
    </w:p>
    <w:p w:rsidR="006C28EC" w:rsidRDefault="006C28EC"/>
    <w:p w:rsidR="006C28EC" w:rsidRDefault="007E2C61">
      <w:pPr>
        <w:pStyle w:val="jaa"/>
      </w:pPr>
      <w:r>
        <w:t>（食品</w:t>
      </w:r>
      <w:r>
        <w:t>衛生監視員の資格）</w:t>
      </w:r>
    </w:p>
    <w:p w:rsidR="006C28EC" w:rsidRDefault="007E2C61">
      <w:pPr>
        <w:pStyle w:val="jaf3"/>
      </w:pPr>
      <w:r>
        <w:t>第九条　食品衛生監視員は、次の各号の一に該当する者でなければならない。</w:t>
      </w:r>
    </w:p>
    <w:p w:rsidR="006C28EC" w:rsidRDefault="007E2C61">
      <w:pPr>
        <w:pStyle w:val="jaf6"/>
      </w:pPr>
      <w:r>
        <w:t>一　厚生労働大臣の登録を受けた食品衛生監視員の養成施設において、所定の課程を修了した者</w:t>
      </w:r>
    </w:p>
    <w:p w:rsidR="006C28EC" w:rsidRDefault="007E2C61">
      <w:pPr>
        <w:pStyle w:val="jaf6"/>
      </w:pPr>
      <w:r>
        <w:t>二　医師、歯科医師、薬剤師又は獣医師</w:t>
      </w:r>
    </w:p>
    <w:p w:rsidR="006C28EC" w:rsidRDefault="007E2C61">
      <w:pPr>
        <w:pStyle w:val="jaf6"/>
      </w:pPr>
      <w:r>
        <w:lastRenderedPageBreak/>
        <w:t>三　学校教育法（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w:t>
      </w:r>
    </w:p>
    <w:p w:rsidR="006C28EC" w:rsidRDefault="007E2C61">
      <w:pPr>
        <w:pStyle w:val="jaf6"/>
      </w:pPr>
      <w:r>
        <w:t>四　栄養士で二年以</w:t>
      </w:r>
      <w:r>
        <w:t>上食品衛生行政に関する事務に従事した経験を有するもの</w:t>
      </w:r>
    </w:p>
    <w:p w:rsidR="006C28EC" w:rsidRDefault="007E2C61">
      <w:pPr>
        <w:pStyle w:val="jaf4"/>
      </w:pPr>
      <w:r>
        <w:t>２　第十四条から第二十条までの規定は、前項第一号の養成施設について準用する。</w:t>
      </w:r>
    </w:p>
    <w:p w:rsidR="006C28EC" w:rsidRDefault="006C28EC"/>
    <w:p w:rsidR="006C28EC" w:rsidRDefault="007E2C61">
      <w:pPr>
        <w:pStyle w:val="jaa"/>
      </w:pPr>
      <w:r>
        <w:t>（登録検査機関の登録手数料の額）</w:t>
      </w:r>
    </w:p>
    <w:p w:rsidR="006C28EC" w:rsidRDefault="007E2C61">
      <w:pPr>
        <w:pStyle w:val="jaf3"/>
      </w:pPr>
      <w:r>
        <w:t>第十条　法第三十一条の政令で定める手数料の額は、二十万二千六百円とする。</w:t>
      </w:r>
    </w:p>
    <w:p w:rsidR="006C28EC" w:rsidRDefault="006C28EC"/>
    <w:p w:rsidR="006C28EC" w:rsidRDefault="007E2C61">
      <w:pPr>
        <w:pStyle w:val="jaa"/>
      </w:pPr>
      <w:r>
        <w:t>（登録検査機関の登録の有効期間）</w:t>
      </w:r>
    </w:p>
    <w:p w:rsidR="006C28EC" w:rsidRDefault="007E2C61">
      <w:pPr>
        <w:pStyle w:val="jaf3"/>
      </w:pPr>
      <w:r>
        <w:t>第十一条　法第三十四条第一項の政令で定める期間は、五年とする。</w:t>
      </w:r>
    </w:p>
    <w:p w:rsidR="006C28EC" w:rsidRDefault="006C28EC"/>
    <w:p w:rsidR="006C28EC" w:rsidRDefault="007E2C61">
      <w:pPr>
        <w:pStyle w:val="jaa"/>
      </w:pPr>
      <w:r>
        <w:t>（登録検査機関の登録更新手数料の額）</w:t>
      </w:r>
    </w:p>
    <w:p w:rsidR="006C28EC" w:rsidRDefault="007E2C61">
      <w:pPr>
        <w:pStyle w:val="jaf3"/>
      </w:pPr>
      <w:r>
        <w:t>第十二条　法第三十四条第二項において準用する法第三十一条の政令で定める手数料の額は、十三万千円とする。</w:t>
      </w:r>
    </w:p>
    <w:p w:rsidR="006C28EC" w:rsidRDefault="006C28EC"/>
    <w:p w:rsidR="006C28EC" w:rsidRDefault="007E2C61">
      <w:pPr>
        <w:pStyle w:val="jaa"/>
      </w:pPr>
      <w:r>
        <w:t>（食品等の指定）</w:t>
      </w:r>
    </w:p>
    <w:p w:rsidR="006C28EC" w:rsidRDefault="007E2C61">
      <w:pPr>
        <w:pStyle w:val="jaf3"/>
      </w:pPr>
      <w:r>
        <w:t>第十三条　法第四十八条第一項に規定する政令で定める食品及び添加物は、全粉乳（その容量が千四百グラム以下である缶に収められるものに限る。）、加糖粉乳、調製粉乳、食肉製品、魚肉ハム、魚肉ソーセージ、放射線照射食品、食用油脂（脱色又は脱臭の過程を経て製造されるものに限る。）、マーガリン、シヨートニング及び添加物（法第十一条第一項の規定により規格が定められたものに限る。）とする。</w:t>
      </w:r>
    </w:p>
    <w:p w:rsidR="006C28EC" w:rsidRDefault="006C28EC"/>
    <w:p w:rsidR="006C28EC" w:rsidRDefault="007E2C61">
      <w:pPr>
        <w:pStyle w:val="jaa"/>
      </w:pPr>
      <w:r>
        <w:t>（養成施設の登録）</w:t>
      </w:r>
    </w:p>
    <w:p w:rsidR="006C28EC" w:rsidRDefault="007E2C61">
      <w:pPr>
        <w:pStyle w:val="jaf3"/>
      </w:pPr>
      <w:r>
        <w:t>第十四条　厚生労働大臣は、法第四十八条第六項第三号の養成施設の登録を行う場合には、入所の資格、修業年限、受講科目その他の事項に関し厚生労働省令で定める基準に従い、行うものとする。</w:t>
      </w:r>
    </w:p>
    <w:p w:rsidR="006C28EC" w:rsidRDefault="006C28EC"/>
    <w:p w:rsidR="006C28EC" w:rsidRDefault="007E2C61">
      <w:pPr>
        <w:pStyle w:val="jaa"/>
      </w:pPr>
      <w:r>
        <w:t>（登録の申請）</w:t>
      </w:r>
    </w:p>
    <w:p w:rsidR="006C28EC" w:rsidRDefault="007E2C61">
      <w:pPr>
        <w:pStyle w:val="jaf3"/>
      </w:pPr>
      <w:r>
        <w:t>第十五条　法第四十八条第六項第三号の養成施設の登録を受けようとするときは、その設置者は、厚生労働省令で定めるところにより、申請書を厚生労働大臣に提出しなければならない。</w:t>
      </w:r>
    </w:p>
    <w:p w:rsidR="006C28EC" w:rsidRDefault="006C28EC"/>
    <w:p w:rsidR="006C28EC" w:rsidRDefault="007E2C61">
      <w:pPr>
        <w:pStyle w:val="jaa"/>
      </w:pPr>
      <w:r>
        <w:t>（変更の届出）</w:t>
      </w:r>
    </w:p>
    <w:p w:rsidR="006C28EC" w:rsidRDefault="007E2C61">
      <w:pPr>
        <w:pStyle w:val="jaf3"/>
      </w:pPr>
      <w:r>
        <w:t>第十六条　法第四十八条第六項第三号の登録を受けた養成施設（以下「登録養成施設」という。）の設置者は、厚生労</w:t>
      </w:r>
      <w:r>
        <w:t>働省令で定める事項に変更があつたときは、その日から一月以内に、厚生労働大臣に届け出なければならない。</w:t>
      </w:r>
    </w:p>
    <w:p w:rsidR="006C28EC" w:rsidRDefault="006C28EC"/>
    <w:p w:rsidR="006C28EC" w:rsidRDefault="007E2C61">
      <w:pPr>
        <w:pStyle w:val="jaa"/>
      </w:pPr>
      <w:r>
        <w:t>（報告の徴収）</w:t>
      </w:r>
    </w:p>
    <w:p w:rsidR="006C28EC" w:rsidRDefault="007E2C61">
      <w:pPr>
        <w:pStyle w:val="jaf3"/>
      </w:pPr>
      <w:r>
        <w:t>第十七条　厚生労働大臣は、登録養成施設につき必要があると認めるときは、その設置者に対して報告を求めることができる。</w:t>
      </w:r>
    </w:p>
    <w:p w:rsidR="006C28EC" w:rsidRDefault="006C28EC"/>
    <w:p w:rsidR="006C28EC" w:rsidRDefault="007E2C61">
      <w:pPr>
        <w:pStyle w:val="jaa"/>
      </w:pPr>
      <w:r>
        <w:t>（登録の取消し）</w:t>
      </w:r>
    </w:p>
    <w:p w:rsidR="006C28EC" w:rsidRDefault="007E2C61">
      <w:pPr>
        <w:pStyle w:val="jaf3"/>
      </w:pPr>
      <w:r>
        <w:t>第十八条　厚生労働大臣は、登録養成施設が第十四条に規定する厚生労働省令で定める基準に適合しなくなつたと認めるとき、又は次条の規定による申請があつたときは、その登録を取り消すことができる。</w:t>
      </w:r>
    </w:p>
    <w:p w:rsidR="006C28EC" w:rsidRDefault="006C28EC"/>
    <w:p w:rsidR="006C28EC" w:rsidRDefault="007E2C61">
      <w:pPr>
        <w:pStyle w:val="jaa"/>
      </w:pPr>
      <w:r>
        <w:t>（登録取消しの申請）</w:t>
      </w:r>
    </w:p>
    <w:p w:rsidR="006C28EC" w:rsidRDefault="007E2C61">
      <w:pPr>
        <w:pStyle w:val="jaf3"/>
      </w:pPr>
      <w:r>
        <w:t>第十九条　登録養成施設について、厚生労働大臣</w:t>
      </w:r>
      <w:r>
        <w:t>の登録の取消しを受けようとするときは、その設置者は、厚生労働省令で定めるところにより、申請書を厚生労働大臣に提出しなければならない。</w:t>
      </w:r>
    </w:p>
    <w:p w:rsidR="006C28EC" w:rsidRDefault="006C28EC"/>
    <w:p w:rsidR="006C28EC" w:rsidRDefault="007E2C61">
      <w:pPr>
        <w:pStyle w:val="jaa"/>
      </w:pPr>
      <w:r>
        <w:t>（公示）</w:t>
      </w:r>
    </w:p>
    <w:p w:rsidR="006C28EC" w:rsidRDefault="007E2C61">
      <w:pPr>
        <w:pStyle w:val="jaf3"/>
      </w:pPr>
      <w:r>
        <w:t>第二十条　厚生労働大臣は、次の場合には、その旨を官報に公示しなければならない。</w:t>
      </w:r>
    </w:p>
    <w:p w:rsidR="006C28EC" w:rsidRDefault="007E2C61">
      <w:pPr>
        <w:pStyle w:val="jaf6"/>
      </w:pPr>
      <w:r>
        <w:t>一　法第四十八条第六項第三号の登録をしたとき。</w:t>
      </w:r>
    </w:p>
    <w:p w:rsidR="006C28EC" w:rsidRDefault="007E2C61">
      <w:pPr>
        <w:pStyle w:val="jaf6"/>
      </w:pPr>
      <w:r>
        <w:t>二　第十六条の規定による届出（厚生労働省令で定めるものに係るものに限る。）があつたとき。</w:t>
      </w:r>
    </w:p>
    <w:p w:rsidR="006C28EC" w:rsidRDefault="007E2C61">
      <w:pPr>
        <w:pStyle w:val="jaf6"/>
      </w:pPr>
      <w:r>
        <w:t>三　第十八条の規定により法第四十八条第六項第三号の登録を取り消したとき。</w:t>
      </w:r>
    </w:p>
    <w:p w:rsidR="006C28EC" w:rsidRDefault="006C28EC"/>
    <w:p w:rsidR="006C28EC" w:rsidRDefault="007E2C61">
      <w:pPr>
        <w:pStyle w:val="jaa"/>
      </w:pPr>
      <w:r>
        <w:t>（講習会の登録）</w:t>
      </w:r>
    </w:p>
    <w:p w:rsidR="006C28EC" w:rsidRDefault="007E2C61">
      <w:pPr>
        <w:pStyle w:val="jaf3"/>
      </w:pPr>
      <w:r>
        <w:t>第二十一条　法第四十八条第六項第四号の講習会の登録を受けようとするときは、その実施者は、厚生労働省令で定めるところにより、厚生労働大臣に登録の申請をしなければならない。</w:t>
      </w:r>
    </w:p>
    <w:p w:rsidR="006C28EC" w:rsidRDefault="006C28EC"/>
    <w:p w:rsidR="006C28EC" w:rsidRDefault="007E2C61">
      <w:pPr>
        <w:pStyle w:val="jaa"/>
      </w:pPr>
      <w:r>
        <w:t>（欠格条項）</w:t>
      </w:r>
    </w:p>
    <w:p w:rsidR="006C28EC" w:rsidRDefault="007E2C61">
      <w:pPr>
        <w:pStyle w:val="jaf3"/>
      </w:pPr>
      <w:r>
        <w:t>第二十二条　次の各号のいずれかに該当する者は、法第四十八条第六項第四号の講習会の登録を受けることができない。</w:t>
      </w:r>
    </w:p>
    <w:p w:rsidR="006C28EC" w:rsidRDefault="007E2C61">
      <w:pPr>
        <w:pStyle w:val="jaf6"/>
      </w:pPr>
      <w:r>
        <w:t>一　法又は法に基づく処分に違反し、罰金以上の刑に処せられ、その執行を終わり、又は執行を受けることがなくなつた日から二年を経過しない者</w:t>
      </w:r>
    </w:p>
    <w:p w:rsidR="006C28EC" w:rsidRDefault="007E2C61">
      <w:pPr>
        <w:pStyle w:val="jaf6"/>
      </w:pPr>
      <w:r>
        <w:t>二　第三十条の規定により登録を取り消され、その取消しの日から二年を経過しない者</w:t>
      </w:r>
    </w:p>
    <w:p w:rsidR="006C28EC" w:rsidRDefault="007E2C61">
      <w:pPr>
        <w:pStyle w:val="jaf6"/>
      </w:pPr>
      <w:r>
        <w:t>三</w:t>
      </w:r>
      <w:r>
        <w:t xml:space="preserve">　法人であつて、その業務を行う役員のうちに前二号のいずれかに該当する者があるもの</w:t>
      </w:r>
    </w:p>
    <w:p w:rsidR="006C28EC" w:rsidRDefault="006C28EC"/>
    <w:p w:rsidR="006C28EC" w:rsidRDefault="007E2C61">
      <w:pPr>
        <w:pStyle w:val="jaa"/>
      </w:pPr>
      <w:r>
        <w:t>（登録の基準）</w:t>
      </w:r>
    </w:p>
    <w:p w:rsidR="006C28EC" w:rsidRDefault="007E2C61">
      <w:pPr>
        <w:pStyle w:val="jaf3"/>
      </w:pPr>
      <w:r>
        <w:t>第二十三条　厚生労働大臣は、第二十一条の規定により登録を申請した講習会の実施者が法第四十九条の厚生労働省令で定めるところにより講習会を実施するものであるときは、その登録をしなければならない。</w:t>
      </w:r>
    </w:p>
    <w:p w:rsidR="006C28EC" w:rsidRDefault="006C28EC"/>
    <w:p w:rsidR="006C28EC" w:rsidRDefault="007E2C61">
      <w:pPr>
        <w:pStyle w:val="jaa"/>
      </w:pPr>
      <w:r>
        <w:t>（講習会の実施義務）</w:t>
      </w:r>
    </w:p>
    <w:p w:rsidR="006C28EC" w:rsidRDefault="007E2C61">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w:t>
      </w:r>
      <w:r>
        <w:t>ければならない。</w:t>
      </w:r>
    </w:p>
    <w:p w:rsidR="006C28EC" w:rsidRDefault="007E2C61">
      <w:pPr>
        <w:pStyle w:val="jaf4"/>
      </w:pPr>
      <w:r>
        <w:t>２　登録講習会の実施者は、公正に、かつ、厚生労働省令で定める基準に適合する方法により登録講習会を実施しなければならない。</w:t>
      </w:r>
    </w:p>
    <w:p w:rsidR="006C28EC" w:rsidRDefault="007E2C61">
      <w:pPr>
        <w:pStyle w:val="jaf4"/>
      </w:pPr>
      <w:r>
        <w:t>３　登録講習会の実施者は、登録講習会の実施前に、第一項の規定により作成した計画を厚生労働大臣に届け出なければならない。これを変更しようとするときも、同様とする。</w:t>
      </w:r>
    </w:p>
    <w:p w:rsidR="006C28EC" w:rsidRDefault="006C28EC"/>
    <w:p w:rsidR="006C28EC" w:rsidRDefault="007E2C61">
      <w:pPr>
        <w:pStyle w:val="jaa"/>
      </w:pPr>
      <w:r>
        <w:t>（変更の届出）</w:t>
      </w:r>
    </w:p>
    <w:p w:rsidR="006C28EC" w:rsidRDefault="007E2C61">
      <w:pPr>
        <w:pStyle w:val="jaf3"/>
      </w:pPr>
      <w:r>
        <w:t>第二十五条　登録講習会の実施者は、厚生労働省令で定める事項を変更しようとするときは、変更しようとする日の二週間前までに、厚生労働大臣に届け出なければならない。</w:t>
      </w:r>
    </w:p>
    <w:p w:rsidR="006C28EC" w:rsidRDefault="006C28EC"/>
    <w:p w:rsidR="006C28EC" w:rsidRDefault="007E2C61">
      <w:pPr>
        <w:pStyle w:val="jaa"/>
      </w:pPr>
      <w:r>
        <w:t>（業務の休廃止）</w:t>
      </w:r>
    </w:p>
    <w:p w:rsidR="006C28EC" w:rsidRDefault="007E2C61">
      <w:pPr>
        <w:pStyle w:val="jaf3"/>
      </w:pPr>
      <w:r>
        <w:t xml:space="preserve">第二十六条　</w:t>
      </w:r>
      <w:r>
        <w:t>登録講習会の実施者は、登録講習会に係る業務の全部又は一部を休止し、又は廃止しようとするときは、厚生労働省令で定めるところにより、あらかじめ、その旨を厚生労働大臣に届け出なければならない。</w:t>
      </w:r>
    </w:p>
    <w:p w:rsidR="006C28EC" w:rsidRDefault="006C28EC"/>
    <w:p w:rsidR="006C28EC" w:rsidRDefault="007E2C61">
      <w:pPr>
        <w:pStyle w:val="jaa"/>
      </w:pPr>
      <w:r>
        <w:t>（財務諸表等の備付け及び閲覧等）</w:t>
      </w:r>
    </w:p>
    <w:p w:rsidR="006C28EC" w:rsidRDefault="007E2C61">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6C28EC" w:rsidRDefault="007E2C61">
      <w:pPr>
        <w:pStyle w:val="jaf4"/>
      </w:pPr>
      <w:r>
        <w:t>２　登録講習会を受講しようとする者その他</w:t>
      </w:r>
      <w:r>
        <w:t>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6C28EC" w:rsidRDefault="007E2C61">
      <w:pPr>
        <w:pStyle w:val="jaf6"/>
      </w:pPr>
      <w:r>
        <w:t>一　財務諸表等が書面をもつて作成されているときは、当該書面の閲覧又は謄写の請求</w:t>
      </w:r>
    </w:p>
    <w:p w:rsidR="006C28EC" w:rsidRDefault="007E2C61">
      <w:pPr>
        <w:pStyle w:val="jaf6"/>
      </w:pPr>
      <w:r>
        <w:t>二　前号の書面の謄本又は抄本の請求</w:t>
      </w:r>
    </w:p>
    <w:p w:rsidR="006C28EC" w:rsidRDefault="007E2C61">
      <w:pPr>
        <w:pStyle w:val="jaf6"/>
      </w:pPr>
      <w:r>
        <w:t>三　財務諸表等が電磁的記録をもつて作成されているときは、当該電磁的記録に記録された事項を厚生労働省令で定める方法により表示したものの閲覧又は謄写の請求</w:t>
      </w:r>
    </w:p>
    <w:p w:rsidR="006C28EC" w:rsidRDefault="007E2C61">
      <w:pPr>
        <w:pStyle w:val="jaf6"/>
      </w:pPr>
      <w:r>
        <w:t>四　前号の電磁的記録に記録された事項を電磁的方法で</w:t>
      </w:r>
      <w:r>
        <w:t>あつて厚生労働省令で定めるものにより提供することの請求又は当該事項を記載した書面の交付の請求</w:t>
      </w:r>
    </w:p>
    <w:p w:rsidR="006C28EC" w:rsidRDefault="006C28EC"/>
    <w:p w:rsidR="006C28EC" w:rsidRDefault="007E2C61">
      <w:pPr>
        <w:pStyle w:val="jaa"/>
      </w:pPr>
      <w:r>
        <w:t>（適合命令）</w:t>
      </w:r>
    </w:p>
    <w:p w:rsidR="006C28EC" w:rsidRDefault="007E2C61">
      <w:pPr>
        <w:pStyle w:val="jaf3"/>
      </w:pPr>
      <w:r>
        <w:t>第二十八条　厚生労働大臣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rsidR="006C28EC" w:rsidRDefault="006C28EC"/>
    <w:p w:rsidR="006C28EC" w:rsidRDefault="007E2C61">
      <w:pPr>
        <w:pStyle w:val="jaa"/>
      </w:pPr>
      <w:r>
        <w:t>（改善命令）</w:t>
      </w:r>
    </w:p>
    <w:p w:rsidR="006C28EC" w:rsidRDefault="007E2C61">
      <w:pPr>
        <w:pStyle w:val="jaf3"/>
      </w:pPr>
      <w:r>
        <w:t>第二十九条　厚生労働大臣は、登録講習会の実施者が第二十四条の規定に違反していると認めるときは、その登</w:t>
      </w:r>
      <w:r>
        <w:t>録講習会の実施者に対し、登録講習会を実施すべきこと又は登録講習会の実施方法その他の業務の方法の改善に関し必要な措置を執るべきことを命ずることができる。</w:t>
      </w:r>
    </w:p>
    <w:p w:rsidR="006C28EC" w:rsidRDefault="006C28EC"/>
    <w:p w:rsidR="006C28EC" w:rsidRDefault="007E2C61">
      <w:pPr>
        <w:pStyle w:val="jaa"/>
      </w:pPr>
      <w:r>
        <w:t>（登録の取消し等）</w:t>
      </w:r>
    </w:p>
    <w:p w:rsidR="006C28EC" w:rsidRDefault="007E2C61">
      <w:pPr>
        <w:pStyle w:val="jaf3"/>
      </w:pPr>
      <w:r>
        <w:t>第三十条　厚生労働大臣は、登録講習会の実施者が次の各号のいずれかに該当するときは、その登録を取り消し、又は期間を定めて登録講習会に係る業務の全部若しくは一部の停止を命ずることができる。</w:t>
      </w:r>
    </w:p>
    <w:p w:rsidR="006C28EC" w:rsidRDefault="007E2C61">
      <w:pPr>
        <w:pStyle w:val="jaf6"/>
      </w:pPr>
      <w:r>
        <w:t>一　第二十二条第一号又は第三号に該当するに至つたとき。</w:t>
      </w:r>
    </w:p>
    <w:p w:rsidR="006C28EC" w:rsidRDefault="007E2C61">
      <w:pPr>
        <w:pStyle w:val="jaf6"/>
      </w:pPr>
      <w:r>
        <w:t>二　第二十四条から第二十六条まで、第二十七条第一項又は次条の規定に違反したとき。</w:t>
      </w:r>
    </w:p>
    <w:p w:rsidR="006C28EC" w:rsidRDefault="007E2C61">
      <w:pPr>
        <w:pStyle w:val="jaf6"/>
      </w:pPr>
      <w:r>
        <w:t>三　正当な理由</w:t>
      </w:r>
      <w:r>
        <w:t>がないのに第二十七条第二項各号の規定による請求を拒んだとき。</w:t>
      </w:r>
    </w:p>
    <w:p w:rsidR="006C28EC" w:rsidRDefault="007E2C61">
      <w:pPr>
        <w:pStyle w:val="jaf6"/>
      </w:pPr>
      <w:r>
        <w:t>四　前二条の規定による命令に違反したとき。</w:t>
      </w:r>
    </w:p>
    <w:p w:rsidR="006C28EC" w:rsidRDefault="007E2C61">
      <w:pPr>
        <w:pStyle w:val="jaf6"/>
      </w:pPr>
      <w:r>
        <w:t>五　不正の手段により法第四十八条第六項第四号の登録を受けたとき。</w:t>
      </w:r>
    </w:p>
    <w:p w:rsidR="006C28EC" w:rsidRDefault="006C28EC"/>
    <w:p w:rsidR="006C28EC" w:rsidRDefault="007E2C61">
      <w:pPr>
        <w:pStyle w:val="jaa"/>
      </w:pPr>
      <w:r>
        <w:t>（帳簿の記載）</w:t>
      </w:r>
    </w:p>
    <w:p w:rsidR="006C28EC" w:rsidRDefault="007E2C61">
      <w:pPr>
        <w:pStyle w:val="jaf3"/>
      </w:pPr>
      <w:r>
        <w:t>第三十一条　登録講習会の実施者は、厚生労働省令で定めるところにより、帳簿を備え、登録講習会に関し厚生労働省令で定める事項を記載し、これを保存しなければならない。</w:t>
      </w:r>
    </w:p>
    <w:p w:rsidR="006C28EC" w:rsidRDefault="006C28EC"/>
    <w:p w:rsidR="006C28EC" w:rsidRDefault="007E2C61">
      <w:pPr>
        <w:pStyle w:val="jaa"/>
      </w:pPr>
      <w:r>
        <w:t>（報告の徴収）</w:t>
      </w:r>
    </w:p>
    <w:p w:rsidR="006C28EC" w:rsidRDefault="007E2C61">
      <w:pPr>
        <w:pStyle w:val="jaf3"/>
      </w:pPr>
      <w:r>
        <w:t>第三十二条　厚生労働大臣は、法及びこの政令の施行に必要な限度において、登録講習会の実施者に対し、その登録講習会に係る業務又は経理の状況に関し報告をさせることができる。</w:t>
      </w:r>
    </w:p>
    <w:p w:rsidR="006C28EC" w:rsidRDefault="006C28EC"/>
    <w:p w:rsidR="006C28EC" w:rsidRDefault="007E2C61">
      <w:pPr>
        <w:pStyle w:val="jaa"/>
      </w:pPr>
      <w:r>
        <w:t>（立入検査）</w:t>
      </w:r>
    </w:p>
    <w:p w:rsidR="006C28EC" w:rsidRDefault="007E2C61">
      <w:pPr>
        <w:pStyle w:val="jaf3"/>
      </w:pPr>
      <w:r>
        <w:t>第三十三条　厚生労働大臣は、法及びこの政令の施行に必要な限度において、その職員に、登録講習会の実施者の業務を行う場所に立ち入り、業務の状況又は帳簿、書類その他の物件を検査させることができる。</w:t>
      </w:r>
    </w:p>
    <w:p w:rsidR="006C28EC" w:rsidRDefault="007E2C61">
      <w:pPr>
        <w:pStyle w:val="jaf4"/>
      </w:pPr>
      <w:r>
        <w:t>２　前項の規定により立入検査をする職員は、その身分を示す証明書を携帯し、関係者に提示しなければならない。</w:t>
      </w:r>
    </w:p>
    <w:p w:rsidR="006C28EC" w:rsidRDefault="007E2C61">
      <w:pPr>
        <w:pStyle w:val="jaf4"/>
      </w:pPr>
      <w:r>
        <w:t>３　第一項の立入検査の権限は、犯罪捜査のために認められたものと解釈してはならない。</w:t>
      </w:r>
    </w:p>
    <w:p w:rsidR="006C28EC" w:rsidRDefault="006C28EC"/>
    <w:p w:rsidR="006C28EC" w:rsidRDefault="007E2C61">
      <w:pPr>
        <w:pStyle w:val="jaa"/>
      </w:pPr>
      <w:r>
        <w:t>（公示）</w:t>
      </w:r>
    </w:p>
    <w:p w:rsidR="006C28EC" w:rsidRDefault="007E2C61">
      <w:pPr>
        <w:pStyle w:val="jaf3"/>
      </w:pPr>
      <w:r>
        <w:t>第三十四条　厚生労働大臣は、次の場合には、その旨を官報に公示しなければならない。</w:t>
      </w:r>
    </w:p>
    <w:p w:rsidR="006C28EC" w:rsidRDefault="007E2C61">
      <w:pPr>
        <w:pStyle w:val="jaf6"/>
      </w:pPr>
      <w:r>
        <w:t>一　法第四十八条第六項第四号の登録を</w:t>
      </w:r>
      <w:r>
        <w:t>したとき。</w:t>
      </w:r>
    </w:p>
    <w:p w:rsidR="006C28EC" w:rsidRDefault="007E2C61">
      <w:pPr>
        <w:pStyle w:val="jaf6"/>
      </w:pPr>
      <w:r>
        <w:t>二　第二十五条又は第二十六条の規定による届出があつたとき。</w:t>
      </w:r>
    </w:p>
    <w:p w:rsidR="006C28EC" w:rsidRDefault="007E2C61">
      <w:pPr>
        <w:pStyle w:val="jaf6"/>
      </w:pPr>
      <w:r>
        <w:t>三　第三十条の規定により登録講習会の登録を取り消し、又は登録講習会に係る業務の停止を命じたとき。</w:t>
      </w:r>
    </w:p>
    <w:p w:rsidR="006C28EC" w:rsidRDefault="006C28EC"/>
    <w:p w:rsidR="006C28EC" w:rsidRDefault="007E2C61">
      <w:pPr>
        <w:pStyle w:val="jaa"/>
      </w:pPr>
      <w:r>
        <w:t>（営業の指定）</w:t>
      </w:r>
    </w:p>
    <w:p w:rsidR="006C28EC" w:rsidRDefault="007E2C61">
      <w:pPr>
        <w:pStyle w:val="jaf3"/>
      </w:pPr>
      <w:r>
        <w:t>第三十五条　法第五十一条の規定により都道府県が施設についての基準を定めるべき営業は、次のとおりとする。</w:t>
      </w:r>
    </w:p>
    <w:p w:rsidR="006C28EC" w:rsidRDefault="007E2C61">
      <w:pPr>
        <w:pStyle w:val="jaf6"/>
      </w:pPr>
      <w:r>
        <w:t>一　飲食店営業（一般食堂、料理店、すし屋、そば屋、旅館、仕出し屋、弁当屋、レストラン、カフエー、バー、キヤバレーその他食品を調理し、又は設備を設けて客に飲食させる営業をいい、次号に該当する営業を除く。）</w:t>
      </w:r>
    </w:p>
    <w:p w:rsidR="006C28EC" w:rsidRDefault="007E2C61">
      <w:pPr>
        <w:pStyle w:val="jaf6"/>
      </w:pPr>
      <w:r>
        <w:t>二　喫茶店営業（</w:t>
      </w:r>
      <w:r>
        <w:t>喫茶店、サロンその他設備を設けて酒類以外の飲物又は茶菓を客に飲食させる営業をいう。）</w:t>
      </w:r>
    </w:p>
    <w:p w:rsidR="006C28EC" w:rsidRDefault="007E2C61">
      <w:pPr>
        <w:pStyle w:val="jaf6"/>
      </w:pPr>
      <w:r>
        <w:t>三　菓子製造業（パン製造業を含む。）</w:t>
      </w:r>
    </w:p>
    <w:p w:rsidR="006C28EC" w:rsidRDefault="007E2C61">
      <w:pPr>
        <w:pStyle w:val="jaf6"/>
      </w:pPr>
      <w:r>
        <w:t>四　あん類製造業</w:t>
      </w:r>
    </w:p>
    <w:p w:rsidR="006C28EC" w:rsidRDefault="007E2C61">
      <w:pPr>
        <w:pStyle w:val="jaf6"/>
      </w:pPr>
      <w:r>
        <w:t>五　アイスクリーム類製造業（アイスクリーム、アイスシヤーベツト、アイスキヤンデーその他液体食品又はこれに他の食品を混和したものを凍結させた食品を製造する営業をいう。）</w:t>
      </w:r>
    </w:p>
    <w:p w:rsidR="006C28EC" w:rsidRDefault="007E2C61">
      <w:pPr>
        <w:pStyle w:val="jaf6"/>
      </w:pPr>
      <w:r>
        <w:t>六　乳処理業（牛乳（脱脂乳その他牛乳に類似する外観を有する乳飲料を含む。）又は山羊乳を処理し、又は製造する営業をいう。）</w:t>
      </w:r>
    </w:p>
    <w:p w:rsidR="006C28EC" w:rsidRDefault="007E2C61">
      <w:pPr>
        <w:pStyle w:val="jaf6"/>
      </w:pPr>
      <w:r>
        <w:t>七　特別牛乳搾取処理業（牛乳を搾取し、殺菌しないか、又は低温殺菌の方法によつて、</w:t>
      </w:r>
      <w:r>
        <w:t>これを厚生労働省令で定める成分規格を有する牛乳に処理する営業をいう。）</w:t>
      </w:r>
    </w:p>
    <w:p w:rsidR="006C28EC" w:rsidRDefault="007E2C61">
      <w:pPr>
        <w:pStyle w:val="jaf6"/>
      </w:pPr>
      <w:r>
        <w:t>八　乳製品製造業（粉乳、練乳、発酵乳、クリーム、バター、チーズその他乳を主要原料とする食品（牛乳に類似する外観を有する乳飲料を除く。）を製造する営業をいう。）</w:t>
      </w:r>
    </w:p>
    <w:p w:rsidR="006C28EC" w:rsidRDefault="007E2C61">
      <w:pPr>
        <w:pStyle w:val="jaf6"/>
      </w:pPr>
      <w:r>
        <w:t>九　集乳業（生牛乳又は生山羊乳を集荷し、これを保存する営業をいう。）</w:t>
      </w:r>
    </w:p>
    <w:p w:rsidR="006C28EC" w:rsidRDefault="007E2C61">
      <w:pPr>
        <w:pStyle w:val="jaf6"/>
      </w:pPr>
      <w:r>
        <w:t>十　乳類販売業（直接飲用に供される牛乳、山羊乳若しくは乳飲料（保存性のある容器に入れ、摂氏百十五度以上で十五分間以上加熱殺菌したものを除く。）又は乳を主要原料とするクリームを販売する営業をいう。）</w:t>
      </w:r>
    </w:p>
    <w:p w:rsidR="006C28EC" w:rsidRDefault="007E2C61">
      <w:pPr>
        <w:pStyle w:val="jaf6"/>
      </w:pPr>
      <w:r>
        <w:t>十一　食肉処</w:t>
      </w:r>
      <w:r>
        <w:t>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若しくは解体し、又は解体された鳥獣の肉、内臓等を分割し、若しくは細切する営業をいう。）</w:t>
      </w:r>
    </w:p>
    <w:p w:rsidR="006C28EC" w:rsidRDefault="007E2C61">
      <w:pPr>
        <w:pStyle w:val="jaf6"/>
      </w:pPr>
      <w:r>
        <w:t>十二　食肉販売業</w:t>
      </w:r>
    </w:p>
    <w:p w:rsidR="006C28EC" w:rsidRDefault="007E2C61">
      <w:pPr>
        <w:pStyle w:val="jaf6"/>
      </w:pPr>
      <w:r>
        <w:t>十三　食肉製品製造業（ハム、ソーセージ、ベーコンその他これらに類するものを製造する営業をいう。）</w:t>
      </w:r>
    </w:p>
    <w:p w:rsidR="006C28EC" w:rsidRDefault="007E2C61">
      <w:pPr>
        <w:pStyle w:val="jaf6"/>
      </w:pPr>
      <w:r>
        <w:t>十四　魚介類販売業（店舗を設け、鮮魚介類を販売する営業をいい、魚介類を生きているまま販売</w:t>
      </w:r>
      <w:r>
        <w:t>する営業及び次号に該当する営業を除く。）</w:t>
      </w:r>
    </w:p>
    <w:p w:rsidR="006C28EC" w:rsidRDefault="007E2C61">
      <w:pPr>
        <w:pStyle w:val="jaf6"/>
      </w:pPr>
      <w:r>
        <w:t>十五　魚介類せり売営業（鮮魚介類を魚介類市場においてせりの方法で販売する営業をいう。）</w:t>
      </w:r>
    </w:p>
    <w:p w:rsidR="006C28EC" w:rsidRDefault="007E2C61">
      <w:pPr>
        <w:pStyle w:val="jaf6"/>
      </w:pPr>
      <w:r>
        <w:t>十六　魚肉ねり製品製造業（魚肉ハム、魚肉ソーセージ、鯨肉ベーコンその他これらに類するものを製造する営業を含む。）</w:t>
      </w:r>
    </w:p>
    <w:p w:rsidR="006C28EC" w:rsidRDefault="007E2C61">
      <w:pPr>
        <w:pStyle w:val="jaf6"/>
      </w:pPr>
      <w:r>
        <w:t>十七　食品の冷凍又は冷蔵業</w:t>
      </w:r>
    </w:p>
    <w:p w:rsidR="006C28EC" w:rsidRDefault="007E2C61">
      <w:pPr>
        <w:pStyle w:val="jaf6"/>
      </w:pPr>
      <w:r>
        <w:t>十八　食品の放射線照射業</w:t>
      </w:r>
    </w:p>
    <w:p w:rsidR="006C28EC" w:rsidRDefault="007E2C61">
      <w:pPr>
        <w:pStyle w:val="jaf6"/>
      </w:pPr>
      <w:r>
        <w:t>十九　清涼飲料水製造業</w:t>
      </w:r>
    </w:p>
    <w:p w:rsidR="006C28EC" w:rsidRDefault="007E2C61">
      <w:pPr>
        <w:pStyle w:val="jaf6"/>
      </w:pPr>
      <w:r>
        <w:t>二十　乳酸菌飲料製造業</w:t>
      </w:r>
    </w:p>
    <w:p w:rsidR="006C28EC" w:rsidRDefault="007E2C61">
      <w:pPr>
        <w:pStyle w:val="jaf6"/>
      </w:pPr>
      <w:r>
        <w:t>二十一　氷雪製造業</w:t>
      </w:r>
    </w:p>
    <w:p w:rsidR="006C28EC" w:rsidRDefault="007E2C61">
      <w:pPr>
        <w:pStyle w:val="jaf6"/>
      </w:pPr>
      <w:r>
        <w:t>二十二　氷雪販売業</w:t>
      </w:r>
    </w:p>
    <w:p w:rsidR="006C28EC" w:rsidRDefault="007E2C61">
      <w:pPr>
        <w:pStyle w:val="jaf6"/>
      </w:pPr>
      <w:r>
        <w:t>二十三　食用油脂製造業</w:t>
      </w:r>
    </w:p>
    <w:p w:rsidR="006C28EC" w:rsidRDefault="007E2C61">
      <w:pPr>
        <w:pStyle w:val="jaf6"/>
      </w:pPr>
      <w:r>
        <w:t>二十四　マーガリン又はシヨートニング製造業</w:t>
      </w:r>
    </w:p>
    <w:p w:rsidR="006C28EC" w:rsidRDefault="007E2C61">
      <w:pPr>
        <w:pStyle w:val="jaf6"/>
      </w:pPr>
      <w:r>
        <w:t>二十五　みそ製造業</w:t>
      </w:r>
    </w:p>
    <w:p w:rsidR="006C28EC" w:rsidRDefault="007E2C61">
      <w:pPr>
        <w:pStyle w:val="jaf6"/>
      </w:pPr>
      <w:r>
        <w:t>二十六　醤しよう油製造業</w:t>
      </w:r>
    </w:p>
    <w:p w:rsidR="006C28EC" w:rsidRDefault="007E2C61">
      <w:pPr>
        <w:pStyle w:val="jaf6"/>
      </w:pPr>
      <w:r>
        <w:t>二十七　ソース類製造業（ウスターソース、果実ソース、果実ピユーレー、ケチヤツプ又はマヨネーズを製造する営業をいう。）</w:t>
      </w:r>
    </w:p>
    <w:p w:rsidR="006C28EC" w:rsidRDefault="007E2C61">
      <w:pPr>
        <w:pStyle w:val="jaf6"/>
      </w:pPr>
      <w:r>
        <w:t>二十八　酒類製造業</w:t>
      </w:r>
    </w:p>
    <w:p w:rsidR="006C28EC" w:rsidRDefault="007E2C61">
      <w:pPr>
        <w:pStyle w:val="jaf6"/>
      </w:pPr>
      <w:r>
        <w:t>二十九　豆腐製造業</w:t>
      </w:r>
    </w:p>
    <w:p w:rsidR="006C28EC" w:rsidRDefault="007E2C61">
      <w:pPr>
        <w:pStyle w:val="jaf6"/>
      </w:pPr>
      <w:r>
        <w:t>三十　納豆製造業</w:t>
      </w:r>
    </w:p>
    <w:p w:rsidR="006C28EC" w:rsidRDefault="007E2C61">
      <w:pPr>
        <w:pStyle w:val="jaf6"/>
      </w:pPr>
      <w:r>
        <w:t>三十一　めん類製造業</w:t>
      </w:r>
    </w:p>
    <w:p w:rsidR="006C28EC" w:rsidRDefault="007E2C61">
      <w:pPr>
        <w:pStyle w:val="jaf6"/>
      </w:pPr>
      <w:r>
        <w:t>三十二　そうざい製造業（通常副食物として供される煮物（つくだ煮を含む。）、焼物（いため物を含む。）、揚物、蒸し物、酢の物又はあえ物を製造する営業をいい、第十三号、第十六号又は第二十九号に該当する営業を除く。）</w:t>
      </w:r>
    </w:p>
    <w:p w:rsidR="006C28EC" w:rsidRDefault="007E2C61">
      <w:pPr>
        <w:pStyle w:val="jaf6"/>
      </w:pPr>
      <w:r>
        <w:t>三十三　缶詰又は瓶詰食品製造業（前各号に該当する営業を除く。）</w:t>
      </w:r>
    </w:p>
    <w:p w:rsidR="006C28EC" w:rsidRDefault="007E2C61">
      <w:pPr>
        <w:pStyle w:val="jaf6"/>
      </w:pPr>
      <w:r>
        <w:t>三十四　添加物製造業（法第十一条第一項の規定により規格が定められた添加物を製造する営業をいう。）</w:t>
      </w:r>
    </w:p>
    <w:p w:rsidR="006C28EC" w:rsidRDefault="006C28EC"/>
    <w:p w:rsidR="006C28EC" w:rsidRDefault="007E2C61">
      <w:pPr>
        <w:pStyle w:val="jaa"/>
      </w:pPr>
      <w:r>
        <w:t>（中毒原因の調査）</w:t>
      </w:r>
    </w:p>
    <w:p w:rsidR="006C28EC" w:rsidRDefault="007E2C61">
      <w:pPr>
        <w:pStyle w:val="jaf3"/>
      </w:pPr>
      <w:r>
        <w:t>第三十六条　法第五十八条第二項（法第六十二条第一項において準用する場合を含む。次条第一項において同じ。）の規定により保健所長が行うべき調査は、次のとおりとする。</w:t>
      </w:r>
    </w:p>
    <w:p w:rsidR="006C28EC" w:rsidRDefault="007E2C61">
      <w:pPr>
        <w:pStyle w:val="jaf6"/>
      </w:pPr>
      <w:r>
        <w:t>一　中毒の原因となつた食品、添加物、器具、容器包装又はおもちや（以下この条及び次条第二項において「食品等」という。）及び病因物質を追及するために必要な疫学的調査</w:t>
      </w:r>
    </w:p>
    <w:p w:rsidR="006C28EC" w:rsidRDefault="007E2C61">
      <w:pPr>
        <w:pStyle w:val="jaf6"/>
      </w:pPr>
      <w:r>
        <w:t>二　中毒した患者若しくはその疑いのある者若しくはその死体の血液、ふん</w:t>
      </w:r>
      <w:r>
        <w:t>便、尿若しくは吐物その他の物又は中毒の原因と思われる食品等についての微生物学的若しくは理化学的試験又は動物を用いる試験による調査</w:t>
      </w:r>
    </w:p>
    <w:p w:rsidR="006C28EC" w:rsidRDefault="006C28EC"/>
    <w:p w:rsidR="006C28EC" w:rsidRDefault="007E2C61">
      <w:pPr>
        <w:pStyle w:val="jaa"/>
      </w:pPr>
      <w:r>
        <w:t>（中毒に関する報告）</w:t>
      </w:r>
    </w:p>
    <w:p w:rsidR="006C28EC" w:rsidRDefault="007E2C61">
      <w:pPr>
        <w:pStyle w:val="jaf3"/>
      </w:pPr>
      <w:r>
        <w:t>第三十七条　保健所長は、法第五十八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rsidR="006C28EC" w:rsidRDefault="007E2C61">
      <w:pPr>
        <w:pStyle w:val="jaf4"/>
      </w:pPr>
      <w:r>
        <w:t>２　都道府県知事等は、法第五十八条第三項（法第六十二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rsidR="006C28EC" w:rsidRDefault="007E2C61">
      <w:pPr>
        <w:pStyle w:val="jaf4"/>
      </w:pPr>
      <w:r>
        <w:t>３　保健所長は、食中毒調査が終了した後、速やかに、厚生労働省令で定めるところにより報告書を作成し、都道府県知事等にこれを提出しなければならない。</w:t>
      </w:r>
    </w:p>
    <w:p w:rsidR="006C28EC" w:rsidRDefault="007E2C61">
      <w:pPr>
        <w:pStyle w:val="jaf4"/>
      </w:pPr>
      <w:r>
        <w:t>４　都道府県知事等は、前項の報告書を受理したときは、厚生労働省令で定めるところにより</w:t>
      </w:r>
      <w:r>
        <w:t>報告書を作成し、厚生労働大臣にこれを提出しなければならない。</w:t>
      </w:r>
    </w:p>
    <w:p w:rsidR="006C28EC" w:rsidRDefault="006C28EC"/>
    <w:p w:rsidR="006C28EC" w:rsidRDefault="007E2C61">
      <w:pPr>
        <w:pStyle w:val="jaa"/>
      </w:pPr>
      <w:r>
        <w:t>（大都市等の特例）</w:t>
      </w:r>
    </w:p>
    <w:p w:rsidR="006C28EC" w:rsidRDefault="007E2C61">
      <w:pPr>
        <w:pStyle w:val="jaf3"/>
      </w:pPr>
      <w:r>
        <w:t>第三十八条　地方自治法（昭和二十二年法律第六十七号）第二百五十二条の十九第一項の指定都市（以下この条において「指定都市」という。）において、法第六十七条の規定により、指定都市が処理する事務については、地方自治法施行令（昭和二十二年政令第十六号）第百七十四条の三十四に定めるところによる。</w:t>
      </w:r>
    </w:p>
    <w:p w:rsidR="006C28EC" w:rsidRDefault="007E2C61">
      <w:pPr>
        <w:pStyle w:val="jaf4"/>
      </w:pPr>
      <w:r>
        <w:t>２　地方自治法第二百五十二条の二十二第一項の中核市（以下この条において「中核市」という。）において、法第六十七条の規定により、中核市が処理す</w:t>
      </w:r>
      <w:r>
        <w:t>る事務については、地方自治法施行令第百七十四条の四十九の十三に定めるところによる。</w:t>
      </w:r>
    </w:p>
    <w:p w:rsidR="006C28EC" w:rsidRDefault="006C28EC"/>
    <w:p w:rsidR="006C28EC" w:rsidRDefault="007E2C61">
      <w:pPr>
        <w:pStyle w:val="jaa"/>
      </w:pPr>
      <w:r>
        <w:t>（法第六十九条第一項の営業）</w:t>
      </w:r>
    </w:p>
    <w:p w:rsidR="006C28EC" w:rsidRDefault="007E2C61">
      <w:pPr>
        <w:pStyle w:val="jaf3"/>
      </w:pPr>
      <w:r>
        <w:t>第三十九条　法第六十九条第一項の政令で定める営業は、第三十五条第一号、第二号、第十号、第十二号、第十四号及び第二十二号に掲げる営業とする。</w:t>
      </w:r>
    </w:p>
    <w:p w:rsidR="006C28EC" w:rsidRDefault="006C28EC"/>
    <w:p w:rsidR="006C28EC" w:rsidRDefault="007E2C61">
      <w:pPr>
        <w:pStyle w:val="jaa"/>
      </w:pPr>
      <w:r>
        <w:t>（事務の区分）</w:t>
      </w:r>
    </w:p>
    <w:p w:rsidR="006C28EC" w:rsidRDefault="007E2C61">
      <w:pPr>
        <w:pStyle w:val="jaf3"/>
      </w:pPr>
      <w:r>
        <w:t>第四十条　第三十七条の規定により都道府県、保健所を設置する市又は特別区が処理することとされている事務は、地方自治法第二条第九項第一号に規定する第一号法定受託事務とする。</w:t>
      </w:r>
    </w:p>
    <w:p w:rsidR="006C28EC" w:rsidRDefault="006C28EC"/>
    <w:p w:rsidR="006C28EC" w:rsidRDefault="007E2C61">
      <w:pPr>
        <w:pStyle w:val="jaa"/>
      </w:pPr>
      <w:r>
        <w:t>（権限の委任）</w:t>
      </w:r>
    </w:p>
    <w:p w:rsidR="006C28EC" w:rsidRDefault="007E2C61">
      <w:pPr>
        <w:pStyle w:val="jaf3"/>
      </w:pPr>
      <w:r>
        <w:t>第四十一条　この政令に規定する厚生労働大臣の権限は</w:t>
      </w:r>
      <w:r>
        <w:t>、厚生労働省令で定めるところにより、地方厚生局長に委任することができる。</w:t>
      </w:r>
    </w:p>
    <w:p w:rsidR="006C28EC" w:rsidRDefault="007E2C61">
      <w:pPr>
        <w:pStyle w:val="jaf4"/>
      </w:pPr>
      <w:r>
        <w:t>２　前項の規定により地方厚生局長に委任された権限は、厚生労働省令で定めるところにより、地方厚生支局長に委任することができる。</w:t>
      </w:r>
    </w:p>
    <w:sectPr w:rsidR="006C28EC" w:rsidSect="006C28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8EC" w:rsidRDefault="006C28EC" w:rsidP="006C28EC">
      <w:r>
        <w:separator/>
      </w:r>
    </w:p>
  </w:endnote>
  <w:endnote w:type="continuationSeparator" w:id="0">
    <w:p w:rsidR="006C28EC" w:rsidRDefault="006C28EC" w:rsidP="006C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8EC" w:rsidRDefault="006C28EC">
    <w:pPr>
      <w:pStyle w:val="a3"/>
    </w:pPr>
    <w:r>
      <w:fldChar w:fldCharType="begin"/>
    </w:r>
    <w:r>
      <w:instrText xml:space="preserve"> PAGE  \* MERGEFORMAT </w:instrText>
    </w:r>
    <w:r>
      <w:fldChar w:fldCharType="separate"/>
    </w:r>
    <w:r w:rsidR="007E2C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8EC" w:rsidRDefault="006C28EC" w:rsidP="006C28EC">
      <w:r>
        <w:separator/>
      </w:r>
    </w:p>
  </w:footnote>
  <w:footnote w:type="continuationSeparator" w:id="0">
    <w:p w:rsidR="006C28EC" w:rsidRDefault="006C28EC" w:rsidP="006C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CBD"/>
    <w:multiLevelType w:val="multilevel"/>
    <w:tmpl w:val="81204A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95005"/>
    <w:multiLevelType w:val="multilevel"/>
    <w:tmpl w:val="067070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A052EA"/>
    <w:multiLevelType w:val="multilevel"/>
    <w:tmpl w:val="3ED6FB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419A8"/>
    <w:multiLevelType w:val="multilevel"/>
    <w:tmpl w:val="FCA4B3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06CCC"/>
    <w:multiLevelType w:val="multilevel"/>
    <w:tmpl w:val="1BD62F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2A62C5"/>
    <w:multiLevelType w:val="multilevel"/>
    <w:tmpl w:val="FAFC3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C02C82"/>
    <w:multiLevelType w:val="multilevel"/>
    <w:tmpl w:val="879E25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96779"/>
    <w:multiLevelType w:val="multilevel"/>
    <w:tmpl w:val="D4042E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CC4DE4"/>
    <w:multiLevelType w:val="multilevel"/>
    <w:tmpl w:val="E16809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BB72F6"/>
    <w:multiLevelType w:val="multilevel"/>
    <w:tmpl w:val="5666E1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2712A"/>
    <w:multiLevelType w:val="multilevel"/>
    <w:tmpl w:val="32ECD2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DA0D58"/>
    <w:multiLevelType w:val="multilevel"/>
    <w:tmpl w:val="11D69D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A5DC2"/>
    <w:multiLevelType w:val="multilevel"/>
    <w:tmpl w:val="31C254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8"/>
  </w:num>
  <w:num w:numId="4">
    <w:abstractNumId w:val="7"/>
  </w:num>
  <w:num w:numId="5">
    <w:abstractNumId w:val="1"/>
  </w:num>
  <w:num w:numId="6">
    <w:abstractNumId w:val="6"/>
  </w:num>
  <w:num w:numId="7">
    <w:abstractNumId w:val="4"/>
  </w:num>
  <w:num w:numId="8">
    <w:abstractNumId w:val="2"/>
  </w:num>
  <w:num w:numId="9">
    <w:abstractNumId w:val="9"/>
  </w:num>
  <w:num w:numId="10">
    <w:abstractNumId w:val="0"/>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28EC"/>
    <w:rsid w:val="006C28EC"/>
    <w:rsid w:val="007E2C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8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28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28EC"/>
    <w:rPr>
      <w:rFonts w:ascii="Century" w:eastAsia="Century" w:hAnsi="Century"/>
    </w:rPr>
  </w:style>
  <w:style w:type="paragraph" w:customStyle="1" w:styleId="ja0">
    <w:name w:val="款（ja）"/>
    <w:basedOn w:val="a"/>
    <w:rsid w:val="006C28EC"/>
    <w:pPr>
      <w:widowControl w:val="0"/>
      <w:ind w:left="1321" w:hanging="221"/>
    </w:pPr>
    <w:rPr>
      <w:rFonts w:ascii="ＭＳ 明朝" w:eastAsia="ＭＳ 明朝" w:hAnsi="ＭＳ 明朝" w:cs="ＭＳ 明朝"/>
      <w:b/>
    </w:rPr>
  </w:style>
  <w:style w:type="paragraph" w:customStyle="1" w:styleId="en0">
    <w:name w:val="款（en）"/>
    <w:basedOn w:val="ja0"/>
    <w:rsid w:val="006C28EC"/>
    <w:rPr>
      <w:rFonts w:ascii="Century" w:eastAsia="Century" w:hAnsi="Century" w:cs="Century"/>
    </w:rPr>
  </w:style>
  <w:style w:type="paragraph" w:customStyle="1" w:styleId="ja1">
    <w:name w:val="前文（ja）"/>
    <w:basedOn w:val="a"/>
    <w:rsid w:val="006C28EC"/>
    <w:pPr>
      <w:widowControl w:val="0"/>
      <w:ind w:firstLine="219"/>
    </w:pPr>
    <w:rPr>
      <w:rFonts w:ascii="ＭＳ 明朝" w:eastAsia="ＭＳ 明朝" w:hAnsi="ＭＳ 明朝" w:cs="ＭＳ 明朝"/>
    </w:rPr>
  </w:style>
  <w:style w:type="paragraph" w:customStyle="1" w:styleId="en1">
    <w:name w:val="前文（en）"/>
    <w:basedOn w:val="ja1"/>
    <w:rsid w:val="006C28EC"/>
    <w:rPr>
      <w:rFonts w:ascii="Century" w:eastAsia="Century" w:hAnsi="Century" w:cs="Century"/>
    </w:rPr>
  </w:style>
  <w:style w:type="paragraph" w:customStyle="1" w:styleId="ja2">
    <w:name w:val="附則（ja）"/>
    <w:basedOn w:val="a"/>
    <w:rsid w:val="006C28EC"/>
    <w:pPr>
      <w:widowControl w:val="0"/>
      <w:ind w:left="881" w:hanging="221"/>
    </w:pPr>
    <w:rPr>
      <w:rFonts w:ascii="ＭＳ 明朝" w:eastAsia="ＭＳ 明朝" w:hAnsi="ＭＳ 明朝" w:cs="ＭＳ 明朝"/>
      <w:b/>
    </w:rPr>
  </w:style>
  <w:style w:type="paragraph" w:customStyle="1" w:styleId="en2">
    <w:name w:val="附則（en）"/>
    <w:basedOn w:val="ja2"/>
    <w:rsid w:val="006C28EC"/>
    <w:rPr>
      <w:rFonts w:ascii="Century" w:hAnsi="Century" w:cs="Century"/>
    </w:rPr>
  </w:style>
  <w:style w:type="paragraph" w:customStyle="1" w:styleId="ja3">
    <w:name w:val="章（ja）"/>
    <w:basedOn w:val="a"/>
    <w:rsid w:val="006C28EC"/>
    <w:pPr>
      <w:widowControl w:val="0"/>
      <w:ind w:left="881" w:hanging="221"/>
    </w:pPr>
    <w:rPr>
      <w:rFonts w:ascii="ＭＳ 明朝" w:eastAsia="ＭＳ 明朝" w:hAnsi="ＭＳ 明朝" w:cs="ＭＳ 明朝"/>
      <w:b/>
    </w:rPr>
  </w:style>
  <w:style w:type="paragraph" w:customStyle="1" w:styleId="en3">
    <w:name w:val="章（en）"/>
    <w:basedOn w:val="ja3"/>
    <w:rsid w:val="006C28EC"/>
    <w:rPr>
      <w:rFonts w:ascii="Century" w:eastAsia="Century" w:hAnsi="Century" w:cs="Century"/>
    </w:rPr>
  </w:style>
  <w:style w:type="paragraph" w:customStyle="1" w:styleId="ja4">
    <w:name w:val="目次編（ja）"/>
    <w:basedOn w:val="a"/>
    <w:rsid w:val="006C28EC"/>
    <w:pPr>
      <w:widowControl w:val="0"/>
      <w:ind w:left="219" w:hanging="219"/>
    </w:pPr>
    <w:rPr>
      <w:rFonts w:ascii="ＭＳ 明朝" w:eastAsia="ＭＳ 明朝" w:hAnsi="ＭＳ 明朝"/>
    </w:rPr>
  </w:style>
  <w:style w:type="paragraph" w:customStyle="1" w:styleId="en4">
    <w:name w:val="目次編（en）"/>
    <w:basedOn w:val="ja4"/>
    <w:rsid w:val="006C28EC"/>
    <w:rPr>
      <w:rFonts w:ascii="Century" w:eastAsia="Century" w:hAnsi="Century"/>
    </w:rPr>
  </w:style>
  <w:style w:type="paragraph" w:customStyle="1" w:styleId="ja5">
    <w:name w:val="目次章（ja）"/>
    <w:basedOn w:val="a"/>
    <w:rsid w:val="006C28EC"/>
    <w:pPr>
      <w:widowControl w:val="0"/>
      <w:ind w:left="439" w:hanging="219"/>
    </w:pPr>
    <w:rPr>
      <w:rFonts w:ascii="ＭＳ 明朝" w:eastAsia="ＭＳ 明朝" w:hAnsi="ＭＳ 明朝"/>
    </w:rPr>
  </w:style>
  <w:style w:type="paragraph" w:customStyle="1" w:styleId="en5">
    <w:name w:val="目次章（en）"/>
    <w:basedOn w:val="ja5"/>
    <w:rsid w:val="006C28EC"/>
    <w:rPr>
      <w:rFonts w:ascii="Century" w:eastAsia="Century" w:hAnsi="Century"/>
    </w:rPr>
  </w:style>
  <w:style w:type="paragraph" w:customStyle="1" w:styleId="ja6">
    <w:name w:val="目次節（ja）"/>
    <w:basedOn w:val="a"/>
    <w:rsid w:val="006C28EC"/>
    <w:pPr>
      <w:widowControl w:val="0"/>
      <w:ind w:left="659" w:hanging="219"/>
    </w:pPr>
    <w:rPr>
      <w:rFonts w:ascii="ＭＳ 明朝" w:eastAsia="ＭＳ 明朝" w:hAnsi="ＭＳ 明朝"/>
    </w:rPr>
  </w:style>
  <w:style w:type="paragraph" w:customStyle="1" w:styleId="en6">
    <w:name w:val="目次節（en）"/>
    <w:basedOn w:val="ja6"/>
    <w:rsid w:val="006C28EC"/>
    <w:rPr>
      <w:rFonts w:ascii="Century" w:eastAsia="Century" w:hAnsi="Century"/>
    </w:rPr>
  </w:style>
  <w:style w:type="paragraph" w:customStyle="1" w:styleId="ja7">
    <w:name w:val="目次款（ja）"/>
    <w:basedOn w:val="a"/>
    <w:rsid w:val="006C28EC"/>
    <w:pPr>
      <w:widowControl w:val="0"/>
      <w:ind w:left="879" w:hanging="219"/>
    </w:pPr>
    <w:rPr>
      <w:rFonts w:ascii="ＭＳ 明朝" w:eastAsia="ＭＳ 明朝" w:hAnsi="ＭＳ 明朝" w:cs="Kochi Mincho"/>
    </w:rPr>
  </w:style>
  <w:style w:type="paragraph" w:customStyle="1" w:styleId="en7">
    <w:name w:val="目次款（en）"/>
    <w:basedOn w:val="ja7"/>
    <w:rsid w:val="006C28EC"/>
    <w:rPr>
      <w:rFonts w:ascii="Century" w:eastAsia="Century" w:hAnsi="Century"/>
    </w:rPr>
  </w:style>
  <w:style w:type="paragraph" w:customStyle="1" w:styleId="ja8">
    <w:name w:val="別表名（ja）"/>
    <w:basedOn w:val="a"/>
    <w:rsid w:val="006C28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28EC"/>
    <w:rPr>
      <w:rFonts w:ascii="Century" w:eastAsia="Century" w:hAnsi="Century" w:cs="Century"/>
    </w:rPr>
  </w:style>
  <w:style w:type="paragraph" w:customStyle="1" w:styleId="ja9">
    <w:name w:val="目（ja）"/>
    <w:basedOn w:val="a"/>
    <w:rsid w:val="006C28EC"/>
    <w:pPr>
      <w:widowControl w:val="0"/>
      <w:ind w:left="1541" w:hanging="221"/>
    </w:pPr>
    <w:rPr>
      <w:rFonts w:ascii="ＭＳ 明朝" w:eastAsia="ＭＳ 明朝" w:hAnsi="ＭＳ 明朝" w:cs="ＭＳ 明朝"/>
      <w:b/>
    </w:rPr>
  </w:style>
  <w:style w:type="paragraph" w:customStyle="1" w:styleId="en9">
    <w:name w:val="目（en）"/>
    <w:basedOn w:val="ja9"/>
    <w:rsid w:val="006C28EC"/>
    <w:rPr>
      <w:rFonts w:ascii="Century" w:eastAsia="Century" w:hAnsi="Century" w:cs="Century"/>
    </w:rPr>
  </w:style>
  <w:style w:type="paragraph" w:customStyle="1" w:styleId="jaa">
    <w:name w:val="見出し（ja）"/>
    <w:basedOn w:val="a"/>
    <w:rsid w:val="006C28EC"/>
    <w:pPr>
      <w:widowControl w:val="0"/>
      <w:ind w:left="439" w:hanging="219"/>
    </w:pPr>
    <w:rPr>
      <w:rFonts w:ascii="ＭＳ 明朝" w:eastAsia="ＭＳ 明朝" w:hAnsi="ＭＳ 明朝" w:cs="ＭＳ 明朝"/>
    </w:rPr>
  </w:style>
  <w:style w:type="paragraph" w:customStyle="1" w:styleId="ena">
    <w:name w:val="見出し（en）"/>
    <w:basedOn w:val="jaa"/>
    <w:rsid w:val="006C28EC"/>
    <w:rPr>
      <w:rFonts w:ascii="Century" w:eastAsia="Century" w:hAnsi="Century" w:cs="Century"/>
    </w:rPr>
  </w:style>
  <w:style w:type="paragraph" w:styleId="a3">
    <w:name w:val="footer"/>
    <w:basedOn w:val="a"/>
    <w:rsid w:val="006C28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28EC"/>
    <w:pPr>
      <w:widowControl w:val="0"/>
      <w:ind w:left="1099" w:hanging="219"/>
    </w:pPr>
    <w:rPr>
      <w:rFonts w:ascii="ＭＳ 明朝" w:eastAsia="ＭＳ 明朝" w:hAnsi="ＭＳ 明朝" w:cs="Kochi Mincho"/>
    </w:rPr>
  </w:style>
  <w:style w:type="paragraph" w:customStyle="1" w:styleId="enb">
    <w:name w:val="目次目（en）"/>
    <w:basedOn w:val="jab"/>
    <w:rsid w:val="006C28EC"/>
    <w:rPr>
      <w:rFonts w:ascii="Century" w:eastAsia="Century" w:hAnsi="Century"/>
    </w:rPr>
  </w:style>
  <w:style w:type="paragraph" w:customStyle="1" w:styleId="jac">
    <w:name w:val="目次附則（ja）"/>
    <w:basedOn w:val="a"/>
    <w:rsid w:val="006C28EC"/>
    <w:pPr>
      <w:widowControl w:val="0"/>
      <w:ind w:left="439" w:hanging="219"/>
    </w:pPr>
    <w:rPr>
      <w:rFonts w:ascii="ＭＳ 明朝" w:eastAsia="ＭＳ 明朝" w:hAnsi="ＭＳ 明朝" w:cs="Kochi Mincho"/>
    </w:rPr>
  </w:style>
  <w:style w:type="paragraph" w:customStyle="1" w:styleId="enc">
    <w:name w:val="目次附則（en）"/>
    <w:basedOn w:val="jac"/>
    <w:rsid w:val="006C28EC"/>
    <w:rPr>
      <w:rFonts w:ascii="Century" w:eastAsia="Century" w:hAnsi="Century" w:cs="Century"/>
    </w:rPr>
  </w:style>
  <w:style w:type="paragraph" w:customStyle="1" w:styleId="jad">
    <w:name w:val="目次前文（ja）"/>
    <w:basedOn w:val="jac"/>
    <w:rsid w:val="006C28EC"/>
  </w:style>
  <w:style w:type="paragraph" w:customStyle="1" w:styleId="end">
    <w:name w:val="目次前文（en）"/>
    <w:basedOn w:val="enc"/>
    <w:rsid w:val="006C28EC"/>
  </w:style>
  <w:style w:type="paragraph" w:customStyle="1" w:styleId="jae">
    <w:name w:val="制定文（ja）"/>
    <w:basedOn w:val="a"/>
    <w:rsid w:val="006C28EC"/>
    <w:pPr>
      <w:widowControl w:val="0"/>
      <w:ind w:firstLine="219"/>
    </w:pPr>
    <w:rPr>
      <w:rFonts w:ascii="ＭＳ 明朝" w:eastAsia="ＭＳ 明朝" w:hAnsi="ＭＳ 明朝" w:cs="ＭＳ 明朝"/>
    </w:rPr>
  </w:style>
  <w:style w:type="paragraph" w:customStyle="1" w:styleId="ene">
    <w:name w:val="制定文（en）"/>
    <w:basedOn w:val="jae"/>
    <w:rsid w:val="006C28EC"/>
    <w:rPr>
      <w:rFonts w:ascii="Century" w:eastAsia="Century" w:hAnsi="Century" w:cs="Century"/>
    </w:rPr>
  </w:style>
  <w:style w:type="paragraph" w:customStyle="1" w:styleId="jaf">
    <w:name w:val="法令番号（ja）"/>
    <w:basedOn w:val="a"/>
    <w:rsid w:val="006C28EC"/>
    <w:pPr>
      <w:widowControl w:val="0"/>
      <w:jc w:val="right"/>
    </w:pPr>
    <w:rPr>
      <w:rFonts w:ascii="ＭＳ 明朝" w:eastAsia="ＭＳ 明朝" w:hAnsi="ＭＳ 明朝" w:cs="Kochi Mincho"/>
    </w:rPr>
  </w:style>
  <w:style w:type="paragraph" w:customStyle="1" w:styleId="enf">
    <w:name w:val="法令番号（en）"/>
    <w:basedOn w:val="jaf"/>
    <w:rsid w:val="006C28EC"/>
    <w:rPr>
      <w:rFonts w:ascii="Century" w:eastAsia="Century" w:hAnsi="Century" w:cs="Century"/>
    </w:rPr>
  </w:style>
  <w:style w:type="paragraph" w:customStyle="1" w:styleId="jaf0">
    <w:name w:val="目次（ja）"/>
    <w:basedOn w:val="a"/>
    <w:rsid w:val="006C28EC"/>
    <w:rPr>
      <w:rFonts w:ascii="ＭＳ 明朝" w:eastAsia="ＭＳ 明朝" w:hAnsi="ＭＳ 明朝"/>
    </w:rPr>
  </w:style>
  <w:style w:type="paragraph" w:customStyle="1" w:styleId="enf0">
    <w:name w:val="目次（en）"/>
    <w:basedOn w:val="jaf0"/>
    <w:rsid w:val="006C28EC"/>
    <w:rPr>
      <w:rFonts w:ascii="Century" w:eastAsia="Century" w:hAnsi="Century"/>
    </w:rPr>
  </w:style>
  <w:style w:type="paragraph" w:customStyle="1" w:styleId="jaf1">
    <w:name w:val="編（ja）"/>
    <w:basedOn w:val="a"/>
    <w:rsid w:val="006C28EC"/>
    <w:pPr>
      <w:widowControl w:val="0"/>
      <w:ind w:left="661" w:hanging="221"/>
    </w:pPr>
    <w:rPr>
      <w:rFonts w:ascii="ＭＳ 明朝" w:eastAsia="ＭＳ 明朝" w:hAnsi="ＭＳ 明朝" w:cs="ＭＳ 明朝"/>
      <w:b/>
    </w:rPr>
  </w:style>
  <w:style w:type="paragraph" w:customStyle="1" w:styleId="enf1">
    <w:name w:val="編（en）"/>
    <w:basedOn w:val="jaf1"/>
    <w:rsid w:val="006C28EC"/>
    <w:rPr>
      <w:rFonts w:ascii="Century" w:eastAsia="Century" w:hAnsi="Century" w:cs="Century"/>
    </w:rPr>
  </w:style>
  <w:style w:type="paragraph" w:customStyle="1" w:styleId="jaf2">
    <w:name w:val="節（ja）"/>
    <w:basedOn w:val="a"/>
    <w:rsid w:val="006C28EC"/>
    <w:pPr>
      <w:widowControl w:val="0"/>
      <w:ind w:left="1101" w:hanging="221"/>
    </w:pPr>
    <w:rPr>
      <w:rFonts w:ascii="ＭＳ 明朝" w:eastAsia="ＭＳ 明朝" w:hAnsi="ＭＳ 明朝" w:cs="ＭＳ 明朝"/>
      <w:b/>
    </w:rPr>
  </w:style>
  <w:style w:type="paragraph" w:customStyle="1" w:styleId="enf2">
    <w:name w:val="節（en）"/>
    <w:basedOn w:val="jaf2"/>
    <w:rsid w:val="006C28EC"/>
    <w:rPr>
      <w:rFonts w:ascii="Century" w:eastAsia="Century" w:hAnsi="Century" w:cs="Century"/>
    </w:rPr>
  </w:style>
  <w:style w:type="paragraph" w:customStyle="1" w:styleId="jaf3">
    <w:name w:val="条（ja）"/>
    <w:basedOn w:val="a"/>
    <w:rsid w:val="006C28EC"/>
    <w:pPr>
      <w:widowControl w:val="0"/>
      <w:ind w:left="219" w:hanging="219"/>
    </w:pPr>
    <w:rPr>
      <w:rFonts w:ascii="ＭＳ 明朝" w:eastAsia="ＭＳ 明朝" w:hAnsi="ＭＳ 明朝" w:cs="ＭＳ 明朝"/>
    </w:rPr>
  </w:style>
  <w:style w:type="paragraph" w:customStyle="1" w:styleId="enf3">
    <w:name w:val="条（en）"/>
    <w:basedOn w:val="jaf3"/>
    <w:rsid w:val="006C28EC"/>
    <w:rPr>
      <w:rFonts w:ascii="Century" w:eastAsia="Century" w:hAnsi="Century" w:cs="Century"/>
    </w:rPr>
  </w:style>
  <w:style w:type="paragraph" w:customStyle="1" w:styleId="jaf4">
    <w:name w:val="項（ja）"/>
    <w:basedOn w:val="a"/>
    <w:rsid w:val="006C28EC"/>
    <w:pPr>
      <w:widowControl w:val="0"/>
      <w:ind w:left="219" w:hanging="219"/>
    </w:pPr>
    <w:rPr>
      <w:rFonts w:ascii="ＭＳ 明朝" w:eastAsia="ＭＳ 明朝" w:hAnsi="ＭＳ 明朝" w:cs="ＭＳ 明朝"/>
    </w:rPr>
  </w:style>
  <w:style w:type="paragraph" w:customStyle="1" w:styleId="enf4">
    <w:name w:val="項（en）"/>
    <w:basedOn w:val="jaf4"/>
    <w:rsid w:val="006C28EC"/>
    <w:rPr>
      <w:rFonts w:ascii="Century" w:eastAsia="Century" w:hAnsi="Century" w:cs="Century"/>
    </w:rPr>
  </w:style>
  <w:style w:type="paragraph" w:customStyle="1" w:styleId="jaf5">
    <w:name w:val="項　番号なし（ja）"/>
    <w:basedOn w:val="a"/>
    <w:rsid w:val="006C28EC"/>
    <w:pPr>
      <w:widowControl w:val="0"/>
      <w:ind w:firstLine="221"/>
    </w:pPr>
    <w:rPr>
      <w:rFonts w:ascii="ＭＳ 明朝" w:eastAsia="ＭＳ 明朝" w:hAnsi="ＭＳ 明朝" w:cs="ＭＳ 明朝"/>
    </w:rPr>
  </w:style>
  <w:style w:type="paragraph" w:customStyle="1" w:styleId="enf5">
    <w:name w:val="項　番号なし（en）"/>
    <w:basedOn w:val="jaf5"/>
    <w:rsid w:val="006C28EC"/>
    <w:rPr>
      <w:rFonts w:ascii="Century" w:eastAsia="Century" w:hAnsi="Century" w:cs="Century"/>
    </w:rPr>
  </w:style>
  <w:style w:type="paragraph" w:customStyle="1" w:styleId="jaf6">
    <w:name w:val="号（ja）"/>
    <w:basedOn w:val="a"/>
    <w:rsid w:val="006C28EC"/>
    <w:pPr>
      <w:widowControl w:val="0"/>
      <w:ind w:left="439" w:hanging="219"/>
    </w:pPr>
    <w:rPr>
      <w:rFonts w:ascii="ＭＳ 明朝" w:eastAsia="ＭＳ 明朝" w:hAnsi="ＭＳ 明朝" w:cs="ＭＳ 明朝"/>
    </w:rPr>
  </w:style>
  <w:style w:type="paragraph" w:customStyle="1" w:styleId="enf6">
    <w:name w:val="号（en）"/>
    <w:basedOn w:val="jaf6"/>
    <w:rsid w:val="006C28EC"/>
    <w:rPr>
      <w:rFonts w:ascii="Century" w:eastAsia="Century" w:hAnsi="Century" w:cs="Century"/>
    </w:rPr>
  </w:style>
  <w:style w:type="paragraph" w:customStyle="1" w:styleId="jaf7">
    <w:name w:val="号　番号なし（ja）"/>
    <w:basedOn w:val="a"/>
    <w:rsid w:val="006C28EC"/>
    <w:pPr>
      <w:widowControl w:val="0"/>
      <w:ind w:left="221" w:firstLine="221"/>
    </w:pPr>
    <w:rPr>
      <w:rFonts w:ascii="ＭＳ 明朝" w:eastAsia="ＭＳ 明朝" w:hAnsi="ＭＳ 明朝" w:cs="ＭＳ 明朝"/>
    </w:rPr>
  </w:style>
  <w:style w:type="paragraph" w:customStyle="1" w:styleId="enf7">
    <w:name w:val="号　番号なし（en）"/>
    <w:basedOn w:val="jaf7"/>
    <w:rsid w:val="006C28EC"/>
    <w:rPr>
      <w:rFonts w:ascii="Century" w:eastAsia="Century" w:hAnsi="Century" w:cs="Century"/>
    </w:rPr>
  </w:style>
  <w:style w:type="paragraph" w:customStyle="1" w:styleId="jaf8">
    <w:name w:val="備考号（ja）"/>
    <w:basedOn w:val="a"/>
    <w:rsid w:val="006C28EC"/>
    <w:pPr>
      <w:widowControl w:val="0"/>
      <w:ind w:left="659" w:hanging="219"/>
    </w:pPr>
    <w:rPr>
      <w:rFonts w:ascii="ＭＳ 明朝" w:eastAsia="ＭＳ 明朝" w:hAnsi="ＭＳ 明朝" w:cs="ＭＳ 明朝"/>
    </w:rPr>
  </w:style>
  <w:style w:type="paragraph" w:customStyle="1" w:styleId="enf8">
    <w:name w:val="備考号（en）"/>
    <w:basedOn w:val="jaf8"/>
    <w:rsid w:val="006C28EC"/>
    <w:rPr>
      <w:rFonts w:ascii="Century" w:eastAsia="Century" w:hAnsi="Century" w:cs="Century"/>
    </w:rPr>
  </w:style>
  <w:style w:type="paragraph" w:customStyle="1" w:styleId="jaf9">
    <w:name w:val="号細分（ja）"/>
    <w:basedOn w:val="a"/>
    <w:rsid w:val="006C28EC"/>
    <w:pPr>
      <w:widowControl w:val="0"/>
      <w:ind w:left="659" w:hanging="219"/>
    </w:pPr>
    <w:rPr>
      <w:rFonts w:ascii="ＭＳ 明朝" w:eastAsia="ＭＳ 明朝" w:hAnsi="ＭＳ 明朝" w:cs="ＭＳ 明朝"/>
    </w:rPr>
  </w:style>
  <w:style w:type="paragraph" w:customStyle="1" w:styleId="enf9">
    <w:name w:val="号細分（en）"/>
    <w:basedOn w:val="jaf9"/>
    <w:rsid w:val="006C28EC"/>
    <w:rPr>
      <w:rFonts w:ascii="Century" w:eastAsia="Century" w:hAnsi="Century" w:cs="Century"/>
    </w:rPr>
  </w:style>
  <w:style w:type="paragraph" w:customStyle="1" w:styleId="jafa">
    <w:name w:val="号細分　番号なし（ja）"/>
    <w:basedOn w:val="a"/>
    <w:rsid w:val="006C28EC"/>
    <w:pPr>
      <w:widowControl w:val="0"/>
      <w:ind w:left="439"/>
    </w:pPr>
    <w:rPr>
      <w:rFonts w:ascii="ＭＳ 明朝" w:eastAsia="ＭＳ 明朝" w:hAnsi="ＭＳ 明朝" w:cs="ＭＳ 明朝"/>
    </w:rPr>
  </w:style>
  <w:style w:type="paragraph" w:customStyle="1" w:styleId="enfa">
    <w:name w:val="号細分　番号なし（en）"/>
    <w:basedOn w:val="jafa"/>
    <w:rsid w:val="006C28EC"/>
    <w:rPr>
      <w:rFonts w:ascii="Century" w:eastAsia="Century" w:hAnsi="Century" w:cs="Century"/>
    </w:rPr>
  </w:style>
  <w:style w:type="paragraph" w:customStyle="1" w:styleId="jafb">
    <w:name w:val="備考号細分（ja）"/>
    <w:basedOn w:val="a"/>
    <w:rsid w:val="006C28EC"/>
    <w:pPr>
      <w:widowControl w:val="0"/>
      <w:ind w:left="1099" w:hanging="439"/>
    </w:pPr>
    <w:rPr>
      <w:rFonts w:ascii="ＭＳ 明朝" w:eastAsia="ＭＳ 明朝" w:hAnsi="ＭＳ 明朝" w:cs="ＭＳ 明朝"/>
    </w:rPr>
  </w:style>
  <w:style w:type="paragraph" w:customStyle="1" w:styleId="enfb">
    <w:name w:val="備考号細分（en）"/>
    <w:basedOn w:val="jafb"/>
    <w:rsid w:val="006C28EC"/>
    <w:rPr>
      <w:rFonts w:ascii="Century" w:eastAsia="Century" w:hAnsi="Century" w:cs="Century"/>
    </w:rPr>
  </w:style>
  <w:style w:type="paragraph" w:customStyle="1" w:styleId="jafc">
    <w:name w:val="号細細分（ja）"/>
    <w:basedOn w:val="a"/>
    <w:rsid w:val="006C28EC"/>
    <w:pPr>
      <w:widowControl w:val="0"/>
      <w:ind w:left="1099" w:hanging="439"/>
    </w:pPr>
    <w:rPr>
      <w:rFonts w:ascii="ＭＳ 明朝" w:eastAsia="ＭＳ 明朝" w:hAnsi="ＭＳ 明朝" w:cs="ＭＳ 明朝"/>
    </w:rPr>
  </w:style>
  <w:style w:type="paragraph" w:customStyle="1" w:styleId="enfc">
    <w:name w:val="号細細分（en）"/>
    <w:basedOn w:val="jafc"/>
    <w:rsid w:val="006C28EC"/>
    <w:rPr>
      <w:rFonts w:ascii="Century" w:eastAsia="Century" w:hAnsi="Century" w:cs="Century"/>
    </w:rPr>
  </w:style>
  <w:style w:type="paragraph" w:customStyle="1" w:styleId="jafd">
    <w:name w:val="号細細分　番号なし（ja）"/>
    <w:basedOn w:val="a"/>
    <w:rsid w:val="006C28EC"/>
    <w:pPr>
      <w:widowControl w:val="0"/>
      <w:ind w:left="659"/>
    </w:pPr>
    <w:rPr>
      <w:rFonts w:ascii="ＭＳ 明朝" w:eastAsia="ＭＳ 明朝" w:hAnsi="ＭＳ 明朝" w:cs="ＭＳ 明朝"/>
    </w:rPr>
  </w:style>
  <w:style w:type="paragraph" w:customStyle="1" w:styleId="enfd">
    <w:name w:val="号細細分　番号なし（en）"/>
    <w:basedOn w:val="jafd"/>
    <w:rsid w:val="006C28EC"/>
    <w:rPr>
      <w:rFonts w:ascii="Century" w:eastAsia="Century" w:hAnsi="Century" w:cs="Century"/>
    </w:rPr>
  </w:style>
  <w:style w:type="paragraph" w:customStyle="1" w:styleId="jafe">
    <w:name w:val="備考号細細分（ja）"/>
    <w:basedOn w:val="a"/>
    <w:rsid w:val="006C28EC"/>
    <w:pPr>
      <w:widowControl w:val="0"/>
      <w:ind w:left="1319" w:hanging="439"/>
    </w:pPr>
    <w:rPr>
      <w:rFonts w:ascii="ＭＳ 明朝" w:eastAsia="ＭＳ 明朝" w:hAnsi="ＭＳ 明朝" w:cs="ＭＳ 明朝"/>
    </w:rPr>
  </w:style>
  <w:style w:type="paragraph" w:customStyle="1" w:styleId="enfe">
    <w:name w:val="備考号細細分（en）"/>
    <w:basedOn w:val="jafe"/>
    <w:rsid w:val="006C28EC"/>
    <w:rPr>
      <w:rFonts w:ascii="Century" w:eastAsia="Century" w:hAnsi="Century" w:cs="Century"/>
    </w:rPr>
  </w:style>
  <w:style w:type="paragraph" w:customStyle="1" w:styleId="jaff">
    <w:name w:val="号細細細分（ja）"/>
    <w:basedOn w:val="a"/>
    <w:rsid w:val="006C28EC"/>
    <w:pPr>
      <w:widowControl w:val="0"/>
      <w:ind w:left="1319" w:hanging="439"/>
    </w:pPr>
    <w:rPr>
      <w:rFonts w:ascii="ＭＳ 明朝" w:eastAsia="ＭＳ 明朝" w:hAnsi="ＭＳ 明朝" w:cs="ＭＳ 明朝"/>
    </w:rPr>
  </w:style>
  <w:style w:type="paragraph" w:customStyle="1" w:styleId="enff">
    <w:name w:val="号細細細分（en）"/>
    <w:basedOn w:val="jaff"/>
    <w:rsid w:val="006C28EC"/>
    <w:rPr>
      <w:rFonts w:ascii="Century" w:eastAsia="Century" w:hAnsi="Century" w:cs="Century"/>
    </w:rPr>
  </w:style>
  <w:style w:type="paragraph" w:customStyle="1" w:styleId="jaff0">
    <w:name w:val="号細細細分　番号なし（ja）"/>
    <w:basedOn w:val="a"/>
    <w:rsid w:val="006C28EC"/>
    <w:pPr>
      <w:widowControl w:val="0"/>
      <w:ind w:left="879"/>
    </w:pPr>
    <w:rPr>
      <w:rFonts w:ascii="ＭＳ 明朝" w:eastAsia="ＭＳ 明朝" w:hAnsi="ＭＳ 明朝" w:cs="ＭＳ 明朝"/>
    </w:rPr>
  </w:style>
  <w:style w:type="paragraph" w:customStyle="1" w:styleId="enff0">
    <w:name w:val="号細細細分　番号なし（en）"/>
    <w:basedOn w:val="jaff0"/>
    <w:rsid w:val="006C28EC"/>
    <w:rPr>
      <w:rFonts w:ascii="Century" w:eastAsia="Century" w:hAnsi="Century" w:cs="Century"/>
    </w:rPr>
  </w:style>
  <w:style w:type="paragraph" w:customStyle="1" w:styleId="jaff1">
    <w:name w:val="備考号細細細分（ja）"/>
    <w:basedOn w:val="a"/>
    <w:rsid w:val="006C28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28EC"/>
    <w:rPr>
      <w:rFonts w:ascii="Century" w:eastAsia="Century" w:hAnsi="Century" w:cs="Century"/>
    </w:rPr>
  </w:style>
  <w:style w:type="paragraph" w:customStyle="1" w:styleId="jaff2">
    <w:name w:val="類（ja）"/>
    <w:basedOn w:val="a"/>
    <w:rsid w:val="006C28EC"/>
    <w:pPr>
      <w:widowControl w:val="0"/>
      <w:ind w:left="439" w:hanging="219"/>
    </w:pPr>
    <w:rPr>
      <w:rFonts w:ascii="ＭＳ 明朝" w:eastAsia="ＭＳ 明朝" w:hAnsi="ＭＳ 明朝" w:cs="ＭＳ 明朝"/>
    </w:rPr>
  </w:style>
  <w:style w:type="paragraph" w:customStyle="1" w:styleId="enff2">
    <w:name w:val="類（en）"/>
    <w:basedOn w:val="jaff2"/>
    <w:rsid w:val="006C28EC"/>
    <w:rPr>
      <w:rFonts w:ascii="Century" w:eastAsia="Century" w:hAnsi="Century" w:cs="Century"/>
    </w:rPr>
  </w:style>
  <w:style w:type="paragraph" w:customStyle="1" w:styleId="jaff3">
    <w:name w:val="公布文（ja）"/>
    <w:basedOn w:val="a"/>
    <w:rsid w:val="006C28EC"/>
    <w:pPr>
      <w:widowControl w:val="0"/>
      <w:ind w:firstLine="219"/>
    </w:pPr>
    <w:rPr>
      <w:rFonts w:ascii="ＭＳ 明朝" w:eastAsia="ＭＳ 明朝" w:hAnsi="ＭＳ 明朝" w:cs="ＭＳ 明朝"/>
    </w:rPr>
  </w:style>
  <w:style w:type="paragraph" w:customStyle="1" w:styleId="enff3">
    <w:name w:val="公布文（en）"/>
    <w:basedOn w:val="jaff3"/>
    <w:rsid w:val="006C28EC"/>
    <w:rPr>
      <w:rFonts w:ascii="Century" w:eastAsia="Century" w:hAnsi="Century" w:cs="Century"/>
    </w:rPr>
  </w:style>
  <w:style w:type="paragraph" w:customStyle="1" w:styleId="jaen">
    <w:name w:val="表（ja：en）"/>
    <w:basedOn w:val="a"/>
    <w:rsid w:val="006C28EC"/>
    <w:pPr>
      <w:widowControl w:val="0"/>
      <w:snapToGrid w:val="0"/>
    </w:pPr>
    <w:rPr>
      <w:rFonts w:ascii="Century" w:eastAsia="ＭＳ 明朝" w:hAnsi="Century"/>
    </w:rPr>
  </w:style>
  <w:style w:type="paragraph" w:customStyle="1" w:styleId="jaff4">
    <w:name w:val="備考（ja）"/>
    <w:basedOn w:val="a"/>
    <w:rsid w:val="006C28EC"/>
    <w:pPr>
      <w:widowControl w:val="0"/>
      <w:ind w:left="439" w:hanging="219"/>
    </w:pPr>
    <w:rPr>
      <w:rFonts w:ascii="ＭＳ 明朝" w:eastAsia="ＭＳ 明朝" w:hAnsi="ＭＳ 明朝" w:cs="ＭＳ 明朝"/>
    </w:rPr>
  </w:style>
  <w:style w:type="paragraph" w:customStyle="1" w:styleId="enff4">
    <w:name w:val="備考（en）"/>
    <w:basedOn w:val="jaff4"/>
    <w:rsid w:val="006C28EC"/>
    <w:rPr>
      <w:rFonts w:ascii="Century" w:eastAsia="Century" w:hAnsi="Century" w:cs="Century"/>
    </w:rPr>
  </w:style>
  <w:style w:type="paragraph" w:customStyle="1" w:styleId="jaff5">
    <w:name w:val="表タイトル（ja）"/>
    <w:basedOn w:val="a"/>
    <w:rsid w:val="006C28EC"/>
    <w:pPr>
      <w:widowControl w:val="0"/>
      <w:ind w:left="219"/>
    </w:pPr>
    <w:rPr>
      <w:rFonts w:ascii="ＭＳ 明朝" w:eastAsia="ＭＳ 明朝" w:hAnsi="ＭＳ 明朝" w:cs="ＭＳ 明朝"/>
    </w:rPr>
  </w:style>
  <w:style w:type="paragraph" w:customStyle="1" w:styleId="enff5">
    <w:name w:val="表タイトル（en）"/>
    <w:basedOn w:val="jaff5"/>
    <w:rsid w:val="006C28EC"/>
    <w:rPr>
      <w:rFonts w:ascii="Century" w:eastAsia="Century" w:hAnsi="Century" w:cs="Century"/>
    </w:rPr>
  </w:style>
  <w:style w:type="paragraph" w:customStyle="1" w:styleId="jaff6">
    <w:name w:val="改正規定文（ja）"/>
    <w:basedOn w:val="a"/>
    <w:rsid w:val="006C28EC"/>
    <w:pPr>
      <w:widowControl w:val="0"/>
      <w:ind w:left="219" w:firstLine="219"/>
    </w:pPr>
    <w:rPr>
      <w:rFonts w:ascii="ＭＳ 明朝" w:eastAsia="ＭＳ 明朝" w:hAnsi="ＭＳ 明朝" w:cs="ＭＳ 明朝"/>
    </w:rPr>
  </w:style>
  <w:style w:type="paragraph" w:customStyle="1" w:styleId="enff6">
    <w:name w:val="改正規定文（en）"/>
    <w:basedOn w:val="jaff6"/>
    <w:rsid w:val="006C28EC"/>
    <w:rPr>
      <w:rFonts w:ascii="Century" w:eastAsia="Century" w:hAnsi="Century" w:cs="Century"/>
    </w:rPr>
  </w:style>
  <w:style w:type="paragraph" w:customStyle="1" w:styleId="jaff7">
    <w:name w:val="付記（ja）"/>
    <w:basedOn w:val="a"/>
    <w:rsid w:val="006C28EC"/>
    <w:pPr>
      <w:widowControl w:val="0"/>
      <w:ind w:left="219" w:firstLine="219"/>
    </w:pPr>
    <w:rPr>
      <w:rFonts w:ascii="ＭＳ 明朝" w:eastAsia="ＭＳ 明朝" w:hAnsi="ＭＳ 明朝" w:cs="ＭＳ 明朝"/>
    </w:rPr>
  </w:style>
  <w:style w:type="paragraph" w:customStyle="1" w:styleId="enff7">
    <w:name w:val="付記（en）"/>
    <w:basedOn w:val="jaff7"/>
    <w:rsid w:val="006C28EC"/>
    <w:rPr>
      <w:rFonts w:ascii="Century" w:eastAsia="Century" w:hAnsi="Century" w:cs="Century"/>
    </w:rPr>
  </w:style>
  <w:style w:type="paragraph" w:customStyle="1" w:styleId="jaff8">
    <w:name w:val="様式名（ja）"/>
    <w:basedOn w:val="a"/>
    <w:rsid w:val="006C28EC"/>
    <w:pPr>
      <w:widowControl w:val="0"/>
      <w:ind w:left="439" w:hanging="219"/>
    </w:pPr>
    <w:rPr>
      <w:rFonts w:ascii="ＭＳ 明朝" w:eastAsia="ＭＳ 明朝" w:hAnsi="ＭＳ 明朝" w:cs="ＭＳ 明朝"/>
    </w:rPr>
  </w:style>
  <w:style w:type="paragraph" w:customStyle="1" w:styleId="enff8">
    <w:name w:val="様式名（en）"/>
    <w:basedOn w:val="jaff8"/>
    <w:rsid w:val="006C28EC"/>
    <w:rPr>
      <w:rFonts w:ascii="Century" w:eastAsia="Century" w:hAnsi="Century" w:cs="Century"/>
    </w:rPr>
  </w:style>
  <w:style w:type="paragraph" w:customStyle="1" w:styleId="jaff9">
    <w:name w:val="様式項目（ja）"/>
    <w:basedOn w:val="a"/>
    <w:rsid w:val="006C28EC"/>
    <w:pPr>
      <w:widowControl w:val="0"/>
      <w:ind w:left="221" w:firstLine="221"/>
    </w:pPr>
    <w:rPr>
      <w:rFonts w:ascii="ＭＳ 明朝" w:eastAsia="ＭＳ 明朝" w:hAnsi="ＭＳ 明朝" w:cs="ＭＳ 明朝"/>
    </w:rPr>
  </w:style>
  <w:style w:type="paragraph" w:customStyle="1" w:styleId="enff9">
    <w:name w:val="様式項目（en）"/>
    <w:basedOn w:val="jaff9"/>
    <w:rsid w:val="006C28EC"/>
    <w:rPr>
      <w:rFonts w:ascii="Century" w:eastAsia="Century" w:hAnsi="Century" w:cs="Century"/>
    </w:rPr>
  </w:style>
  <w:style w:type="table" w:customStyle="1" w:styleId="1">
    <w:name w:val="表1"/>
    <w:rsid w:val="006C28EC"/>
    <w:tblPr>
      <w:tblInd w:w="340" w:type="dxa"/>
      <w:tblCellMar>
        <w:top w:w="0" w:type="dxa"/>
        <w:left w:w="0" w:type="dxa"/>
        <w:bottom w:w="0" w:type="dxa"/>
        <w:right w:w="0" w:type="dxa"/>
      </w:tblCellMar>
    </w:tblPr>
  </w:style>
  <w:style w:type="numbering" w:customStyle="1" w:styleId="WW8Num1">
    <w:name w:val="WW8Num1"/>
    <w:rsid w:val="006C28EC"/>
    <w:pPr>
      <w:numPr>
        <w:numId w:val="2"/>
      </w:numPr>
    </w:pPr>
  </w:style>
  <w:style w:type="numbering" w:customStyle="1" w:styleId="WW8Num2">
    <w:name w:val="WW8Num2"/>
    <w:rsid w:val="006C28EC"/>
    <w:pPr>
      <w:numPr>
        <w:numId w:val="3"/>
      </w:numPr>
    </w:pPr>
  </w:style>
  <w:style w:type="numbering" w:customStyle="1" w:styleId="WW8Num3">
    <w:name w:val="WW8Num3"/>
    <w:rsid w:val="006C28EC"/>
    <w:pPr>
      <w:numPr>
        <w:numId w:val="4"/>
      </w:numPr>
    </w:pPr>
  </w:style>
  <w:style w:type="numbering" w:customStyle="1" w:styleId="WW8Num4">
    <w:name w:val="WW8Num4"/>
    <w:rsid w:val="006C28EC"/>
    <w:pPr>
      <w:numPr>
        <w:numId w:val="5"/>
      </w:numPr>
    </w:pPr>
  </w:style>
  <w:style w:type="numbering" w:customStyle="1" w:styleId="WW8Num5">
    <w:name w:val="WW8Num5"/>
    <w:rsid w:val="006C28EC"/>
    <w:pPr>
      <w:numPr>
        <w:numId w:val="6"/>
      </w:numPr>
    </w:pPr>
  </w:style>
  <w:style w:type="numbering" w:customStyle="1" w:styleId="WW8Num6">
    <w:name w:val="WW8Num6"/>
    <w:rsid w:val="006C28EC"/>
    <w:pPr>
      <w:numPr>
        <w:numId w:val="7"/>
      </w:numPr>
    </w:pPr>
  </w:style>
  <w:style w:type="numbering" w:customStyle="1" w:styleId="WW8Num7">
    <w:name w:val="WW8Num7"/>
    <w:rsid w:val="006C28EC"/>
    <w:pPr>
      <w:numPr>
        <w:numId w:val="8"/>
      </w:numPr>
    </w:pPr>
  </w:style>
  <w:style w:type="numbering" w:customStyle="1" w:styleId="WW8Num8">
    <w:name w:val="WW8Num8"/>
    <w:rsid w:val="006C28EC"/>
    <w:pPr>
      <w:numPr>
        <w:numId w:val="9"/>
      </w:numPr>
    </w:pPr>
  </w:style>
  <w:style w:type="numbering" w:customStyle="1" w:styleId="WW8Num9">
    <w:name w:val="WW8Num9"/>
    <w:rsid w:val="006C28EC"/>
    <w:pPr>
      <w:numPr>
        <w:numId w:val="10"/>
      </w:numPr>
    </w:pPr>
  </w:style>
  <w:style w:type="numbering" w:customStyle="1" w:styleId="WW8Num10">
    <w:name w:val="WW8Num10"/>
    <w:rsid w:val="006C28EC"/>
    <w:pPr>
      <w:numPr>
        <w:numId w:val="11"/>
      </w:numPr>
    </w:pPr>
  </w:style>
  <w:style w:type="numbering" w:customStyle="1" w:styleId="WW8Num11">
    <w:name w:val="WW8Num11"/>
    <w:rsid w:val="006C28EC"/>
    <w:pPr>
      <w:numPr>
        <w:numId w:val="12"/>
      </w:numPr>
    </w:pPr>
  </w:style>
  <w:style w:type="numbering" w:customStyle="1" w:styleId="WW8Num12">
    <w:name w:val="WW8Num12"/>
    <w:rsid w:val="006C28EC"/>
    <w:pPr>
      <w:numPr>
        <w:numId w:val="13"/>
      </w:numPr>
    </w:pPr>
  </w:style>
  <w:style w:type="paragraph" w:styleId="a4">
    <w:name w:val="header"/>
    <w:basedOn w:val="a"/>
    <w:link w:val="a5"/>
    <w:uiPriority w:val="99"/>
    <w:unhideWhenUsed/>
    <w:rsid w:val="007E2C61"/>
    <w:pPr>
      <w:tabs>
        <w:tab w:val="center" w:pos="4252"/>
        <w:tab w:val="right" w:pos="8504"/>
      </w:tabs>
      <w:snapToGrid w:val="0"/>
    </w:pPr>
  </w:style>
  <w:style w:type="character" w:customStyle="1" w:styleId="a5">
    <w:name w:val="ヘッダー (文字)"/>
    <w:basedOn w:val="a0"/>
    <w:link w:val="a4"/>
    <w:uiPriority w:val="99"/>
    <w:rsid w:val="007E2C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