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75A0" w:rsidRDefault="005D4A2F">
      <w:pPr>
        <w:pStyle w:val="ja"/>
      </w:pPr>
      <w:r>
        <w:t>労働契約法</w:t>
      </w:r>
    </w:p>
    <w:p w:rsidR="00B875A0" w:rsidRDefault="00B875A0"/>
    <w:p w:rsidR="00B875A0" w:rsidRDefault="005D4A2F">
      <w:pPr>
        <w:pStyle w:val="jaf"/>
      </w:pPr>
      <w:r>
        <w:t>（平成十九年十二月五日法律第百二十八号）</w:t>
      </w:r>
    </w:p>
    <w:p w:rsidR="00B875A0" w:rsidRDefault="00B875A0"/>
    <w:p w:rsidR="00B875A0" w:rsidRDefault="005D4A2F">
      <w:pPr>
        <w:pStyle w:val="jaf0"/>
      </w:pPr>
      <w:r>
        <w:t>目次</w:t>
      </w:r>
    </w:p>
    <w:p w:rsidR="00B875A0" w:rsidRDefault="005D4A2F">
      <w:pPr>
        <w:pStyle w:val="ja5"/>
      </w:pPr>
      <w:r>
        <w:t>第一章　総則（第一条</w:t>
      </w:r>
      <w:r>
        <w:t>―</w:t>
      </w:r>
      <w:r>
        <w:t>第五条）</w:t>
      </w:r>
    </w:p>
    <w:p w:rsidR="00B875A0" w:rsidRDefault="005D4A2F">
      <w:pPr>
        <w:pStyle w:val="ja5"/>
      </w:pPr>
      <w:r>
        <w:t>第二章　労働契約の成立及び変更（第六条</w:t>
      </w:r>
      <w:r>
        <w:t>―</w:t>
      </w:r>
      <w:r>
        <w:t>第十三条）</w:t>
      </w:r>
    </w:p>
    <w:p w:rsidR="00B875A0" w:rsidRDefault="005D4A2F">
      <w:pPr>
        <w:pStyle w:val="ja5"/>
      </w:pPr>
      <w:r>
        <w:t>第三章　労働契約の継続及び終了（第十四条</w:t>
      </w:r>
      <w:r>
        <w:t>―</w:t>
      </w:r>
      <w:r>
        <w:t>第十六条）</w:t>
      </w:r>
    </w:p>
    <w:p w:rsidR="00B875A0" w:rsidRDefault="005D4A2F">
      <w:pPr>
        <w:pStyle w:val="ja5"/>
      </w:pPr>
      <w:r>
        <w:t>第四章　期間の定めのある労働契約（第十七条）</w:t>
      </w:r>
    </w:p>
    <w:p w:rsidR="00B875A0" w:rsidRDefault="005D4A2F">
      <w:pPr>
        <w:pStyle w:val="ja5"/>
      </w:pPr>
      <w:r>
        <w:t>第五章　雑則（第十八条・第十九条）</w:t>
      </w:r>
    </w:p>
    <w:p w:rsidR="00B875A0" w:rsidRDefault="00B875A0"/>
    <w:p w:rsidR="00B875A0" w:rsidRDefault="005D4A2F">
      <w:pPr>
        <w:pStyle w:val="ja3"/>
      </w:pPr>
      <w:r>
        <w:t>第一章　総則</w:t>
      </w:r>
    </w:p>
    <w:p w:rsidR="00B875A0" w:rsidRDefault="00B875A0"/>
    <w:p w:rsidR="00B875A0" w:rsidRDefault="005D4A2F">
      <w:pPr>
        <w:pStyle w:val="jaa"/>
      </w:pPr>
      <w:r>
        <w:t>（目的）</w:t>
      </w:r>
    </w:p>
    <w:p w:rsidR="00B875A0" w:rsidRDefault="005D4A2F">
      <w:pPr>
        <w:pStyle w:val="jaf3"/>
      </w:pPr>
      <w:r>
        <w:t>第一条　この法律は、労働者及び使用者の自主的な交渉の下で、労働契約が合意により成立し、又は変更されるという合意の原則その他労働契約に関する基本的事項を定めることにより、合理的な労働条件の決定又は変更が円滑に行われるようにすることを通じて、労働者の保護を図りつつ、個別の労働関係の安定に資することを目的とする。</w:t>
      </w:r>
    </w:p>
    <w:p w:rsidR="00B875A0" w:rsidRDefault="00B875A0"/>
    <w:p w:rsidR="00B875A0" w:rsidRDefault="005D4A2F">
      <w:pPr>
        <w:pStyle w:val="jaa"/>
      </w:pPr>
      <w:r>
        <w:t>（定義）</w:t>
      </w:r>
    </w:p>
    <w:p w:rsidR="00B875A0" w:rsidRDefault="005D4A2F">
      <w:pPr>
        <w:pStyle w:val="jaf3"/>
      </w:pPr>
      <w:r>
        <w:t>第二条　この法律において「労働者」とは、使用者に使用されて労働し、賃金を支払われる者をいう。</w:t>
      </w:r>
    </w:p>
    <w:p w:rsidR="00B875A0" w:rsidRDefault="005D4A2F">
      <w:pPr>
        <w:pStyle w:val="jaf4"/>
      </w:pPr>
      <w:r>
        <w:t>２　この法律において「使用者」とは、その使用する労働者に対して賃金を支払う者をいう。</w:t>
      </w:r>
    </w:p>
    <w:p w:rsidR="00B875A0" w:rsidRDefault="00B875A0"/>
    <w:p w:rsidR="00B875A0" w:rsidRDefault="005D4A2F">
      <w:pPr>
        <w:pStyle w:val="jaa"/>
      </w:pPr>
      <w:r>
        <w:t>（労働契</w:t>
      </w:r>
      <w:r>
        <w:t>約の原則）</w:t>
      </w:r>
    </w:p>
    <w:p w:rsidR="00B875A0" w:rsidRDefault="005D4A2F">
      <w:pPr>
        <w:pStyle w:val="jaf3"/>
      </w:pPr>
      <w:r>
        <w:t>第三条　労働契約は、労働者及び使用者が対等の立場における合意に基づいて締結し、又は変更すべきものとする。</w:t>
      </w:r>
    </w:p>
    <w:p w:rsidR="00B875A0" w:rsidRDefault="005D4A2F">
      <w:pPr>
        <w:pStyle w:val="jaf4"/>
      </w:pPr>
      <w:r>
        <w:t>２　労働契約は、労働者及び使用者が、就業の実態に応じて、均衡を考慮しつつ締結し、又は変更すべきものとする。</w:t>
      </w:r>
    </w:p>
    <w:p w:rsidR="00B875A0" w:rsidRDefault="005D4A2F">
      <w:pPr>
        <w:pStyle w:val="jaf4"/>
      </w:pPr>
      <w:r>
        <w:t>３　労働契約は、労働者及び使用者が仕事と生活の調和にも配慮しつつ締結し、又は変更すべきものとする。</w:t>
      </w:r>
    </w:p>
    <w:p w:rsidR="00B875A0" w:rsidRDefault="005D4A2F">
      <w:pPr>
        <w:pStyle w:val="jaf4"/>
      </w:pPr>
      <w:r>
        <w:t>４　労働者及び使用者は、労働契約を遵守するとともに、信義に従い誠実に、権利を行使し、及び義務を履行しなければならない。</w:t>
      </w:r>
    </w:p>
    <w:p w:rsidR="00B875A0" w:rsidRDefault="005D4A2F">
      <w:pPr>
        <w:pStyle w:val="jaf4"/>
      </w:pPr>
      <w:r>
        <w:t>５　労働者及び使用者は、労働契約に基づく権利の行使に当たっては、そ</w:t>
      </w:r>
      <w:r>
        <w:t>れを濫用することがあってはならない。</w:t>
      </w:r>
    </w:p>
    <w:p w:rsidR="00B875A0" w:rsidRDefault="00B875A0"/>
    <w:p w:rsidR="00B875A0" w:rsidRDefault="005D4A2F">
      <w:pPr>
        <w:pStyle w:val="jaa"/>
      </w:pPr>
      <w:r>
        <w:t>（労働契約の内容の理解の促進）</w:t>
      </w:r>
    </w:p>
    <w:p w:rsidR="00B875A0" w:rsidRDefault="005D4A2F">
      <w:pPr>
        <w:pStyle w:val="jaf3"/>
      </w:pPr>
      <w:r>
        <w:t>第四条　使用者は、労働者に提示する労働条件及び労働契約の内容について、労働者の理解を深めるようにするものとする。</w:t>
      </w:r>
    </w:p>
    <w:p w:rsidR="00B875A0" w:rsidRDefault="005D4A2F">
      <w:pPr>
        <w:pStyle w:val="jaf4"/>
      </w:pPr>
      <w:r>
        <w:lastRenderedPageBreak/>
        <w:t>２　労働者及び使用者は、労働契約の内容（期間の定めのある労働契約に関する事項を含む。）について、できる限り書面により確認するものとする。</w:t>
      </w:r>
    </w:p>
    <w:p w:rsidR="00B875A0" w:rsidRDefault="00B875A0"/>
    <w:p w:rsidR="00B875A0" w:rsidRDefault="005D4A2F">
      <w:pPr>
        <w:pStyle w:val="jaa"/>
      </w:pPr>
      <w:r>
        <w:t>（労働者の安全への配慮）</w:t>
      </w:r>
    </w:p>
    <w:p w:rsidR="00B875A0" w:rsidRDefault="005D4A2F">
      <w:pPr>
        <w:pStyle w:val="jaf3"/>
      </w:pPr>
      <w:r>
        <w:t>第五条　使用者は、労働契約に伴い、労働者がその生命、身体等の安全を確保しつつ労働することができるよう、必要な配慮をするものとする。</w:t>
      </w:r>
    </w:p>
    <w:p w:rsidR="00B875A0" w:rsidRDefault="00B875A0"/>
    <w:p w:rsidR="00B875A0" w:rsidRDefault="005D4A2F">
      <w:pPr>
        <w:pStyle w:val="ja3"/>
      </w:pPr>
      <w:r>
        <w:t>第二章　労働契約の成立及び変更</w:t>
      </w:r>
    </w:p>
    <w:p w:rsidR="00B875A0" w:rsidRDefault="00B875A0"/>
    <w:p w:rsidR="00B875A0" w:rsidRDefault="005D4A2F">
      <w:pPr>
        <w:pStyle w:val="jaa"/>
      </w:pPr>
      <w:r>
        <w:t>（労働契約の成立）</w:t>
      </w:r>
    </w:p>
    <w:p w:rsidR="00B875A0" w:rsidRDefault="005D4A2F">
      <w:pPr>
        <w:pStyle w:val="jaf3"/>
      </w:pPr>
      <w:r>
        <w:t>第六条　労働契約は、労働者が使用者に使用されて労働し、使用者がこれに対して賃金を支払うことについて、労働者及び使用者が合意することによって成立する。</w:t>
      </w:r>
    </w:p>
    <w:p w:rsidR="00B875A0" w:rsidRDefault="00B875A0"/>
    <w:p w:rsidR="00B875A0" w:rsidRDefault="005D4A2F">
      <w:pPr>
        <w:pStyle w:val="jaf3"/>
      </w:pPr>
      <w:r>
        <w:t>第七条　労働者及び使用者が労働契約を締結する場合において、使用者が合理的な労働条件が定められている就業規則を労働者に周知させていた場合には、労働契約の内容は、その就業規則で</w:t>
      </w:r>
      <w:r>
        <w:t>定める労働条件によるものとする。ただし、労働契約において、労働者及び使用者が就業規則の内容と異なる労働条件を合意していた部分については、第十二条に該当する場合を除き、この限りでない。</w:t>
      </w:r>
    </w:p>
    <w:p w:rsidR="00B875A0" w:rsidRDefault="00B875A0"/>
    <w:p w:rsidR="00B875A0" w:rsidRDefault="005D4A2F">
      <w:pPr>
        <w:pStyle w:val="jaa"/>
      </w:pPr>
      <w:r>
        <w:t>（労働契約の内容の変更）</w:t>
      </w:r>
    </w:p>
    <w:p w:rsidR="00B875A0" w:rsidRDefault="005D4A2F">
      <w:pPr>
        <w:pStyle w:val="jaf3"/>
      </w:pPr>
      <w:r>
        <w:t>第八条　労働者及び使用者は、その合意により、労働契約の内容である労働条件を変更することができる。</w:t>
      </w:r>
    </w:p>
    <w:p w:rsidR="00B875A0" w:rsidRDefault="00B875A0"/>
    <w:p w:rsidR="00B875A0" w:rsidRDefault="005D4A2F">
      <w:pPr>
        <w:pStyle w:val="jaa"/>
      </w:pPr>
      <w:r>
        <w:t>（就業規則による労働契約の内容の変更）</w:t>
      </w:r>
    </w:p>
    <w:p w:rsidR="00B875A0" w:rsidRDefault="005D4A2F">
      <w:pPr>
        <w:pStyle w:val="jaf3"/>
      </w:pPr>
      <w:r>
        <w:t>第九条　使用者は、労働者と合意することなく、就業規則を変更することにより、労働者の不利益に労働契約の内容である労働条件を変更することはできない。ただし、次条の場</w:t>
      </w:r>
      <w:r>
        <w:t>合は、この限りでない。</w:t>
      </w:r>
    </w:p>
    <w:p w:rsidR="00B875A0" w:rsidRDefault="00B875A0"/>
    <w:p w:rsidR="00B875A0" w:rsidRDefault="005D4A2F">
      <w:pPr>
        <w:pStyle w:val="jaf3"/>
      </w:pPr>
      <w:r>
        <w:t>第十条　使用者が就業規則の変更により労働条件を変更する場合において、変更後の就業規則を労働者に周知させ、かつ、就業規則の変更が、労働者の受ける不利益の程度、労働条件の変更の必要性、変更後の就業規則の内容の相当性、労働組合等との交渉の状況その他の就業規則の変更に係る事情に照らして合理的なものであるときは、労働契約の内容である労働条件は、当該変更後の就業規則に定めるところによるものとする。ただし、労働契約において、労働者及び使用者が就業規則の変更によっては変更されない労働条件として合意</w:t>
      </w:r>
      <w:r>
        <w:t>していた部分については、第十二条に該当する場合を除き、この限りでない。</w:t>
      </w:r>
    </w:p>
    <w:p w:rsidR="00B875A0" w:rsidRDefault="00B875A0"/>
    <w:p w:rsidR="00B875A0" w:rsidRDefault="005D4A2F">
      <w:pPr>
        <w:pStyle w:val="jaa"/>
      </w:pPr>
      <w:r>
        <w:t>（就業規則の変更に係る手続）</w:t>
      </w:r>
    </w:p>
    <w:p w:rsidR="00B875A0" w:rsidRDefault="005D4A2F">
      <w:pPr>
        <w:pStyle w:val="jaf3"/>
      </w:pPr>
      <w:r>
        <w:t>第十一条　就業規則の変更の手続に関しては、労働基準法（昭和二十二年法律第四十九号）第八十九条及び第九十条の定めるところによる。</w:t>
      </w:r>
    </w:p>
    <w:p w:rsidR="00B875A0" w:rsidRDefault="00B875A0"/>
    <w:p w:rsidR="00B875A0" w:rsidRDefault="005D4A2F">
      <w:pPr>
        <w:pStyle w:val="jaa"/>
      </w:pPr>
      <w:r>
        <w:lastRenderedPageBreak/>
        <w:t>（就業規則違反の労働契約）</w:t>
      </w:r>
    </w:p>
    <w:p w:rsidR="00B875A0" w:rsidRDefault="005D4A2F">
      <w:pPr>
        <w:pStyle w:val="jaf3"/>
      </w:pPr>
      <w:r>
        <w:t>第十二条　就業規則で定める基準に達しない労働条件を定める労働契約は、その部分については、無効とする。この場合において、無効となった部分は、就業規則で定める基準による。</w:t>
      </w:r>
    </w:p>
    <w:p w:rsidR="00B875A0" w:rsidRDefault="00B875A0"/>
    <w:p w:rsidR="00B875A0" w:rsidRDefault="005D4A2F">
      <w:pPr>
        <w:pStyle w:val="jaa"/>
      </w:pPr>
      <w:r>
        <w:t>（法令及び労働協約と就業規則との関係）</w:t>
      </w:r>
    </w:p>
    <w:p w:rsidR="00B875A0" w:rsidRDefault="005D4A2F">
      <w:pPr>
        <w:pStyle w:val="jaf3"/>
      </w:pPr>
      <w:r>
        <w:t>第十三条　就業規則が法令又は労働協約に反する場合には、当該反する部分については、第七条、第十条及び前条の規定は、当該法令又は労働協約の適用を受ける労働者との間の労働契約については、適用しない。</w:t>
      </w:r>
    </w:p>
    <w:p w:rsidR="00B875A0" w:rsidRDefault="00B875A0"/>
    <w:p w:rsidR="00B875A0" w:rsidRDefault="005D4A2F">
      <w:pPr>
        <w:pStyle w:val="ja3"/>
      </w:pPr>
      <w:r>
        <w:t>第三章　労働契約の継続及び終了</w:t>
      </w:r>
    </w:p>
    <w:p w:rsidR="00B875A0" w:rsidRDefault="00B875A0"/>
    <w:p w:rsidR="00B875A0" w:rsidRDefault="005D4A2F">
      <w:pPr>
        <w:pStyle w:val="jaa"/>
      </w:pPr>
      <w:r>
        <w:t>（出向）</w:t>
      </w:r>
    </w:p>
    <w:p w:rsidR="00B875A0" w:rsidRDefault="005D4A2F">
      <w:pPr>
        <w:pStyle w:val="jaf3"/>
      </w:pPr>
      <w:r>
        <w:t>第十四条　使用者が労働者に出向を命ずることができる場合において、当該出向の命令が、その必要性、対象労働者の選定に係る事情その他の事情に照らして、その権利を濫用したものと認められる場合には、当該命令は、無効とする。</w:t>
      </w:r>
    </w:p>
    <w:p w:rsidR="00B875A0" w:rsidRDefault="00B875A0"/>
    <w:p w:rsidR="00B875A0" w:rsidRDefault="005D4A2F">
      <w:pPr>
        <w:pStyle w:val="jaa"/>
      </w:pPr>
      <w:r>
        <w:t>（懲戒）</w:t>
      </w:r>
    </w:p>
    <w:p w:rsidR="00B875A0" w:rsidRDefault="005D4A2F">
      <w:pPr>
        <w:pStyle w:val="jaf3"/>
      </w:pPr>
      <w:r>
        <w:t>第十五条　使用者が労働者を懲戒することができる</w:t>
      </w:r>
      <w:r>
        <w:t>場合において、当該懲戒が、当該懲戒に係る労働者の行為の性質及び態様その他の事情に照らして、客観的に合理的な理由を欠き、社会通念上相当であると認められない場合は、その権利を濫用したものとして、当該懲戒は、無効とする。</w:t>
      </w:r>
    </w:p>
    <w:p w:rsidR="00B875A0" w:rsidRDefault="00B875A0"/>
    <w:p w:rsidR="00B875A0" w:rsidRDefault="005D4A2F">
      <w:pPr>
        <w:pStyle w:val="jaa"/>
      </w:pPr>
      <w:r>
        <w:t>（解雇）</w:t>
      </w:r>
    </w:p>
    <w:p w:rsidR="00B875A0" w:rsidRDefault="005D4A2F">
      <w:pPr>
        <w:pStyle w:val="jaf3"/>
      </w:pPr>
      <w:r>
        <w:t>第十六条　解雇は、客観的に合理的な理由を欠き、社会通念上相当であると認められない場合は、その権利を濫用したものとして、無効とする。</w:t>
      </w:r>
    </w:p>
    <w:p w:rsidR="00B875A0" w:rsidRDefault="00B875A0"/>
    <w:p w:rsidR="00B875A0" w:rsidRDefault="005D4A2F">
      <w:pPr>
        <w:pStyle w:val="ja3"/>
      </w:pPr>
      <w:r>
        <w:t>第四章　期間の定めのある労働契約</w:t>
      </w:r>
    </w:p>
    <w:p w:rsidR="00B875A0" w:rsidRDefault="00B875A0"/>
    <w:p w:rsidR="00B875A0" w:rsidRDefault="005D4A2F">
      <w:pPr>
        <w:pStyle w:val="jaf3"/>
      </w:pPr>
      <w:r>
        <w:t>第十七条　使用者は、期間の定めのある労働契約について、やむを得ない事由がある場合でなければ、その契約期間が満了する</w:t>
      </w:r>
      <w:r>
        <w:t>までの間において、労働者を解雇することができない。</w:t>
      </w:r>
    </w:p>
    <w:p w:rsidR="00B875A0" w:rsidRDefault="005D4A2F">
      <w:pPr>
        <w:pStyle w:val="jaf4"/>
      </w:pPr>
      <w:r>
        <w:t>２　使用者は、期間の定めのある労働契約について、その労働契約により労働者を使用する目的に照らして、必要以上に短い期間を定めることにより、その労働契約を反復して更新することのないよう配慮しなければならない。</w:t>
      </w:r>
    </w:p>
    <w:p w:rsidR="00B875A0" w:rsidRDefault="00B875A0"/>
    <w:p w:rsidR="00B875A0" w:rsidRDefault="005D4A2F">
      <w:pPr>
        <w:pStyle w:val="ja3"/>
      </w:pPr>
      <w:r>
        <w:t>第五章　雑則</w:t>
      </w:r>
    </w:p>
    <w:p w:rsidR="00B875A0" w:rsidRDefault="00B875A0"/>
    <w:p w:rsidR="00B875A0" w:rsidRDefault="005D4A2F">
      <w:pPr>
        <w:pStyle w:val="jaa"/>
      </w:pPr>
      <w:r>
        <w:t>（船員に関する特例）</w:t>
      </w:r>
    </w:p>
    <w:p w:rsidR="00B875A0" w:rsidRDefault="005D4A2F">
      <w:pPr>
        <w:pStyle w:val="jaf3"/>
      </w:pPr>
      <w:r>
        <w:t>第十八条　第十二条及び前条の規定は、船員法（昭和二十二年法律第百号）の適用を受ける船員（次項において「船員」という。）に関しては、適用しない。</w:t>
      </w:r>
    </w:p>
    <w:p w:rsidR="00B875A0" w:rsidRDefault="005D4A2F">
      <w:pPr>
        <w:pStyle w:val="jaf4"/>
      </w:pPr>
      <w:r>
        <w:t>２　船員に関しては、第七条中「第十二条」とあるのは「船員法（昭和二十二年法律第百号）第百条」と、第十条中「第十二条」とあるのは「船員法第百条」と、第十一条中「労働基準法（昭和二十二年法律第四十九号）第八十九条及び第九十条」とあるのは「船員法第九十七条及び第九十八条」と、第十三条中「前条」とあるのは「船員法第百条」とする。</w:t>
      </w:r>
    </w:p>
    <w:p w:rsidR="00B875A0" w:rsidRDefault="00B875A0"/>
    <w:p w:rsidR="00B875A0" w:rsidRDefault="005D4A2F">
      <w:pPr>
        <w:pStyle w:val="jaa"/>
      </w:pPr>
      <w:r>
        <w:t>（適用除外）</w:t>
      </w:r>
    </w:p>
    <w:p w:rsidR="00B875A0" w:rsidRDefault="005D4A2F">
      <w:pPr>
        <w:pStyle w:val="jaf3"/>
      </w:pPr>
      <w:r>
        <w:t>第十九条　この法律は、国家公</w:t>
      </w:r>
      <w:r>
        <w:t>務員及び地方公務員については、適用しない。</w:t>
      </w:r>
    </w:p>
    <w:p w:rsidR="00B875A0" w:rsidRDefault="005D4A2F">
      <w:pPr>
        <w:pStyle w:val="jaf4"/>
      </w:pPr>
      <w:r>
        <w:t>２　この法律は、使用者が同居の親族のみを使用する場合の労働契約については、適用しない。</w:t>
      </w:r>
    </w:p>
    <w:sectPr w:rsidR="00B875A0" w:rsidSect="00B875A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75A0" w:rsidRDefault="00B875A0" w:rsidP="00B875A0">
      <w:r>
        <w:separator/>
      </w:r>
    </w:p>
  </w:endnote>
  <w:endnote w:type="continuationSeparator" w:id="0">
    <w:p w:rsidR="00B875A0" w:rsidRDefault="00B875A0" w:rsidP="00B8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A0" w:rsidRDefault="00B875A0">
    <w:pPr>
      <w:pStyle w:val="a3"/>
    </w:pPr>
    <w:r>
      <w:fldChar w:fldCharType="begin"/>
    </w:r>
    <w:r>
      <w:instrText xml:space="preserve"> PAGE  \* MERGEFORMAT </w:instrText>
    </w:r>
    <w:r>
      <w:fldChar w:fldCharType="separate"/>
    </w:r>
    <w:r w:rsidR="005D4A2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75A0" w:rsidRDefault="00B875A0" w:rsidP="00B875A0">
      <w:r>
        <w:separator/>
      </w:r>
    </w:p>
  </w:footnote>
  <w:footnote w:type="continuationSeparator" w:id="0">
    <w:p w:rsidR="00B875A0" w:rsidRDefault="00B875A0" w:rsidP="00B8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B4C"/>
    <w:multiLevelType w:val="multilevel"/>
    <w:tmpl w:val="E2F098B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5C596D"/>
    <w:multiLevelType w:val="multilevel"/>
    <w:tmpl w:val="F3D843F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1B691D"/>
    <w:multiLevelType w:val="multilevel"/>
    <w:tmpl w:val="A5AA1B2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9A62FD"/>
    <w:multiLevelType w:val="multilevel"/>
    <w:tmpl w:val="A898686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3C66DE"/>
    <w:multiLevelType w:val="multilevel"/>
    <w:tmpl w:val="2176FBB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3B63B9"/>
    <w:multiLevelType w:val="multilevel"/>
    <w:tmpl w:val="E7DA5AC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746FFE"/>
    <w:multiLevelType w:val="multilevel"/>
    <w:tmpl w:val="82CA231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7E4245"/>
    <w:multiLevelType w:val="multilevel"/>
    <w:tmpl w:val="4036DB5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D215A1E"/>
    <w:multiLevelType w:val="multilevel"/>
    <w:tmpl w:val="F172258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3D629DF"/>
    <w:multiLevelType w:val="multilevel"/>
    <w:tmpl w:val="344A82B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0B4E9E"/>
    <w:multiLevelType w:val="multilevel"/>
    <w:tmpl w:val="7604DFF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7A2C1D"/>
    <w:multiLevelType w:val="multilevel"/>
    <w:tmpl w:val="036CC57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271B01"/>
    <w:multiLevelType w:val="multilevel"/>
    <w:tmpl w:val="3CAE5DF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7"/>
  </w:num>
  <w:num w:numId="2">
    <w:abstractNumId w:val="6"/>
  </w:num>
  <w:num w:numId="3">
    <w:abstractNumId w:val="4"/>
  </w:num>
  <w:num w:numId="4">
    <w:abstractNumId w:val="10"/>
  </w:num>
  <w:num w:numId="5">
    <w:abstractNumId w:val="9"/>
  </w:num>
  <w:num w:numId="6">
    <w:abstractNumId w:val="11"/>
  </w:num>
  <w:num w:numId="7">
    <w:abstractNumId w:val="2"/>
  </w:num>
  <w:num w:numId="8">
    <w:abstractNumId w:val="1"/>
  </w:num>
  <w:num w:numId="9">
    <w:abstractNumId w:val="8"/>
  </w:num>
  <w:num w:numId="10">
    <w:abstractNumId w:val="0"/>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875A0"/>
    <w:rsid w:val="005D4A2F"/>
    <w:rsid w:val="00B875A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5A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875A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875A0"/>
    <w:rPr>
      <w:rFonts w:ascii="Century" w:eastAsia="Century" w:hAnsi="Century"/>
    </w:rPr>
  </w:style>
  <w:style w:type="paragraph" w:customStyle="1" w:styleId="ja0">
    <w:name w:val="款（ja）"/>
    <w:basedOn w:val="a"/>
    <w:rsid w:val="00B875A0"/>
    <w:pPr>
      <w:widowControl w:val="0"/>
      <w:ind w:left="1321" w:hanging="221"/>
    </w:pPr>
    <w:rPr>
      <w:rFonts w:ascii="ＭＳ 明朝" w:eastAsia="ＭＳ 明朝" w:hAnsi="ＭＳ 明朝" w:cs="ＭＳ 明朝"/>
      <w:b/>
    </w:rPr>
  </w:style>
  <w:style w:type="paragraph" w:customStyle="1" w:styleId="en0">
    <w:name w:val="款（en）"/>
    <w:basedOn w:val="ja0"/>
    <w:rsid w:val="00B875A0"/>
    <w:rPr>
      <w:rFonts w:ascii="Century" w:eastAsia="Century" w:hAnsi="Century" w:cs="Century"/>
    </w:rPr>
  </w:style>
  <w:style w:type="paragraph" w:customStyle="1" w:styleId="ja1">
    <w:name w:val="前文（ja）"/>
    <w:basedOn w:val="a"/>
    <w:rsid w:val="00B875A0"/>
    <w:pPr>
      <w:widowControl w:val="0"/>
      <w:ind w:firstLine="219"/>
    </w:pPr>
    <w:rPr>
      <w:rFonts w:ascii="ＭＳ 明朝" w:eastAsia="ＭＳ 明朝" w:hAnsi="ＭＳ 明朝" w:cs="ＭＳ 明朝"/>
    </w:rPr>
  </w:style>
  <w:style w:type="paragraph" w:customStyle="1" w:styleId="en1">
    <w:name w:val="前文（en）"/>
    <w:basedOn w:val="ja1"/>
    <w:rsid w:val="00B875A0"/>
    <w:rPr>
      <w:rFonts w:ascii="Century" w:eastAsia="Century" w:hAnsi="Century" w:cs="Century"/>
    </w:rPr>
  </w:style>
  <w:style w:type="paragraph" w:customStyle="1" w:styleId="ja2">
    <w:name w:val="附則（ja）"/>
    <w:basedOn w:val="a"/>
    <w:rsid w:val="00B875A0"/>
    <w:pPr>
      <w:widowControl w:val="0"/>
      <w:ind w:left="881" w:hanging="221"/>
    </w:pPr>
    <w:rPr>
      <w:rFonts w:ascii="ＭＳ 明朝" w:eastAsia="ＭＳ 明朝" w:hAnsi="ＭＳ 明朝" w:cs="ＭＳ 明朝"/>
      <w:b/>
    </w:rPr>
  </w:style>
  <w:style w:type="paragraph" w:customStyle="1" w:styleId="en2">
    <w:name w:val="附則（en）"/>
    <w:basedOn w:val="ja2"/>
    <w:rsid w:val="00B875A0"/>
    <w:rPr>
      <w:rFonts w:ascii="Century" w:hAnsi="Century" w:cs="Century"/>
    </w:rPr>
  </w:style>
  <w:style w:type="paragraph" w:customStyle="1" w:styleId="ja3">
    <w:name w:val="章（ja）"/>
    <w:basedOn w:val="a"/>
    <w:rsid w:val="00B875A0"/>
    <w:pPr>
      <w:widowControl w:val="0"/>
      <w:ind w:left="881" w:hanging="221"/>
    </w:pPr>
    <w:rPr>
      <w:rFonts w:ascii="ＭＳ 明朝" w:eastAsia="ＭＳ 明朝" w:hAnsi="ＭＳ 明朝" w:cs="ＭＳ 明朝"/>
      <w:b/>
    </w:rPr>
  </w:style>
  <w:style w:type="paragraph" w:customStyle="1" w:styleId="en3">
    <w:name w:val="章（en）"/>
    <w:basedOn w:val="ja3"/>
    <w:rsid w:val="00B875A0"/>
    <w:rPr>
      <w:rFonts w:ascii="Century" w:eastAsia="Century" w:hAnsi="Century" w:cs="Century"/>
    </w:rPr>
  </w:style>
  <w:style w:type="paragraph" w:customStyle="1" w:styleId="ja4">
    <w:name w:val="目次編（ja）"/>
    <w:basedOn w:val="a"/>
    <w:rsid w:val="00B875A0"/>
    <w:pPr>
      <w:widowControl w:val="0"/>
      <w:ind w:left="219" w:hanging="219"/>
    </w:pPr>
    <w:rPr>
      <w:rFonts w:ascii="ＭＳ 明朝" w:eastAsia="ＭＳ 明朝" w:hAnsi="ＭＳ 明朝"/>
    </w:rPr>
  </w:style>
  <w:style w:type="paragraph" w:customStyle="1" w:styleId="en4">
    <w:name w:val="目次編（en）"/>
    <w:basedOn w:val="ja4"/>
    <w:rsid w:val="00B875A0"/>
    <w:rPr>
      <w:rFonts w:ascii="Century" w:eastAsia="Century" w:hAnsi="Century"/>
    </w:rPr>
  </w:style>
  <w:style w:type="paragraph" w:customStyle="1" w:styleId="ja5">
    <w:name w:val="目次章（ja）"/>
    <w:basedOn w:val="a"/>
    <w:rsid w:val="00B875A0"/>
    <w:pPr>
      <w:widowControl w:val="0"/>
      <w:ind w:left="439" w:hanging="219"/>
    </w:pPr>
    <w:rPr>
      <w:rFonts w:ascii="ＭＳ 明朝" w:eastAsia="ＭＳ 明朝" w:hAnsi="ＭＳ 明朝"/>
    </w:rPr>
  </w:style>
  <w:style w:type="paragraph" w:customStyle="1" w:styleId="en5">
    <w:name w:val="目次章（en）"/>
    <w:basedOn w:val="ja5"/>
    <w:rsid w:val="00B875A0"/>
    <w:rPr>
      <w:rFonts w:ascii="Century" w:eastAsia="Century" w:hAnsi="Century"/>
    </w:rPr>
  </w:style>
  <w:style w:type="paragraph" w:customStyle="1" w:styleId="ja6">
    <w:name w:val="目次節（ja）"/>
    <w:basedOn w:val="a"/>
    <w:rsid w:val="00B875A0"/>
    <w:pPr>
      <w:widowControl w:val="0"/>
      <w:ind w:left="659" w:hanging="219"/>
    </w:pPr>
    <w:rPr>
      <w:rFonts w:ascii="ＭＳ 明朝" w:eastAsia="ＭＳ 明朝" w:hAnsi="ＭＳ 明朝"/>
    </w:rPr>
  </w:style>
  <w:style w:type="paragraph" w:customStyle="1" w:styleId="en6">
    <w:name w:val="目次節（en）"/>
    <w:basedOn w:val="ja6"/>
    <w:rsid w:val="00B875A0"/>
    <w:rPr>
      <w:rFonts w:ascii="Century" w:eastAsia="Century" w:hAnsi="Century"/>
    </w:rPr>
  </w:style>
  <w:style w:type="paragraph" w:customStyle="1" w:styleId="ja7">
    <w:name w:val="目次款（ja）"/>
    <w:basedOn w:val="a"/>
    <w:rsid w:val="00B875A0"/>
    <w:pPr>
      <w:widowControl w:val="0"/>
      <w:ind w:left="879" w:hanging="219"/>
    </w:pPr>
    <w:rPr>
      <w:rFonts w:ascii="ＭＳ 明朝" w:eastAsia="ＭＳ 明朝" w:hAnsi="ＭＳ 明朝" w:cs="Kochi Mincho"/>
    </w:rPr>
  </w:style>
  <w:style w:type="paragraph" w:customStyle="1" w:styleId="en7">
    <w:name w:val="目次款（en）"/>
    <w:basedOn w:val="ja7"/>
    <w:rsid w:val="00B875A0"/>
    <w:rPr>
      <w:rFonts w:ascii="Century" w:eastAsia="Century" w:hAnsi="Century"/>
    </w:rPr>
  </w:style>
  <w:style w:type="paragraph" w:customStyle="1" w:styleId="ja8">
    <w:name w:val="別表名（ja）"/>
    <w:basedOn w:val="a"/>
    <w:rsid w:val="00B875A0"/>
    <w:pPr>
      <w:widowControl w:val="0"/>
      <w:ind w:left="100" w:hangingChars="100" w:hanging="100"/>
    </w:pPr>
    <w:rPr>
      <w:rFonts w:ascii="ＭＳ 明朝" w:eastAsia="ＭＳ 明朝" w:hAnsi="ＭＳ 明朝" w:cs="ＭＳ 明朝"/>
    </w:rPr>
  </w:style>
  <w:style w:type="paragraph" w:customStyle="1" w:styleId="en8">
    <w:name w:val="別表名（en）"/>
    <w:basedOn w:val="ja8"/>
    <w:rsid w:val="00B875A0"/>
    <w:rPr>
      <w:rFonts w:ascii="Century" w:eastAsia="Century" w:hAnsi="Century" w:cs="Century"/>
    </w:rPr>
  </w:style>
  <w:style w:type="paragraph" w:customStyle="1" w:styleId="ja9">
    <w:name w:val="目（ja）"/>
    <w:basedOn w:val="a"/>
    <w:rsid w:val="00B875A0"/>
    <w:pPr>
      <w:widowControl w:val="0"/>
      <w:ind w:left="1541" w:hanging="221"/>
    </w:pPr>
    <w:rPr>
      <w:rFonts w:ascii="ＭＳ 明朝" w:eastAsia="ＭＳ 明朝" w:hAnsi="ＭＳ 明朝" w:cs="ＭＳ 明朝"/>
      <w:b/>
    </w:rPr>
  </w:style>
  <w:style w:type="paragraph" w:customStyle="1" w:styleId="en9">
    <w:name w:val="目（en）"/>
    <w:basedOn w:val="ja9"/>
    <w:rsid w:val="00B875A0"/>
    <w:rPr>
      <w:rFonts w:ascii="Century" w:eastAsia="Century" w:hAnsi="Century" w:cs="Century"/>
    </w:rPr>
  </w:style>
  <w:style w:type="paragraph" w:customStyle="1" w:styleId="jaa">
    <w:name w:val="見出し（ja）"/>
    <w:basedOn w:val="a"/>
    <w:rsid w:val="00B875A0"/>
    <w:pPr>
      <w:widowControl w:val="0"/>
      <w:ind w:left="439" w:hanging="219"/>
    </w:pPr>
    <w:rPr>
      <w:rFonts w:ascii="ＭＳ 明朝" w:eastAsia="ＭＳ 明朝" w:hAnsi="ＭＳ 明朝" w:cs="ＭＳ 明朝"/>
    </w:rPr>
  </w:style>
  <w:style w:type="paragraph" w:customStyle="1" w:styleId="ena">
    <w:name w:val="見出し（en）"/>
    <w:basedOn w:val="jaa"/>
    <w:rsid w:val="00B875A0"/>
    <w:rPr>
      <w:rFonts w:ascii="Century" w:eastAsia="Century" w:hAnsi="Century" w:cs="Century"/>
    </w:rPr>
  </w:style>
  <w:style w:type="paragraph" w:styleId="a3">
    <w:name w:val="footer"/>
    <w:basedOn w:val="a"/>
    <w:rsid w:val="00B875A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875A0"/>
    <w:pPr>
      <w:widowControl w:val="0"/>
      <w:ind w:left="1099" w:hanging="219"/>
    </w:pPr>
    <w:rPr>
      <w:rFonts w:ascii="ＭＳ 明朝" w:eastAsia="ＭＳ 明朝" w:hAnsi="ＭＳ 明朝" w:cs="Kochi Mincho"/>
    </w:rPr>
  </w:style>
  <w:style w:type="paragraph" w:customStyle="1" w:styleId="enb">
    <w:name w:val="目次目（en）"/>
    <w:basedOn w:val="jab"/>
    <w:rsid w:val="00B875A0"/>
    <w:rPr>
      <w:rFonts w:ascii="Century" w:eastAsia="Century" w:hAnsi="Century"/>
    </w:rPr>
  </w:style>
  <w:style w:type="paragraph" w:customStyle="1" w:styleId="jac">
    <w:name w:val="目次附則（ja）"/>
    <w:basedOn w:val="a"/>
    <w:rsid w:val="00B875A0"/>
    <w:pPr>
      <w:widowControl w:val="0"/>
      <w:ind w:left="439" w:hanging="219"/>
    </w:pPr>
    <w:rPr>
      <w:rFonts w:ascii="ＭＳ 明朝" w:eastAsia="ＭＳ 明朝" w:hAnsi="ＭＳ 明朝" w:cs="Kochi Mincho"/>
    </w:rPr>
  </w:style>
  <w:style w:type="paragraph" w:customStyle="1" w:styleId="enc">
    <w:name w:val="目次附則（en）"/>
    <w:basedOn w:val="jac"/>
    <w:rsid w:val="00B875A0"/>
    <w:rPr>
      <w:rFonts w:ascii="Century" w:eastAsia="Century" w:hAnsi="Century" w:cs="Century"/>
    </w:rPr>
  </w:style>
  <w:style w:type="paragraph" w:customStyle="1" w:styleId="jad">
    <w:name w:val="目次前文（ja）"/>
    <w:basedOn w:val="jac"/>
    <w:rsid w:val="00B875A0"/>
  </w:style>
  <w:style w:type="paragraph" w:customStyle="1" w:styleId="end">
    <w:name w:val="目次前文（en）"/>
    <w:basedOn w:val="enc"/>
    <w:rsid w:val="00B875A0"/>
  </w:style>
  <w:style w:type="paragraph" w:customStyle="1" w:styleId="jae">
    <w:name w:val="制定文（ja）"/>
    <w:basedOn w:val="a"/>
    <w:rsid w:val="00B875A0"/>
    <w:pPr>
      <w:widowControl w:val="0"/>
      <w:ind w:firstLine="219"/>
    </w:pPr>
    <w:rPr>
      <w:rFonts w:ascii="ＭＳ 明朝" w:eastAsia="ＭＳ 明朝" w:hAnsi="ＭＳ 明朝" w:cs="ＭＳ 明朝"/>
    </w:rPr>
  </w:style>
  <w:style w:type="paragraph" w:customStyle="1" w:styleId="ene">
    <w:name w:val="制定文（en）"/>
    <w:basedOn w:val="jae"/>
    <w:rsid w:val="00B875A0"/>
    <w:rPr>
      <w:rFonts w:ascii="Century" w:eastAsia="Century" w:hAnsi="Century" w:cs="Century"/>
    </w:rPr>
  </w:style>
  <w:style w:type="paragraph" w:customStyle="1" w:styleId="jaf">
    <w:name w:val="法令番号（ja）"/>
    <w:basedOn w:val="a"/>
    <w:rsid w:val="00B875A0"/>
    <w:pPr>
      <w:widowControl w:val="0"/>
      <w:jc w:val="right"/>
    </w:pPr>
    <w:rPr>
      <w:rFonts w:ascii="ＭＳ 明朝" w:eastAsia="ＭＳ 明朝" w:hAnsi="ＭＳ 明朝" w:cs="Kochi Mincho"/>
    </w:rPr>
  </w:style>
  <w:style w:type="paragraph" w:customStyle="1" w:styleId="enf">
    <w:name w:val="法令番号（en）"/>
    <w:basedOn w:val="jaf"/>
    <w:rsid w:val="00B875A0"/>
    <w:rPr>
      <w:rFonts w:ascii="Century" w:eastAsia="Century" w:hAnsi="Century" w:cs="Century"/>
    </w:rPr>
  </w:style>
  <w:style w:type="paragraph" w:customStyle="1" w:styleId="jaf0">
    <w:name w:val="目次（ja）"/>
    <w:basedOn w:val="a"/>
    <w:rsid w:val="00B875A0"/>
    <w:rPr>
      <w:rFonts w:ascii="ＭＳ 明朝" w:eastAsia="ＭＳ 明朝" w:hAnsi="ＭＳ 明朝"/>
    </w:rPr>
  </w:style>
  <w:style w:type="paragraph" w:customStyle="1" w:styleId="enf0">
    <w:name w:val="目次（en）"/>
    <w:basedOn w:val="jaf0"/>
    <w:rsid w:val="00B875A0"/>
    <w:rPr>
      <w:rFonts w:ascii="Century" w:eastAsia="Century" w:hAnsi="Century"/>
    </w:rPr>
  </w:style>
  <w:style w:type="paragraph" w:customStyle="1" w:styleId="jaf1">
    <w:name w:val="編（ja）"/>
    <w:basedOn w:val="a"/>
    <w:rsid w:val="00B875A0"/>
    <w:pPr>
      <w:widowControl w:val="0"/>
      <w:ind w:left="661" w:hanging="221"/>
    </w:pPr>
    <w:rPr>
      <w:rFonts w:ascii="ＭＳ 明朝" w:eastAsia="ＭＳ 明朝" w:hAnsi="ＭＳ 明朝" w:cs="ＭＳ 明朝"/>
      <w:b/>
    </w:rPr>
  </w:style>
  <w:style w:type="paragraph" w:customStyle="1" w:styleId="enf1">
    <w:name w:val="編（en）"/>
    <w:basedOn w:val="jaf1"/>
    <w:rsid w:val="00B875A0"/>
    <w:rPr>
      <w:rFonts w:ascii="Century" w:eastAsia="Century" w:hAnsi="Century" w:cs="Century"/>
    </w:rPr>
  </w:style>
  <w:style w:type="paragraph" w:customStyle="1" w:styleId="jaf2">
    <w:name w:val="節（ja）"/>
    <w:basedOn w:val="a"/>
    <w:rsid w:val="00B875A0"/>
    <w:pPr>
      <w:widowControl w:val="0"/>
      <w:ind w:left="1101" w:hanging="221"/>
    </w:pPr>
    <w:rPr>
      <w:rFonts w:ascii="ＭＳ 明朝" w:eastAsia="ＭＳ 明朝" w:hAnsi="ＭＳ 明朝" w:cs="ＭＳ 明朝"/>
      <w:b/>
    </w:rPr>
  </w:style>
  <w:style w:type="paragraph" w:customStyle="1" w:styleId="enf2">
    <w:name w:val="節（en）"/>
    <w:basedOn w:val="jaf2"/>
    <w:rsid w:val="00B875A0"/>
    <w:rPr>
      <w:rFonts w:ascii="Century" w:eastAsia="Century" w:hAnsi="Century" w:cs="Century"/>
    </w:rPr>
  </w:style>
  <w:style w:type="paragraph" w:customStyle="1" w:styleId="jaf3">
    <w:name w:val="条（ja）"/>
    <w:basedOn w:val="a"/>
    <w:rsid w:val="00B875A0"/>
    <w:pPr>
      <w:widowControl w:val="0"/>
      <w:ind w:left="219" w:hanging="219"/>
    </w:pPr>
    <w:rPr>
      <w:rFonts w:ascii="ＭＳ 明朝" w:eastAsia="ＭＳ 明朝" w:hAnsi="ＭＳ 明朝" w:cs="ＭＳ 明朝"/>
    </w:rPr>
  </w:style>
  <w:style w:type="paragraph" w:customStyle="1" w:styleId="enf3">
    <w:name w:val="条（en）"/>
    <w:basedOn w:val="jaf3"/>
    <w:rsid w:val="00B875A0"/>
    <w:rPr>
      <w:rFonts w:ascii="Century" w:eastAsia="Century" w:hAnsi="Century" w:cs="Century"/>
    </w:rPr>
  </w:style>
  <w:style w:type="paragraph" w:customStyle="1" w:styleId="jaf4">
    <w:name w:val="項（ja）"/>
    <w:basedOn w:val="a"/>
    <w:rsid w:val="00B875A0"/>
    <w:pPr>
      <w:widowControl w:val="0"/>
      <w:ind w:left="219" w:hanging="219"/>
    </w:pPr>
    <w:rPr>
      <w:rFonts w:ascii="ＭＳ 明朝" w:eastAsia="ＭＳ 明朝" w:hAnsi="ＭＳ 明朝" w:cs="ＭＳ 明朝"/>
    </w:rPr>
  </w:style>
  <w:style w:type="paragraph" w:customStyle="1" w:styleId="enf4">
    <w:name w:val="項（en）"/>
    <w:basedOn w:val="jaf4"/>
    <w:rsid w:val="00B875A0"/>
    <w:rPr>
      <w:rFonts w:ascii="Century" w:eastAsia="Century" w:hAnsi="Century" w:cs="Century"/>
    </w:rPr>
  </w:style>
  <w:style w:type="paragraph" w:customStyle="1" w:styleId="jaf5">
    <w:name w:val="項　番号なし（ja）"/>
    <w:basedOn w:val="a"/>
    <w:rsid w:val="00B875A0"/>
    <w:pPr>
      <w:widowControl w:val="0"/>
      <w:ind w:firstLine="221"/>
    </w:pPr>
    <w:rPr>
      <w:rFonts w:ascii="ＭＳ 明朝" w:eastAsia="ＭＳ 明朝" w:hAnsi="ＭＳ 明朝" w:cs="ＭＳ 明朝"/>
    </w:rPr>
  </w:style>
  <w:style w:type="paragraph" w:customStyle="1" w:styleId="enf5">
    <w:name w:val="項　番号なし（en）"/>
    <w:basedOn w:val="jaf5"/>
    <w:rsid w:val="00B875A0"/>
    <w:rPr>
      <w:rFonts w:ascii="Century" w:eastAsia="Century" w:hAnsi="Century" w:cs="Century"/>
    </w:rPr>
  </w:style>
  <w:style w:type="paragraph" w:customStyle="1" w:styleId="jaf6">
    <w:name w:val="号（ja）"/>
    <w:basedOn w:val="a"/>
    <w:rsid w:val="00B875A0"/>
    <w:pPr>
      <w:widowControl w:val="0"/>
      <w:ind w:left="439" w:hanging="219"/>
    </w:pPr>
    <w:rPr>
      <w:rFonts w:ascii="ＭＳ 明朝" w:eastAsia="ＭＳ 明朝" w:hAnsi="ＭＳ 明朝" w:cs="ＭＳ 明朝"/>
    </w:rPr>
  </w:style>
  <w:style w:type="paragraph" w:customStyle="1" w:styleId="enf6">
    <w:name w:val="号（en）"/>
    <w:basedOn w:val="jaf6"/>
    <w:rsid w:val="00B875A0"/>
    <w:rPr>
      <w:rFonts w:ascii="Century" w:eastAsia="Century" w:hAnsi="Century" w:cs="Century"/>
    </w:rPr>
  </w:style>
  <w:style w:type="paragraph" w:customStyle="1" w:styleId="jaf7">
    <w:name w:val="号　番号なし（ja）"/>
    <w:basedOn w:val="a"/>
    <w:rsid w:val="00B875A0"/>
    <w:pPr>
      <w:widowControl w:val="0"/>
      <w:ind w:left="221" w:firstLine="221"/>
    </w:pPr>
    <w:rPr>
      <w:rFonts w:ascii="ＭＳ 明朝" w:eastAsia="ＭＳ 明朝" w:hAnsi="ＭＳ 明朝" w:cs="ＭＳ 明朝"/>
    </w:rPr>
  </w:style>
  <w:style w:type="paragraph" w:customStyle="1" w:styleId="enf7">
    <w:name w:val="号　番号なし（en）"/>
    <w:basedOn w:val="jaf7"/>
    <w:rsid w:val="00B875A0"/>
    <w:rPr>
      <w:rFonts w:ascii="Century" w:eastAsia="Century" w:hAnsi="Century" w:cs="Century"/>
    </w:rPr>
  </w:style>
  <w:style w:type="paragraph" w:customStyle="1" w:styleId="jaf8">
    <w:name w:val="備考号（ja）"/>
    <w:basedOn w:val="a"/>
    <w:rsid w:val="00B875A0"/>
    <w:pPr>
      <w:widowControl w:val="0"/>
      <w:ind w:left="659" w:hanging="219"/>
    </w:pPr>
    <w:rPr>
      <w:rFonts w:ascii="ＭＳ 明朝" w:eastAsia="ＭＳ 明朝" w:hAnsi="ＭＳ 明朝" w:cs="ＭＳ 明朝"/>
    </w:rPr>
  </w:style>
  <w:style w:type="paragraph" w:customStyle="1" w:styleId="enf8">
    <w:name w:val="備考号（en）"/>
    <w:basedOn w:val="jaf8"/>
    <w:rsid w:val="00B875A0"/>
    <w:rPr>
      <w:rFonts w:ascii="Century" w:eastAsia="Century" w:hAnsi="Century" w:cs="Century"/>
    </w:rPr>
  </w:style>
  <w:style w:type="paragraph" w:customStyle="1" w:styleId="jaf9">
    <w:name w:val="号細分（ja）"/>
    <w:basedOn w:val="a"/>
    <w:rsid w:val="00B875A0"/>
    <w:pPr>
      <w:widowControl w:val="0"/>
      <w:ind w:left="659" w:hanging="219"/>
    </w:pPr>
    <w:rPr>
      <w:rFonts w:ascii="ＭＳ 明朝" w:eastAsia="ＭＳ 明朝" w:hAnsi="ＭＳ 明朝" w:cs="ＭＳ 明朝"/>
    </w:rPr>
  </w:style>
  <w:style w:type="paragraph" w:customStyle="1" w:styleId="enf9">
    <w:name w:val="号細分（en）"/>
    <w:basedOn w:val="jaf9"/>
    <w:rsid w:val="00B875A0"/>
    <w:rPr>
      <w:rFonts w:ascii="Century" w:eastAsia="Century" w:hAnsi="Century" w:cs="Century"/>
    </w:rPr>
  </w:style>
  <w:style w:type="paragraph" w:customStyle="1" w:styleId="jafa">
    <w:name w:val="号細分　番号なし（ja）"/>
    <w:basedOn w:val="a"/>
    <w:rsid w:val="00B875A0"/>
    <w:pPr>
      <w:widowControl w:val="0"/>
      <w:ind w:left="439"/>
    </w:pPr>
    <w:rPr>
      <w:rFonts w:ascii="ＭＳ 明朝" w:eastAsia="ＭＳ 明朝" w:hAnsi="ＭＳ 明朝" w:cs="ＭＳ 明朝"/>
    </w:rPr>
  </w:style>
  <w:style w:type="paragraph" w:customStyle="1" w:styleId="enfa">
    <w:name w:val="号細分　番号なし（en）"/>
    <w:basedOn w:val="jafa"/>
    <w:rsid w:val="00B875A0"/>
    <w:rPr>
      <w:rFonts w:ascii="Century" w:eastAsia="Century" w:hAnsi="Century" w:cs="Century"/>
    </w:rPr>
  </w:style>
  <w:style w:type="paragraph" w:customStyle="1" w:styleId="jafb">
    <w:name w:val="備考号細分（ja）"/>
    <w:basedOn w:val="a"/>
    <w:rsid w:val="00B875A0"/>
    <w:pPr>
      <w:widowControl w:val="0"/>
      <w:ind w:left="1099" w:hanging="439"/>
    </w:pPr>
    <w:rPr>
      <w:rFonts w:ascii="ＭＳ 明朝" w:eastAsia="ＭＳ 明朝" w:hAnsi="ＭＳ 明朝" w:cs="ＭＳ 明朝"/>
    </w:rPr>
  </w:style>
  <w:style w:type="paragraph" w:customStyle="1" w:styleId="enfb">
    <w:name w:val="備考号細分（en）"/>
    <w:basedOn w:val="jafb"/>
    <w:rsid w:val="00B875A0"/>
    <w:rPr>
      <w:rFonts w:ascii="Century" w:eastAsia="Century" w:hAnsi="Century" w:cs="Century"/>
    </w:rPr>
  </w:style>
  <w:style w:type="paragraph" w:customStyle="1" w:styleId="jafc">
    <w:name w:val="号細細分（ja）"/>
    <w:basedOn w:val="a"/>
    <w:rsid w:val="00B875A0"/>
    <w:pPr>
      <w:widowControl w:val="0"/>
      <w:ind w:left="1099" w:hanging="439"/>
    </w:pPr>
    <w:rPr>
      <w:rFonts w:ascii="ＭＳ 明朝" w:eastAsia="ＭＳ 明朝" w:hAnsi="ＭＳ 明朝" w:cs="ＭＳ 明朝"/>
    </w:rPr>
  </w:style>
  <w:style w:type="paragraph" w:customStyle="1" w:styleId="enfc">
    <w:name w:val="号細細分（en）"/>
    <w:basedOn w:val="jafc"/>
    <w:rsid w:val="00B875A0"/>
    <w:rPr>
      <w:rFonts w:ascii="Century" w:eastAsia="Century" w:hAnsi="Century" w:cs="Century"/>
    </w:rPr>
  </w:style>
  <w:style w:type="paragraph" w:customStyle="1" w:styleId="jafd">
    <w:name w:val="号細細分　番号なし（ja）"/>
    <w:basedOn w:val="a"/>
    <w:rsid w:val="00B875A0"/>
    <w:pPr>
      <w:widowControl w:val="0"/>
      <w:ind w:left="659"/>
    </w:pPr>
    <w:rPr>
      <w:rFonts w:ascii="ＭＳ 明朝" w:eastAsia="ＭＳ 明朝" w:hAnsi="ＭＳ 明朝" w:cs="ＭＳ 明朝"/>
    </w:rPr>
  </w:style>
  <w:style w:type="paragraph" w:customStyle="1" w:styleId="enfd">
    <w:name w:val="号細細分　番号なし（en）"/>
    <w:basedOn w:val="jafd"/>
    <w:rsid w:val="00B875A0"/>
    <w:rPr>
      <w:rFonts w:ascii="Century" w:eastAsia="Century" w:hAnsi="Century" w:cs="Century"/>
    </w:rPr>
  </w:style>
  <w:style w:type="paragraph" w:customStyle="1" w:styleId="jafe">
    <w:name w:val="備考号細細分（ja）"/>
    <w:basedOn w:val="a"/>
    <w:rsid w:val="00B875A0"/>
    <w:pPr>
      <w:widowControl w:val="0"/>
      <w:ind w:left="1319" w:hanging="439"/>
    </w:pPr>
    <w:rPr>
      <w:rFonts w:ascii="ＭＳ 明朝" w:eastAsia="ＭＳ 明朝" w:hAnsi="ＭＳ 明朝" w:cs="ＭＳ 明朝"/>
    </w:rPr>
  </w:style>
  <w:style w:type="paragraph" w:customStyle="1" w:styleId="enfe">
    <w:name w:val="備考号細細分（en）"/>
    <w:basedOn w:val="jafe"/>
    <w:rsid w:val="00B875A0"/>
    <w:rPr>
      <w:rFonts w:ascii="Century" w:eastAsia="Century" w:hAnsi="Century" w:cs="Century"/>
    </w:rPr>
  </w:style>
  <w:style w:type="paragraph" w:customStyle="1" w:styleId="jaff">
    <w:name w:val="号細細細分（ja）"/>
    <w:basedOn w:val="a"/>
    <w:rsid w:val="00B875A0"/>
    <w:pPr>
      <w:widowControl w:val="0"/>
      <w:ind w:left="1319" w:hanging="439"/>
    </w:pPr>
    <w:rPr>
      <w:rFonts w:ascii="ＭＳ 明朝" w:eastAsia="ＭＳ 明朝" w:hAnsi="ＭＳ 明朝" w:cs="ＭＳ 明朝"/>
    </w:rPr>
  </w:style>
  <w:style w:type="paragraph" w:customStyle="1" w:styleId="enff">
    <w:name w:val="号細細細分（en）"/>
    <w:basedOn w:val="jaff"/>
    <w:rsid w:val="00B875A0"/>
    <w:rPr>
      <w:rFonts w:ascii="Century" w:eastAsia="Century" w:hAnsi="Century" w:cs="Century"/>
    </w:rPr>
  </w:style>
  <w:style w:type="paragraph" w:customStyle="1" w:styleId="jaff0">
    <w:name w:val="号細細細分　番号なし（ja）"/>
    <w:basedOn w:val="a"/>
    <w:rsid w:val="00B875A0"/>
    <w:pPr>
      <w:widowControl w:val="0"/>
      <w:ind w:left="879"/>
    </w:pPr>
    <w:rPr>
      <w:rFonts w:ascii="ＭＳ 明朝" w:eastAsia="ＭＳ 明朝" w:hAnsi="ＭＳ 明朝" w:cs="ＭＳ 明朝"/>
    </w:rPr>
  </w:style>
  <w:style w:type="paragraph" w:customStyle="1" w:styleId="enff0">
    <w:name w:val="号細細細分　番号なし（en）"/>
    <w:basedOn w:val="jaff0"/>
    <w:rsid w:val="00B875A0"/>
    <w:rPr>
      <w:rFonts w:ascii="Century" w:eastAsia="Century" w:hAnsi="Century" w:cs="Century"/>
    </w:rPr>
  </w:style>
  <w:style w:type="paragraph" w:customStyle="1" w:styleId="jaff1">
    <w:name w:val="備考号細細細分（ja）"/>
    <w:basedOn w:val="a"/>
    <w:rsid w:val="00B875A0"/>
    <w:pPr>
      <w:widowControl w:val="0"/>
      <w:ind w:left="1539" w:hanging="439"/>
    </w:pPr>
    <w:rPr>
      <w:rFonts w:ascii="ＭＳ 明朝" w:eastAsia="ＭＳ 明朝" w:hAnsi="ＭＳ 明朝" w:cs="ＭＳ 明朝"/>
    </w:rPr>
  </w:style>
  <w:style w:type="paragraph" w:customStyle="1" w:styleId="enff1">
    <w:name w:val="備考号細細細分（en）"/>
    <w:basedOn w:val="jaff1"/>
    <w:rsid w:val="00B875A0"/>
    <w:rPr>
      <w:rFonts w:ascii="Century" w:eastAsia="Century" w:hAnsi="Century" w:cs="Century"/>
    </w:rPr>
  </w:style>
  <w:style w:type="paragraph" w:customStyle="1" w:styleId="jaff2">
    <w:name w:val="類（ja）"/>
    <w:basedOn w:val="a"/>
    <w:rsid w:val="00B875A0"/>
    <w:pPr>
      <w:widowControl w:val="0"/>
      <w:ind w:left="439" w:hanging="219"/>
    </w:pPr>
    <w:rPr>
      <w:rFonts w:ascii="ＭＳ 明朝" w:eastAsia="ＭＳ 明朝" w:hAnsi="ＭＳ 明朝" w:cs="ＭＳ 明朝"/>
    </w:rPr>
  </w:style>
  <w:style w:type="paragraph" w:customStyle="1" w:styleId="enff2">
    <w:name w:val="類（en）"/>
    <w:basedOn w:val="jaff2"/>
    <w:rsid w:val="00B875A0"/>
    <w:rPr>
      <w:rFonts w:ascii="Century" w:eastAsia="Century" w:hAnsi="Century" w:cs="Century"/>
    </w:rPr>
  </w:style>
  <w:style w:type="paragraph" w:customStyle="1" w:styleId="jaff3">
    <w:name w:val="公布文（ja）"/>
    <w:basedOn w:val="a"/>
    <w:rsid w:val="00B875A0"/>
    <w:pPr>
      <w:widowControl w:val="0"/>
      <w:ind w:firstLine="219"/>
    </w:pPr>
    <w:rPr>
      <w:rFonts w:ascii="ＭＳ 明朝" w:eastAsia="ＭＳ 明朝" w:hAnsi="ＭＳ 明朝" w:cs="ＭＳ 明朝"/>
    </w:rPr>
  </w:style>
  <w:style w:type="paragraph" w:customStyle="1" w:styleId="enff3">
    <w:name w:val="公布文（en）"/>
    <w:basedOn w:val="jaff3"/>
    <w:rsid w:val="00B875A0"/>
    <w:rPr>
      <w:rFonts w:ascii="Century" w:eastAsia="Century" w:hAnsi="Century" w:cs="Century"/>
    </w:rPr>
  </w:style>
  <w:style w:type="paragraph" w:customStyle="1" w:styleId="jaen">
    <w:name w:val="表（ja：en）"/>
    <w:basedOn w:val="a"/>
    <w:rsid w:val="00B875A0"/>
    <w:pPr>
      <w:widowControl w:val="0"/>
      <w:snapToGrid w:val="0"/>
    </w:pPr>
    <w:rPr>
      <w:rFonts w:ascii="Century" w:eastAsia="ＭＳ 明朝" w:hAnsi="Century"/>
    </w:rPr>
  </w:style>
  <w:style w:type="paragraph" w:customStyle="1" w:styleId="jaff4">
    <w:name w:val="備考（ja）"/>
    <w:basedOn w:val="a"/>
    <w:rsid w:val="00B875A0"/>
    <w:pPr>
      <w:widowControl w:val="0"/>
      <w:ind w:left="439" w:hanging="219"/>
    </w:pPr>
    <w:rPr>
      <w:rFonts w:ascii="ＭＳ 明朝" w:eastAsia="ＭＳ 明朝" w:hAnsi="ＭＳ 明朝" w:cs="ＭＳ 明朝"/>
    </w:rPr>
  </w:style>
  <w:style w:type="paragraph" w:customStyle="1" w:styleId="enff4">
    <w:name w:val="備考（en）"/>
    <w:basedOn w:val="jaff4"/>
    <w:rsid w:val="00B875A0"/>
    <w:rPr>
      <w:rFonts w:ascii="Century" w:eastAsia="Century" w:hAnsi="Century" w:cs="Century"/>
    </w:rPr>
  </w:style>
  <w:style w:type="paragraph" w:customStyle="1" w:styleId="jaff5">
    <w:name w:val="表タイトル（ja）"/>
    <w:basedOn w:val="a"/>
    <w:rsid w:val="00B875A0"/>
    <w:pPr>
      <w:widowControl w:val="0"/>
      <w:ind w:left="219"/>
    </w:pPr>
    <w:rPr>
      <w:rFonts w:ascii="ＭＳ 明朝" w:eastAsia="ＭＳ 明朝" w:hAnsi="ＭＳ 明朝" w:cs="ＭＳ 明朝"/>
    </w:rPr>
  </w:style>
  <w:style w:type="paragraph" w:customStyle="1" w:styleId="enff5">
    <w:name w:val="表タイトル（en）"/>
    <w:basedOn w:val="jaff5"/>
    <w:rsid w:val="00B875A0"/>
    <w:rPr>
      <w:rFonts w:ascii="Century" w:eastAsia="Century" w:hAnsi="Century" w:cs="Century"/>
    </w:rPr>
  </w:style>
  <w:style w:type="paragraph" w:customStyle="1" w:styleId="jaff6">
    <w:name w:val="改正規定文（ja）"/>
    <w:basedOn w:val="a"/>
    <w:rsid w:val="00B875A0"/>
    <w:pPr>
      <w:widowControl w:val="0"/>
      <w:ind w:left="219" w:firstLine="219"/>
    </w:pPr>
    <w:rPr>
      <w:rFonts w:ascii="ＭＳ 明朝" w:eastAsia="ＭＳ 明朝" w:hAnsi="ＭＳ 明朝" w:cs="ＭＳ 明朝"/>
    </w:rPr>
  </w:style>
  <w:style w:type="paragraph" w:customStyle="1" w:styleId="enff6">
    <w:name w:val="改正規定文（en）"/>
    <w:basedOn w:val="jaff6"/>
    <w:rsid w:val="00B875A0"/>
    <w:rPr>
      <w:rFonts w:ascii="Century" w:eastAsia="Century" w:hAnsi="Century" w:cs="Century"/>
    </w:rPr>
  </w:style>
  <w:style w:type="paragraph" w:customStyle="1" w:styleId="jaff7">
    <w:name w:val="付記（ja）"/>
    <w:basedOn w:val="a"/>
    <w:rsid w:val="00B875A0"/>
    <w:pPr>
      <w:widowControl w:val="0"/>
      <w:ind w:left="219" w:firstLine="219"/>
    </w:pPr>
    <w:rPr>
      <w:rFonts w:ascii="ＭＳ 明朝" w:eastAsia="ＭＳ 明朝" w:hAnsi="ＭＳ 明朝" w:cs="ＭＳ 明朝"/>
    </w:rPr>
  </w:style>
  <w:style w:type="paragraph" w:customStyle="1" w:styleId="enff7">
    <w:name w:val="付記（en）"/>
    <w:basedOn w:val="jaff7"/>
    <w:rsid w:val="00B875A0"/>
    <w:rPr>
      <w:rFonts w:ascii="Century" w:eastAsia="Century" w:hAnsi="Century" w:cs="Century"/>
    </w:rPr>
  </w:style>
  <w:style w:type="paragraph" w:customStyle="1" w:styleId="jaff8">
    <w:name w:val="様式名（ja）"/>
    <w:basedOn w:val="a"/>
    <w:rsid w:val="00B875A0"/>
    <w:pPr>
      <w:widowControl w:val="0"/>
      <w:ind w:left="439" w:hanging="219"/>
    </w:pPr>
    <w:rPr>
      <w:rFonts w:ascii="ＭＳ 明朝" w:eastAsia="ＭＳ 明朝" w:hAnsi="ＭＳ 明朝" w:cs="ＭＳ 明朝"/>
    </w:rPr>
  </w:style>
  <w:style w:type="paragraph" w:customStyle="1" w:styleId="enff8">
    <w:name w:val="様式名（en）"/>
    <w:basedOn w:val="jaff8"/>
    <w:rsid w:val="00B875A0"/>
    <w:rPr>
      <w:rFonts w:ascii="Century" w:eastAsia="Century" w:hAnsi="Century" w:cs="Century"/>
    </w:rPr>
  </w:style>
  <w:style w:type="paragraph" w:customStyle="1" w:styleId="jaff9">
    <w:name w:val="様式項目（ja）"/>
    <w:basedOn w:val="a"/>
    <w:rsid w:val="00B875A0"/>
    <w:pPr>
      <w:widowControl w:val="0"/>
      <w:ind w:left="221" w:firstLine="221"/>
    </w:pPr>
    <w:rPr>
      <w:rFonts w:ascii="ＭＳ 明朝" w:eastAsia="ＭＳ 明朝" w:hAnsi="ＭＳ 明朝" w:cs="ＭＳ 明朝"/>
    </w:rPr>
  </w:style>
  <w:style w:type="paragraph" w:customStyle="1" w:styleId="enff9">
    <w:name w:val="様式項目（en）"/>
    <w:basedOn w:val="jaff9"/>
    <w:rsid w:val="00B875A0"/>
    <w:rPr>
      <w:rFonts w:ascii="Century" w:eastAsia="Century" w:hAnsi="Century" w:cs="Century"/>
    </w:rPr>
  </w:style>
  <w:style w:type="table" w:customStyle="1" w:styleId="1">
    <w:name w:val="表1"/>
    <w:rsid w:val="00B875A0"/>
    <w:tblPr>
      <w:tblInd w:w="340" w:type="dxa"/>
      <w:tblCellMar>
        <w:top w:w="0" w:type="dxa"/>
        <w:left w:w="0" w:type="dxa"/>
        <w:bottom w:w="0" w:type="dxa"/>
        <w:right w:w="0" w:type="dxa"/>
      </w:tblCellMar>
    </w:tblPr>
  </w:style>
  <w:style w:type="numbering" w:customStyle="1" w:styleId="WW8Num1">
    <w:name w:val="WW8Num1"/>
    <w:rsid w:val="00B875A0"/>
    <w:pPr>
      <w:numPr>
        <w:numId w:val="2"/>
      </w:numPr>
    </w:pPr>
  </w:style>
  <w:style w:type="numbering" w:customStyle="1" w:styleId="WW8Num2">
    <w:name w:val="WW8Num2"/>
    <w:rsid w:val="00B875A0"/>
    <w:pPr>
      <w:numPr>
        <w:numId w:val="3"/>
      </w:numPr>
    </w:pPr>
  </w:style>
  <w:style w:type="numbering" w:customStyle="1" w:styleId="WW8Num3">
    <w:name w:val="WW8Num3"/>
    <w:rsid w:val="00B875A0"/>
    <w:pPr>
      <w:numPr>
        <w:numId w:val="4"/>
      </w:numPr>
    </w:pPr>
  </w:style>
  <w:style w:type="numbering" w:customStyle="1" w:styleId="WW8Num4">
    <w:name w:val="WW8Num4"/>
    <w:rsid w:val="00B875A0"/>
    <w:pPr>
      <w:numPr>
        <w:numId w:val="5"/>
      </w:numPr>
    </w:pPr>
  </w:style>
  <w:style w:type="numbering" w:customStyle="1" w:styleId="WW8Num5">
    <w:name w:val="WW8Num5"/>
    <w:rsid w:val="00B875A0"/>
    <w:pPr>
      <w:numPr>
        <w:numId w:val="6"/>
      </w:numPr>
    </w:pPr>
  </w:style>
  <w:style w:type="numbering" w:customStyle="1" w:styleId="WW8Num6">
    <w:name w:val="WW8Num6"/>
    <w:rsid w:val="00B875A0"/>
    <w:pPr>
      <w:numPr>
        <w:numId w:val="7"/>
      </w:numPr>
    </w:pPr>
  </w:style>
  <w:style w:type="numbering" w:customStyle="1" w:styleId="WW8Num7">
    <w:name w:val="WW8Num7"/>
    <w:rsid w:val="00B875A0"/>
    <w:pPr>
      <w:numPr>
        <w:numId w:val="8"/>
      </w:numPr>
    </w:pPr>
  </w:style>
  <w:style w:type="numbering" w:customStyle="1" w:styleId="WW8Num8">
    <w:name w:val="WW8Num8"/>
    <w:rsid w:val="00B875A0"/>
    <w:pPr>
      <w:numPr>
        <w:numId w:val="9"/>
      </w:numPr>
    </w:pPr>
  </w:style>
  <w:style w:type="numbering" w:customStyle="1" w:styleId="WW8Num9">
    <w:name w:val="WW8Num9"/>
    <w:rsid w:val="00B875A0"/>
    <w:pPr>
      <w:numPr>
        <w:numId w:val="10"/>
      </w:numPr>
    </w:pPr>
  </w:style>
  <w:style w:type="numbering" w:customStyle="1" w:styleId="WW8Num10">
    <w:name w:val="WW8Num10"/>
    <w:rsid w:val="00B875A0"/>
    <w:pPr>
      <w:numPr>
        <w:numId w:val="11"/>
      </w:numPr>
    </w:pPr>
  </w:style>
  <w:style w:type="numbering" w:customStyle="1" w:styleId="WW8Num11">
    <w:name w:val="WW8Num11"/>
    <w:rsid w:val="00B875A0"/>
    <w:pPr>
      <w:numPr>
        <w:numId w:val="12"/>
      </w:numPr>
    </w:pPr>
  </w:style>
  <w:style w:type="numbering" w:customStyle="1" w:styleId="WW8Num12">
    <w:name w:val="WW8Num12"/>
    <w:rsid w:val="00B875A0"/>
    <w:pPr>
      <w:numPr>
        <w:numId w:val="13"/>
      </w:numPr>
    </w:pPr>
  </w:style>
  <w:style w:type="paragraph" w:styleId="a4">
    <w:name w:val="header"/>
    <w:basedOn w:val="a"/>
    <w:link w:val="a5"/>
    <w:uiPriority w:val="99"/>
    <w:unhideWhenUsed/>
    <w:rsid w:val="005D4A2F"/>
    <w:pPr>
      <w:tabs>
        <w:tab w:val="center" w:pos="4252"/>
        <w:tab w:val="right" w:pos="8504"/>
      </w:tabs>
      <w:snapToGrid w:val="0"/>
    </w:pPr>
  </w:style>
  <w:style w:type="character" w:customStyle="1" w:styleId="a5">
    <w:name w:val="ヘッダー (文字)"/>
    <w:basedOn w:val="a0"/>
    <w:link w:val="a4"/>
    <w:uiPriority w:val="99"/>
    <w:rsid w:val="005D4A2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2022-01-04T05:02:00Z</dcterms:created>
  <dcterms:modified xsi:type="dcterms:W3CDTF">2022-01-04T05:02:00Z</dcterms:modified>
</cp:coreProperties>
</file>