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6666" w:rsidRDefault="006D126F">
      <w:pPr>
        <w:pStyle w:val="en"/>
      </w:pPr>
      <w:r>
        <w:t>Ministerial Ordinance Specifying the Method of Provision of Information on the Properties and Handling of Designated Chemical Substances, etc.</w:t>
      </w:r>
    </w:p>
    <w:p w:rsidR="00CF6666" w:rsidRDefault="00CF6666"/>
    <w:p w:rsidR="00CF6666" w:rsidRDefault="006D126F">
      <w:pPr>
        <w:pStyle w:val="enf"/>
      </w:pPr>
      <w:r>
        <w:t>(Ordinance of the Ministry of International Trade and Industry No. 401 of December 22, 2000)</w:t>
      </w:r>
    </w:p>
    <w:p w:rsidR="00CF6666" w:rsidRDefault="00CF6666"/>
    <w:p w:rsidR="00CF6666" w:rsidRDefault="006D126F">
      <w:pPr>
        <w:pStyle w:val="ena"/>
      </w:pPr>
      <w:r>
        <w:t>(Terminology)</w:t>
      </w:r>
    </w:p>
    <w:p w:rsidR="00CF6666" w:rsidRDefault="006D126F">
      <w:pPr>
        <w:pStyle w:val="enf3"/>
      </w:pPr>
      <w:r>
        <w:t xml:space="preserve">Article 1  The terminology used in this Ministerial Ordinance shall follow the definitions in the Act on Confirmation, etc. of Release Amounts of Specific Chemical Substances in the Environment and Promotion of Improvements to the Management </w:t>
      </w:r>
      <w:r>
        <w:t>Thereof (hereinafter referred to as the "Act") and the Order for Enforcement of the Act on Confirmation, etc. of Release Amounts of Specific Chemical Substances in the Environment and Promotion of Improvements to the Management Thereof (Cabinet Order No. 1</w:t>
      </w:r>
      <w:r>
        <w:t>38 of 2000; hereinafter referred to as the "Order").</w:t>
      </w:r>
    </w:p>
    <w:p w:rsidR="00CF6666" w:rsidRDefault="00CF6666"/>
    <w:p w:rsidR="00CF6666" w:rsidRDefault="006D126F">
      <w:pPr>
        <w:pStyle w:val="ena"/>
      </w:pPr>
      <w:r>
        <w:t>(Method of Provision of Information on the Properties and Handling of Designated Chemical Substances, etc.)</w:t>
      </w:r>
    </w:p>
    <w:p w:rsidR="00CF6666" w:rsidRDefault="006D126F">
      <w:pPr>
        <w:pStyle w:val="enf3"/>
      </w:pPr>
      <w:r>
        <w:t>Article 2  The method specified by an Ordinance of the Ministry of Economy, Trade and Industry</w:t>
      </w:r>
      <w:r>
        <w:t xml:space="preserve"> as set forth in Article 14, paragraphs (1) and (2) of the Act shall be by transmission using a facsimile machine or any other method where the party to which a Designated Chemical Substance, etc. is transferred or provided has consented to the provision o</w:t>
      </w:r>
      <w:r>
        <w:t>f information by said method.</w:t>
      </w:r>
    </w:p>
    <w:p w:rsidR="00CF6666" w:rsidRDefault="00CF6666"/>
    <w:p w:rsidR="00CF6666" w:rsidRDefault="006D126F">
      <w:pPr>
        <w:pStyle w:val="ena"/>
      </w:pPr>
      <w:r>
        <w:t>(Information that Must Be Provided)</w:t>
      </w:r>
    </w:p>
    <w:p w:rsidR="00CF6666" w:rsidRDefault="006D126F">
      <w:pPr>
        <w:pStyle w:val="enf3"/>
      </w:pPr>
      <w:r>
        <w:t xml:space="preserve">Article 3  A Business Operator Handling a Designated Chemical Substance, etc. shall include the following matters in the information on the properties and handling of a Designated Chemical </w:t>
      </w:r>
      <w:r>
        <w:t>Substance, etc. (hereinafter referred to as "Information on Properties and Handling") to be provided under the provisions of Article 14, paragraph (1) or (2) of the Act:</w:t>
      </w:r>
    </w:p>
    <w:p w:rsidR="00CF6666" w:rsidRDefault="006D126F">
      <w:pPr>
        <w:pStyle w:val="enf6"/>
      </w:pPr>
      <w:r>
        <w:t>(i) in the cases set forth in (a) and (b) below, the matters listed respectively in (a</w:t>
      </w:r>
      <w:r>
        <w:t>) and (b):</w:t>
      </w:r>
    </w:p>
    <w:p w:rsidR="00CF6666" w:rsidRDefault="006D126F">
      <w:pPr>
        <w:pStyle w:val="enf9"/>
      </w:pPr>
      <w:r>
        <w:t>(a) where the Designated Chemical Substance, etc. is a Class I Designated Chemical Substance or a Class II Designated Chemical Substance: the matters listed in 1. through 3. below:</w:t>
      </w:r>
    </w:p>
    <w:p w:rsidR="00CF6666" w:rsidRDefault="006D126F">
      <w:pPr>
        <w:pStyle w:val="enfc"/>
      </w:pPr>
      <w:r>
        <w:t xml:space="preserve">1. the name of the Class I Designated Chemical Substance or the </w:t>
      </w:r>
      <w:r>
        <w:t>Class II Designated Chemical Substance;</w:t>
      </w:r>
    </w:p>
    <w:p w:rsidR="00CF6666" w:rsidRDefault="006D126F">
      <w:pPr>
        <w:pStyle w:val="enfc"/>
      </w:pPr>
      <w:r>
        <w:t xml:space="preserve">2. the item number in Appended Table 1 or Appended Table 2 of the Order that corresponds to the Class I Designated Chemical Substance or the </w:t>
      </w:r>
      <w:r>
        <w:lastRenderedPageBreak/>
        <w:t>Class II Designated Chemical Substance; and</w:t>
      </w:r>
    </w:p>
    <w:p w:rsidR="00CF6666" w:rsidRDefault="006D126F">
      <w:pPr>
        <w:pStyle w:val="enfc"/>
      </w:pPr>
      <w:r>
        <w:t>3. whether the Class I Designat</w:t>
      </w:r>
      <w:r>
        <w:t>ed Chemical Substance or the Class II Designated Chemical Substance is a Class I Designated Chemical Substance (excluding a Specific Class I Designated Chemical Substance), a Specific Class I Designated Chemical Substance, or a Class II Designated Chemical</w:t>
      </w:r>
      <w:r>
        <w:t xml:space="preserve"> Substance; or</w:t>
      </w:r>
    </w:p>
    <w:p w:rsidR="00CF6666" w:rsidRDefault="006D126F">
      <w:pPr>
        <w:pStyle w:val="enf9"/>
      </w:pPr>
      <w:r>
        <w:t>(b) where the Designated Chemical Substance, etc. is a product containing a Class I Designated Chemical Substance or a Class II Designated Chemical Substance: the matters listed in 1. through 5. below:</w:t>
      </w:r>
    </w:p>
    <w:p w:rsidR="00CF6666" w:rsidRDefault="006D126F">
      <w:pPr>
        <w:pStyle w:val="enfc"/>
      </w:pPr>
      <w:r>
        <w:t>1. the name of the product;</w:t>
      </w:r>
    </w:p>
    <w:p w:rsidR="00CF6666" w:rsidRDefault="006D126F">
      <w:pPr>
        <w:pStyle w:val="enfc"/>
      </w:pPr>
      <w:r>
        <w:t>2. the name</w:t>
      </w:r>
      <w:r>
        <w:t xml:space="preserve"> of the Class I Designated Chemical Substance or the Class II Designated Chemical Substance contained in the product (hereinafter referred to as the "Contained Designated Chemical Substance") (limited to instances where the Mass of a Class I Designated Che</w:t>
      </w:r>
      <w:r>
        <w:t>mical Substance or the mass of a class II designated chemical substance (hereinafter referred to as the "Mass of a Class II Designated Chemical Substance") pertaining to the Contained Designated Chemical Substance accounts for 1 percent or more of the tota</w:t>
      </w:r>
      <w:r>
        <w:t>l mass of the product or where the Mass of a Specific Class I Designated Chemical Substance pertaining to the Contained Designated Chemical Substance accounts for 0.1 percent or more of the total mass of the product);</w:t>
      </w:r>
    </w:p>
    <w:p w:rsidR="00CF6666" w:rsidRDefault="006D126F">
      <w:pPr>
        <w:pStyle w:val="enfc"/>
      </w:pPr>
      <w:r>
        <w:t>3. the item number in Appended Table 1</w:t>
      </w:r>
      <w:r>
        <w:t xml:space="preserve"> or Appended Table 2 of the Order that corresponds to the Contained Designated Chemical Substance;</w:t>
      </w:r>
    </w:p>
    <w:p w:rsidR="00CF6666" w:rsidRDefault="006D126F">
      <w:pPr>
        <w:pStyle w:val="enfc"/>
      </w:pPr>
      <w:r>
        <w:t>4. whether the Contained Designated Chemical Substance is a Class I Designated Chemical Substance (excluding a Specific Class I Designated Chemical Substance</w:t>
      </w:r>
      <w:r>
        <w:t>), a Specific Class I Designated Chemical Substance, or a Class II Designated Chemical Substance; and</w:t>
      </w:r>
    </w:p>
    <w:p w:rsidR="00CF6666" w:rsidRDefault="006D126F">
      <w:pPr>
        <w:pStyle w:val="enfc"/>
      </w:pPr>
      <w:r>
        <w:t>5. the Mass of a Class I Designated Chemical Substance, the Mass of a Specific Class I Designated Chemical Substance, or the Mass of a Class II Designated</w:t>
      </w:r>
      <w:r>
        <w:t xml:space="preserve"> Chemical Substance of the Contained Designated Chemical Substance as a percentage of the total mass of the product;</w:t>
      </w:r>
    </w:p>
    <w:p w:rsidR="00CF6666" w:rsidRDefault="006D126F">
      <w:pPr>
        <w:pStyle w:val="enf6"/>
      </w:pPr>
      <w:r>
        <w:t>(ii) the name, address, and contact information of the Business Operator Handling a Designated Chemical Substance, etc.;</w:t>
      </w:r>
    </w:p>
    <w:p w:rsidR="00CF6666" w:rsidRDefault="006D126F">
      <w:pPr>
        <w:pStyle w:val="enf6"/>
      </w:pPr>
      <w:r>
        <w:t>(iii) Accidental r</w:t>
      </w:r>
      <w:r>
        <w:t>elease measures of the Designated Chemical Substance, etc.;</w:t>
      </w:r>
    </w:p>
    <w:p w:rsidR="00CF6666" w:rsidRDefault="006D126F">
      <w:pPr>
        <w:pStyle w:val="enf6"/>
      </w:pPr>
      <w:r>
        <w:t>(iv) Handling and storage of the Designated Chemical Substance, etc.;</w:t>
      </w:r>
    </w:p>
    <w:p w:rsidR="00CF6666" w:rsidRDefault="006D126F">
      <w:pPr>
        <w:pStyle w:val="enf6"/>
      </w:pPr>
      <w:r>
        <w:t>(v) Physical and chemical properties of the Designated Chemical Substance, etc.;</w:t>
      </w:r>
    </w:p>
    <w:p w:rsidR="00CF6666" w:rsidRDefault="006D126F">
      <w:pPr>
        <w:pStyle w:val="enf6"/>
      </w:pPr>
      <w:r>
        <w:t xml:space="preserve">(vi) Stability and reactivity of the </w:t>
      </w:r>
      <w:r>
        <w:t>Designated Chemical Substance, etc.;</w:t>
      </w:r>
    </w:p>
    <w:p w:rsidR="00CF6666" w:rsidRDefault="006D126F">
      <w:pPr>
        <w:pStyle w:val="enf6"/>
      </w:pPr>
      <w:r>
        <w:t>(vii) Toxicological information of the Designated Chemical Substance, etc.;</w:t>
      </w:r>
    </w:p>
    <w:p w:rsidR="00CF6666" w:rsidRDefault="006D126F">
      <w:pPr>
        <w:pStyle w:val="enf6"/>
      </w:pPr>
      <w:r>
        <w:t>(viii) Ecological information of the Designated Chemical Substance, etc.;</w:t>
      </w:r>
    </w:p>
    <w:p w:rsidR="00CF6666" w:rsidRDefault="006D126F">
      <w:pPr>
        <w:pStyle w:val="enf6"/>
      </w:pPr>
      <w:r>
        <w:t>(ix) Disposal considerations of the Designated Chemical Substance, et</w:t>
      </w:r>
      <w:r>
        <w:t>c.; and</w:t>
      </w:r>
    </w:p>
    <w:p w:rsidR="00CF6666" w:rsidRDefault="006D126F">
      <w:pPr>
        <w:pStyle w:val="enf6"/>
      </w:pPr>
      <w:r>
        <w:lastRenderedPageBreak/>
        <w:t>(x) Transport information of the Designated Chemical Substance, etc.</w:t>
      </w:r>
    </w:p>
    <w:p w:rsidR="00CF6666" w:rsidRDefault="00CF6666"/>
    <w:p w:rsidR="00CF6666" w:rsidRDefault="006D126F">
      <w:pPr>
        <w:pStyle w:val="ena"/>
      </w:pPr>
      <w:r>
        <w:t>(Information that May Be Provided)</w:t>
      </w:r>
    </w:p>
    <w:p w:rsidR="00CF6666" w:rsidRDefault="006D126F">
      <w:pPr>
        <w:pStyle w:val="enf3"/>
      </w:pPr>
      <w:r>
        <w:t>Article 4  In addition to what is listed in the items of the preceding Article, a Business Operator Handling a Designated Chemical Substance, e</w:t>
      </w:r>
      <w:r>
        <w:t>tc. may include the following matters in the Information on Properties and Handling:</w:t>
      </w:r>
    </w:p>
    <w:p w:rsidR="00CF6666" w:rsidRDefault="006D126F">
      <w:pPr>
        <w:pStyle w:val="enf6"/>
      </w:pPr>
      <w:r>
        <w:t>(i) a summary of the contents of the matters specified in items (vii) and (viii) of the preceding Article;</w:t>
      </w:r>
    </w:p>
    <w:p w:rsidR="00CF6666" w:rsidRDefault="006D126F">
      <w:pPr>
        <w:pStyle w:val="enf6"/>
      </w:pPr>
      <w:r>
        <w:t>(ii) First-aid measures to be given to a person who has been har</w:t>
      </w:r>
      <w:r>
        <w:t>med by the Designated Chemical Substance, etc.;</w:t>
      </w:r>
    </w:p>
    <w:p w:rsidR="00CF6666" w:rsidRDefault="006D126F">
      <w:pPr>
        <w:pStyle w:val="enf6"/>
      </w:pPr>
      <w:r>
        <w:t>(iii) Fire-fighting measures at a place of business handling the Designated Chemical Substance, etc.;</w:t>
      </w:r>
    </w:p>
    <w:p w:rsidR="00CF6666" w:rsidRDefault="006D126F">
      <w:pPr>
        <w:pStyle w:val="enf6"/>
      </w:pPr>
      <w:r>
        <w:t>(iv) Exposure controls/personal protection of the Designated Chemical Substance, etc.;</w:t>
      </w:r>
    </w:p>
    <w:p w:rsidR="00CF6666" w:rsidRDefault="006D126F">
      <w:pPr>
        <w:pStyle w:val="enf6"/>
      </w:pPr>
      <w:r>
        <w:t>(v) Regulatory info</w:t>
      </w:r>
      <w:r>
        <w:t>rmation of the Designated Chemical Substance, etc.; and</w:t>
      </w:r>
    </w:p>
    <w:p w:rsidR="00CF6666" w:rsidRDefault="006D126F">
      <w:pPr>
        <w:pStyle w:val="enf6"/>
      </w:pPr>
      <w:r>
        <w:t>(vi) Other information which the Business Operator Handling a Designated Chemical Substance, etc. finds necessary.</w:t>
      </w:r>
    </w:p>
    <w:p w:rsidR="00CF6666" w:rsidRDefault="00CF6666"/>
    <w:p w:rsidR="00CF6666" w:rsidRDefault="006D126F">
      <w:pPr>
        <w:pStyle w:val="ena"/>
      </w:pPr>
      <w:r>
        <w:t>(Method of Stating the Matters Specified in each Item of Article 3)</w:t>
      </w:r>
    </w:p>
    <w:p w:rsidR="00CF6666" w:rsidRDefault="006D126F">
      <w:pPr>
        <w:pStyle w:val="enf3"/>
      </w:pPr>
      <w:r>
        <w:t>Article 5  (1) T</w:t>
      </w:r>
      <w:r>
        <w:t>he matters listed in each item of Article 3 shall be stated (including being recorded by Electromagnetic Means (meaning electronic means, magnetic means, or any other means not recognizable to human perception); the same shall apply in the following paragr</w:t>
      </w:r>
      <w:r>
        <w:t>aph) in the Japanese language.</w:t>
      </w:r>
    </w:p>
    <w:p w:rsidR="00CF6666" w:rsidRDefault="006D126F">
      <w:pPr>
        <w:pStyle w:val="enf4"/>
      </w:pPr>
      <w:r>
        <w:t xml:space="preserve">(2) The Mass of a Class I Designated Chemical Substance, the Mass of a Specific Class I Designated Chemical Substance, or the Mass of a Class II Designated Chemical Substance of the Contained Designated Chemical Substance as </w:t>
      </w:r>
      <w:r>
        <w:t>a percentage of the total mass of the product, as specified in Article 3, item (i), (a), 5. shall be stated as a numerical figure calculated by regarding the first two digits of the percentage as significant digits.</w:t>
      </w:r>
    </w:p>
    <w:p w:rsidR="00CF6666" w:rsidRDefault="00CF6666"/>
    <w:p w:rsidR="00CF6666" w:rsidRDefault="006D126F">
      <w:pPr>
        <w:pStyle w:val="ena"/>
      </w:pPr>
      <w:r>
        <w:t>(Cases in Which Information on Properti</w:t>
      </w:r>
      <w:r>
        <w:t>es and Handling Needs to Be Provided)</w:t>
      </w:r>
    </w:p>
    <w:p w:rsidR="00CF6666" w:rsidRDefault="006D126F">
      <w:pPr>
        <w:pStyle w:val="enf3"/>
      </w:pPr>
      <w:r>
        <w:t>Article 6  (1) Information on Properties and Handling shall be provided each time a Designated Chemical Substance, etc. is transferred or provided.</w:t>
      </w:r>
    </w:p>
    <w:p w:rsidR="00CF6666" w:rsidRDefault="006D126F">
      <w:pPr>
        <w:pStyle w:val="enf4"/>
      </w:pPr>
      <w:r>
        <w:t>(2) The provisions of the preceding paragraph shall not apply where th</w:t>
      </w:r>
      <w:r>
        <w:t>e same kind of Designated Chemical Substance, etc. is transferred or provided to the same business operator continuously or repeatedly and the provision of Information on Properties and Handling concerning said Designated Chemical Substance, etc. has alrea</w:t>
      </w:r>
      <w:r>
        <w:t>dy been made; provided, however, that this shall not apply when the party to which said Designated Chemical Substance, etc. is transferred or provided requests the provision of Information on Properties and Handling concerning said Designated Chemical Subs</w:t>
      </w:r>
      <w:r>
        <w:t>tance, etc.</w:t>
      </w:r>
    </w:p>
    <w:p w:rsidR="00CF6666" w:rsidRDefault="00CF6666"/>
    <w:p w:rsidR="00CF6666" w:rsidRDefault="006D126F">
      <w:pPr>
        <w:pStyle w:val="en2"/>
      </w:pPr>
      <w:r>
        <w:t>Supplementary Provisions</w:t>
      </w:r>
    </w:p>
    <w:p w:rsidR="00CF6666" w:rsidRDefault="00CF6666"/>
    <w:p w:rsidR="00CF6666" w:rsidRDefault="006D126F">
      <w:pPr>
        <w:pStyle w:val="enf4"/>
      </w:pPr>
      <w:r>
        <w:t>(1) This Ministerial Ordinance shall come into effect as of the day of enforcement of the provisions of Article 1, item (ii) of the Supplementary Provisions of the Act (January 1, 2001).</w:t>
      </w:r>
    </w:p>
    <w:p w:rsidR="00CF6666" w:rsidRDefault="006D126F">
      <w:pPr>
        <w:pStyle w:val="enf4"/>
      </w:pPr>
      <w:r>
        <w:t xml:space="preserve">(2) The measures set forth in </w:t>
      </w:r>
      <w:r>
        <w:t>the paragraphs of Article 15 of the Act shall not apply to a Business Operator Handling a Designated Chemical Substance, etc. that transfers or provides a Designated Chemical Substance, etc. prior to the day of enforcement of the provisions of Article 1, i</w:t>
      </w:r>
      <w:r>
        <w:t>tem (iii) of the Supplementary Provisions of the Act.</w:t>
      </w:r>
    </w:p>
    <w:p w:rsidR="00CF6666" w:rsidRDefault="00CF6666"/>
    <w:p w:rsidR="00CF6666" w:rsidRDefault="006D126F">
      <w:pPr>
        <w:pStyle w:val="en2"/>
      </w:pPr>
      <w:r>
        <w:t>Supplementary Provisions  [Ordinance of the Ministry of Economy, Trade and Industry No. 27 of 2009]</w:t>
      </w:r>
    </w:p>
    <w:p w:rsidR="00CF6666" w:rsidRDefault="00CF6666"/>
    <w:p w:rsidR="00CF6666" w:rsidRDefault="006D126F">
      <w:pPr>
        <w:pStyle w:val="enf5"/>
      </w:pPr>
      <w:r>
        <w:t>This Ministerial Ordinance shall come into effect as of October 1, 2009.</w:t>
      </w:r>
    </w:p>
    <w:sectPr w:rsidR="00CF6666" w:rsidSect="00CF666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6666" w:rsidRDefault="00CF6666" w:rsidP="00CF6666">
      <w:r>
        <w:separator/>
      </w:r>
    </w:p>
  </w:endnote>
  <w:endnote w:type="continuationSeparator" w:id="0">
    <w:p w:rsidR="00CF6666" w:rsidRDefault="00CF6666" w:rsidP="00CF6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6666" w:rsidRDefault="00CF6666">
    <w:pPr>
      <w:pStyle w:val="a3"/>
    </w:pPr>
    <w:r>
      <w:fldChar w:fldCharType="begin"/>
    </w:r>
    <w:r>
      <w:instrText xml:space="preserve"> PAGE  \* MERGEFORMAT </w:instrText>
    </w:r>
    <w:r>
      <w:fldChar w:fldCharType="separate"/>
    </w:r>
    <w:r w:rsidR="006D126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6666" w:rsidRDefault="00CF6666" w:rsidP="00CF6666">
      <w:r>
        <w:separator/>
      </w:r>
    </w:p>
  </w:footnote>
  <w:footnote w:type="continuationSeparator" w:id="0">
    <w:p w:rsidR="00CF6666" w:rsidRDefault="00CF6666" w:rsidP="00CF66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5007B"/>
    <w:multiLevelType w:val="multilevel"/>
    <w:tmpl w:val="5E58ACB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812FAE"/>
    <w:multiLevelType w:val="multilevel"/>
    <w:tmpl w:val="DC64630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CD2983"/>
    <w:multiLevelType w:val="multilevel"/>
    <w:tmpl w:val="7E20FCB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D090C04"/>
    <w:multiLevelType w:val="multilevel"/>
    <w:tmpl w:val="69D0AF5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FB4CA3"/>
    <w:multiLevelType w:val="multilevel"/>
    <w:tmpl w:val="AF62BB5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C77556"/>
    <w:multiLevelType w:val="multilevel"/>
    <w:tmpl w:val="76FE768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9FF5F00"/>
    <w:multiLevelType w:val="multilevel"/>
    <w:tmpl w:val="A5AAFE2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952AAD"/>
    <w:multiLevelType w:val="multilevel"/>
    <w:tmpl w:val="CD42030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C8626B"/>
    <w:multiLevelType w:val="multilevel"/>
    <w:tmpl w:val="E1A282F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0E5D57"/>
    <w:multiLevelType w:val="multilevel"/>
    <w:tmpl w:val="5672C2C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AA3070"/>
    <w:multiLevelType w:val="multilevel"/>
    <w:tmpl w:val="E744E17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32101EE"/>
    <w:multiLevelType w:val="multilevel"/>
    <w:tmpl w:val="71BE24C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607E4D"/>
    <w:multiLevelType w:val="multilevel"/>
    <w:tmpl w:val="5FB0763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
  </w:num>
  <w:num w:numId="3">
    <w:abstractNumId w:val="5"/>
  </w:num>
  <w:num w:numId="4">
    <w:abstractNumId w:val="3"/>
  </w:num>
  <w:num w:numId="5">
    <w:abstractNumId w:val="6"/>
  </w:num>
  <w:num w:numId="6">
    <w:abstractNumId w:val="8"/>
  </w:num>
  <w:num w:numId="7">
    <w:abstractNumId w:val="12"/>
  </w:num>
  <w:num w:numId="8">
    <w:abstractNumId w:val="11"/>
  </w:num>
  <w:num w:numId="9">
    <w:abstractNumId w:val="4"/>
  </w:num>
  <w:num w:numId="10">
    <w:abstractNumId w:val="9"/>
  </w:num>
  <w:num w:numId="11">
    <w:abstractNumId w:val="0"/>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F6666"/>
    <w:rsid w:val="006D126F"/>
    <w:rsid w:val="00CF666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66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F666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F6666"/>
    <w:rPr>
      <w:rFonts w:ascii="Century" w:eastAsia="Century" w:hAnsi="Century"/>
    </w:rPr>
  </w:style>
  <w:style w:type="paragraph" w:customStyle="1" w:styleId="ja0">
    <w:name w:val="款（ja）"/>
    <w:basedOn w:val="a"/>
    <w:rsid w:val="00CF6666"/>
    <w:pPr>
      <w:widowControl w:val="0"/>
      <w:ind w:left="1321" w:hanging="221"/>
    </w:pPr>
    <w:rPr>
      <w:rFonts w:ascii="ＭＳ 明朝" w:eastAsia="ＭＳ 明朝" w:hAnsi="ＭＳ 明朝" w:cs="ＭＳ 明朝"/>
      <w:b/>
    </w:rPr>
  </w:style>
  <w:style w:type="paragraph" w:customStyle="1" w:styleId="en0">
    <w:name w:val="款（en）"/>
    <w:basedOn w:val="ja0"/>
    <w:rsid w:val="00CF6666"/>
    <w:rPr>
      <w:rFonts w:ascii="Century" w:eastAsia="Century" w:hAnsi="Century" w:cs="Century"/>
    </w:rPr>
  </w:style>
  <w:style w:type="paragraph" w:customStyle="1" w:styleId="ja1">
    <w:name w:val="前文（ja）"/>
    <w:basedOn w:val="a"/>
    <w:rsid w:val="00CF6666"/>
    <w:pPr>
      <w:widowControl w:val="0"/>
      <w:ind w:firstLine="219"/>
    </w:pPr>
    <w:rPr>
      <w:rFonts w:ascii="ＭＳ 明朝" w:eastAsia="ＭＳ 明朝" w:hAnsi="ＭＳ 明朝" w:cs="ＭＳ 明朝"/>
    </w:rPr>
  </w:style>
  <w:style w:type="paragraph" w:customStyle="1" w:styleId="en1">
    <w:name w:val="前文（en）"/>
    <w:basedOn w:val="ja1"/>
    <w:rsid w:val="00CF6666"/>
    <w:rPr>
      <w:rFonts w:ascii="Century" w:eastAsia="Century" w:hAnsi="Century" w:cs="Century"/>
    </w:rPr>
  </w:style>
  <w:style w:type="paragraph" w:customStyle="1" w:styleId="ja2">
    <w:name w:val="附則（ja）"/>
    <w:basedOn w:val="a"/>
    <w:rsid w:val="00CF6666"/>
    <w:pPr>
      <w:widowControl w:val="0"/>
      <w:ind w:left="881" w:hanging="221"/>
    </w:pPr>
    <w:rPr>
      <w:rFonts w:ascii="ＭＳ 明朝" w:eastAsia="ＭＳ 明朝" w:hAnsi="ＭＳ 明朝" w:cs="ＭＳ 明朝"/>
      <w:b/>
    </w:rPr>
  </w:style>
  <w:style w:type="paragraph" w:customStyle="1" w:styleId="en2">
    <w:name w:val="附則（en）"/>
    <w:basedOn w:val="ja2"/>
    <w:rsid w:val="00CF6666"/>
    <w:rPr>
      <w:rFonts w:ascii="Century" w:hAnsi="Century" w:cs="Century"/>
    </w:rPr>
  </w:style>
  <w:style w:type="paragraph" w:customStyle="1" w:styleId="ja3">
    <w:name w:val="章（ja）"/>
    <w:basedOn w:val="a"/>
    <w:rsid w:val="00CF6666"/>
    <w:pPr>
      <w:widowControl w:val="0"/>
      <w:ind w:left="881" w:hanging="221"/>
    </w:pPr>
    <w:rPr>
      <w:rFonts w:ascii="ＭＳ 明朝" w:eastAsia="ＭＳ 明朝" w:hAnsi="ＭＳ 明朝" w:cs="ＭＳ 明朝"/>
      <w:b/>
    </w:rPr>
  </w:style>
  <w:style w:type="paragraph" w:customStyle="1" w:styleId="en3">
    <w:name w:val="章（en）"/>
    <w:basedOn w:val="ja3"/>
    <w:rsid w:val="00CF6666"/>
    <w:rPr>
      <w:rFonts w:ascii="Century" w:eastAsia="Century" w:hAnsi="Century" w:cs="Century"/>
    </w:rPr>
  </w:style>
  <w:style w:type="paragraph" w:customStyle="1" w:styleId="ja4">
    <w:name w:val="目次編（ja）"/>
    <w:basedOn w:val="a"/>
    <w:rsid w:val="00CF6666"/>
    <w:pPr>
      <w:widowControl w:val="0"/>
      <w:ind w:left="219" w:hanging="219"/>
    </w:pPr>
    <w:rPr>
      <w:rFonts w:ascii="ＭＳ 明朝" w:eastAsia="ＭＳ 明朝" w:hAnsi="ＭＳ 明朝"/>
    </w:rPr>
  </w:style>
  <w:style w:type="paragraph" w:customStyle="1" w:styleId="en4">
    <w:name w:val="目次編（en）"/>
    <w:basedOn w:val="ja4"/>
    <w:rsid w:val="00CF6666"/>
    <w:rPr>
      <w:rFonts w:ascii="Century" w:eastAsia="Century" w:hAnsi="Century"/>
    </w:rPr>
  </w:style>
  <w:style w:type="paragraph" w:customStyle="1" w:styleId="ja5">
    <w:name w:val="目次章（ja）"/>
    <w:basedOn w:val="a"/>
    <w:rsid w:val="00CF6666"/>
    <w:pPr>
      <w:widowControl w:val="0"/>
      <w:ind w:left="439" w:hanging="219"/>
    </w:pPr>
    <w:rPr>
      <w:rFonts w:ascii="ＭＳ 明朝" w:eastAsia="ＭＳ 明朝" w:hAnsi="ＭＳ 明朝"/>
    </w:rPr>
  </w:style>
  <w:style w:type="paragraph" w:customStyle="1" w:styleId="en5">
    <w:name w:val="目次章（en）"/>
    <w:basedOn w:val="ja5"/>
    <w:rsid w:val="00CF6666"/>
    <w:rPr>
      <w:rFonts w:ascii="Century" w:eastAsia="Century" w:hAnsi="Century"/>
    </w:rPr>
  </w:style>
  <w:style w:type="paragraph" w:customStyle="1" w:styleId="ja6">
    <w:name w:val="目次節（ja）"/>
    <w:basedOn w:val="a"/>
    <w:rsid w:val="00CF6666"/>
    <w:pPr>
      <w:widowControl w:val="0"/>
      <w:ind w:left="659" w:hanging="219"/>
    </w:pPr>
    <w:rPr>
      <w:rFonts w:ascii="ＭＳ 明朝" w:eastAsia="ＭＳ 明朝" w:hAnsi="ＭＳ 明朝"/>
    </w:rPr>
  </w:style>
  <w:style w:type="paragraph" w:customStyle="1" w:styleId="en6">
    <w:name w:val="目次節（en）"/>
    <w:basedOn w:val="ja6"/>
    <w:rsid w:val="00CF6666"/>
    <w:rPr>
      <w:rFonts w:ascii="Century" w:eastAsia="Century" w:hAnsi="Century"/>
    </w:rPr>
  </w:style>
  <w:style w:type="paragraph" w:customStyle="1" w:styleId="ja7">
    <w:name w:val="目次款（ja）"/>
    <w:basedOn w:val="a"/>
    <w:rsid w:val="00CF6666"/>
    <w:pPr>
      <w:widowControl w:val="0"/>
      <w:ind w:left="879" w:hanging="219"/>
    </w:pPr>
    <w:rPr>
      <w:rFonts w:ascii="ＭＳ 明朝" w:eastAsia="ＭＳ 明朝" w:hAnsi="ＭＳ 明朝" w:cs="Kochi Mincho"/>
    </w:rPr>
  </w:style>
  <w:style w:type="paragraph" w:customStyle="1" w:styleId="en7">
    <w:name w:val="目次款（en）"/>
    <w:basedOn w:val="ja7"/>
    <w:rsid w:val="00CF6666"/>
    <w:rPr>
      <w:rFonts w:ascii="Century" w:eastAsia="Century" w:hAnsi="Century"/>
    </w:rPr>
  </w:style>
  <w:style w:type="paragraph" w:customStyle="1" w:styleId="ja8">
    <w:name w:val="別表名（ja）"/>
    <w:basedOn w:val="a"/>
    <w:rsid w:val="00CF6666"/>
    <w:pPr>
      <w:widowControl w:val="0"/>
      <w:ind w:left="100" w:hangingChars="100" w:hanging="100"/>
    </w:pPr>
    <w:rPr>
      <w:rFonts w:ascii="ＭＳ 明朝" w:eastAsia="ＭＳ 明朝" w:hAnsi="ＭＳ 明朝" w:cs="ＭＳ 明朝"/>
    </w:rPr>
  </w:style>
  <w:style w:type="paragraph" w:customStyle="1" w:styleId="en8">
    <w:name w:val="別表名（en）"/>
    <w:basedOn w:val="ja8"/>
    <w:rsid w:val="00CF6666"/>
    <w:rPr>
      <w:rFonts w:ascii="Century" w:eastAsia="Century" w:hAnsi="Century" w:cs="Century"/>
    </w:rPr>
  </w:style>
  <w:style w:type="paragraph" w:customStyle="1" w:styleId="ja9">
    <w:name w:val="目（ja）"/>
    <w:basedOn w:val="a"/>
    <w:rsid w:val="00CF6666"/>
    <w:pPr>
      <w:widowControl w:val="0"/>
      <w:ind w:left="1541" w:hanging="221"/>
    </w:pPr>
    <w:rPr>
      <w:rFonts w:ascii="ＭＳ 明朝" w:eastAsia="ＭＳ 明朝" w:hAnsi="ＭＳ 明朝" w:cs="ＭＳ 明朝"/>
      <w:b/>
    </w:rPr>
  </w:style>
  <w:style w:type="paragraph" w:customStyle="1" w:styleId="en9">
    <w:name w:val="目（en）"/>
    <w:basedOn w:val="ja9"/>
    <w:rsid w:val="00CF6666"/>
    <w:rPr>
      <w:rFonts w:ascii="Century" w:eastAsia="Century" w:hAnsi="Century" w:cs="Century"/>
    </w:rPr>
  </w:style>
  <w:style w:type="paragraph" w:customStyle="1" w:styleId="jaa">
    <w:name w:val="見出し（ja）"/>
    <w:basedOn w:val="a"/>
    <w:rsid w:val="00CF6666"/>
    <w:pPr>
      <w:widowControl w:val="0"/>
      <w:ind w:left="439" w:hanging="219"/>
    </w:pPr>
    <w:rPr>
      <w:rFonts w:ascii="ＭＳ 明朝" w:eastAsia="ＭＳ 明朝" w:hAnsi="ＭＳ 明朝" w:cs="ＭＳ 明朝"/>
    </w:rPr>
  </w:style>
  <w:style w:type="paragraph" w:customStyle="1" w:styleId="ena">
    <w:name w:val="見出し（en）"/>
    <w:basedOn w:val="jaa"/>
    <w:rsid w:val="00CF6666"/>
    <w:rPr>
      <w:rFonts w:ascii="Century" w:eastAsia="Century" w:hAnsi="Century" w:cs="Century"/>
    </w:rPr>
  </w:style>
  <w:style w:type="paragraph" w:styleId="a3">
    <w:name w:val="footer"/>
    <w:basedOn w:val="a"/>
    <w:rsid w:val="00CF666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F6666"/>
    <w:pPr>
      <w:widowControl w:val="0"/>
      <w:ind w:left="1099" w:hanging="219"/>
    </w:pPr>
    <w:rPr>
      <w:rFonts w:ascii="ＭＳ 明朝" w:eastAsia="ＭＳ 明朝" w:hAnsi="ＭＳ 明朝" w:cs="Kochi Mincho"/>
    </w:rPr>
  </w:style>
  <w:style w:type="paragraph" w:customStyle="1" w:styleId="enb">
    <w:name w:val="目次目（en）"/>
    <w:basedOn w:val="jab"/>
    <w:rsid w:val="00CF6666"/>
    <w:rPr>
      <w:rFonts w:ascii="Century" w:eastAsia="Century" w:hAnsi="Century"/>
    </w:rPr>
  </w:style>
  <w:style w:type="paragraph" w:customStyle="1" w:styleId="jac">
    <w:name w:val="目次附則（ja）"/>
    <w:basedOn w:val="a"/>
    <w:rsid w:val="00CF6666"/>
    <w:pPr>
      <w:widowControl w:val="0"/>
      <w:ind w:left="439" w:hanging="219"/>
    </w:pPr>
    <w:rPr>
      <w:rFonts w:ascii="ＭＳ 明朝" w:eastAsia="ＭＳ 明朝" w:hAnsi="ＭＳ 明朝" w:cs="Kochi Mincho"/>
    </w:rPr>
  </w:style>
  <w:style w:type="paragraph" w:customStyle="1" w:styleId="enc">
    <w:name w:val="目次附則（en）"/>
    <w:basedOn w:val="jac"/>
    <w:rsid w:val="00CF6666"/>
    <w:rPr>
      <w:rFonts w:ascii="Century" w:eastAsia="Century" w:hAnsi="Century" w:cs="Century"/>
    </w:rPr>
  </w:style>
  <w:style w:type="paragraph" w:customStyle="1" w:styleId="jad">
    <w:name w:val="目次前文（ja）"/>
    <w:basedOn w:val="jac"/>
    <w:rsid w:val="00CF6666"/>
  </w:style>
  <w:style w:type="paragraph" w:customStyle="1" w:styleId="end">
    <w:name w:val="目次前文（en）"/>
    <w:basedOn w:val="enc"/>
    <w:rsid w:val="00CF6666"/>
  </w:style>
  <w:style w:type="paragraph" w:customStyle="1" w:styleId="jae">
    <w:name w:val="制定文（ja）"/>
    <w:basedOn w:val="a"/>
    <w:rsid w:val="00CF6666"/>
    <w:pPr>
      <w:widowControl w:val="0"/>
      <w:ind w:firstLine="219"/>
    </w:pPr>
    <w:rPr>
      <w:rFonts w:ascii="ＭＳ 明朝" w:eastAsia="ＭＳ 明朝" w:hAnsi="ＭＳ 明朝" w:cs="ＭＳ 明朝"/>
    </w:rPr>
  </w:style>
  <w:style w:type="paragraph" w:customStyle="1" w:styleId="ene">
    <w:name w:val="制定文（en）"/>
    <w:basedOn w:val="jae"/>
    <w:rsid w:val="00CF6666"/>
    <w:rPr>
      <w:rFonts w:ascii="Century" w:eastAsia="Century" w:hAnsi="Century" w:cs="Century"/>
    </w:rPr>
  </w:style>
  <w:style w:type="paragraph" w:customStyle="1" w:styleId="jaf">
    <w:name w:val="法令番号（ja）"/>
    <w:basedOn w:val="a"/>
    <w:rsid w:val="00CF6666"/>
    <w:pPr>
      <w:widowControl w:val="0"/>
      <w:jc w:val="right"/>
    </w:pPr>
    <w:rPr>
      <w:rFonts w:ascii="ＭＳ 明朝" w:eastAsia="ＭＳ 明朝" w:hAnsi="ＭＳ 明朝" w:cs="Kochi Mincho"/>
    </w:rPr>
  </w:style>
  <w:style w:type="paragraph" w:customStyle="1" w:styleId="enf">
    <w:name w:val="法令番号（en）"/>
    <w:basedOn w:val="jaf"/>
    <w:rsid w:val="00CF6666"/>
    <w:rPr>
      <w:rFonts w:ascii="Century" w:eastAsia="Century" w:hAnsi="Century" w:cs="Century"/>
    </w:rPr>
  </w:style>
  <w:style w:type="paragraph" w:customStyle="1" w:styleId="jaf0">
    <w:name w:val="目次（ja）"/>
    <w:basedOn w:val="a"/>
    <w:rsid w:val="00CF6666"/>
    <w:rPr>
      <w:rFonts w:ascii="ＭＳ 明朝" w:eastAsia="ＭＳ 明朝" w:hAnsi="ＭＳ 明朝"/>
    </w:rPr>
  </w:style>
  <w:style w:type="paragraph" w:customStyle="1" w:styleId="enf0">
    <w:name w:val="目次（en）"/>
    <w:basedOn w:val="jaf0"/>
    <w:rsid w:val="00CF6666"/>
    <w:rPr>
      <w:rFonts w:ascii="Century" w:eastAsia="Century" w:hAnsi="Century"/>
    </w:rPr>
  </w:style>
  <w:style w:type="paragraph" w:customStyle="1" w:styleId="jaf1">
    <w:name w:val="編（ja）"/>
    <w:basedOn w:val="a"/>
    <w:rsid w:val="00CF6666"/>
    <w:pPr>
      <w:widowControl w:val="0"/>
      <w:ind w:left="661" w:hanging="221"/>
    </w:pPr>
    <w:rPr>
      <w:rFonts w:ascii="ＭＳ 明朝" w:eastAsia="ＭＳ 明朝" w:hAnsi="ＭＳ 明朝" w:cs="ＭＳ 明朝"/>
      <w:b/>
    </w:rPr>
  </w:style>
  <w:style w:type="paragraph" w:customStyle="1" w:styleId="enf1">
    <w:name w:val="編（en）"/>
    <w:basedOn w:val="jaf1"/>
    <w:rsid w:val="00CF6666"/>
    <w:rPr>
      <w:rFonts w:ascii="Century" w:eastAsia="Century" w:hAnsi="Century" w:cs="Century"/>
    </w:rPr>
  </w:style>
  <w:style w:type="paragraph" w:customStyle="1" w:styleId="jaf2">
    <w:name w:val="節（ja）"/>
    <w:basedOn w:val="a"/>
    <w:rsid w:val="00CF6666"/>
    <w:pPr>
      <w:widowControl w:val="0"/>
      <w:ind w:left="1101" w:hanging="221"/>
    </w:pPr>
    <w:rPr>
      <w:rFonts w:ascii="ＭＳ 明朝" w:eastAsia="ＭＳ 明朝" w:hAnsi="ＭＳ 明朝" w:cs="ＭＳ 明朝"/>
      <w:b/>
    </w:rPr>
  </w:style>
  <w:style w:type="paragraph" w:customStyle="1" w:styleId="enf2">
    <w:name w:val="節（en）"/>
    <w:basedOn w:val="jaf2"/>
    <w:rsid w:val="00CF6666"/>
    <w:rPr>
      <w:rFonts w:ascii="Century" w:eastAsia="Century" w:hAnsi="Century" w:cs="Century"/>
    </w:rPr>
  </w:style>
  <w:style w:type="paragraph" w:customStyle="1" w:styleId="jaf3">
    <w:name w:val="条（ja）"/>
    <w:basedOn w:val="a"/>
    <w:rsid w:val="00CF6666"/>
    <w:pPr>
      <w:widowControl w:val="0"/>
      <w:ind w:left="219" w:hanging="219"/>
    </w:pPr>
    <w:rPr>
      <w:rFonts w:ascii="ＭＳ 明朝" w:eastAsia="ＭＳ 明朝" w:hAnsi="ＭＳ 明朝" w:cs="ＭＳ 明朝"/>
    </w:rPr>
  </w:style>
  <w:style w:type="paragraph" w:customStyle="1" w:styleId="enf3">
    <w:name w:val="条（en）"/>
    <w:basedOn w:val="jaf3"/>
    <w:rsid w:val="00CF6666"/>
    <w:rPr>
      <w:rFonts w:ascii="Century" w:eastAsia="Century" w:hAnsi="Century" w:cs="Century"/>
    </w:rPr>
  </w:style>
  <w:style w:type="paragraph" w:customStyle="1" w:styleId="jaf4">
    <w:name w:val="項（ja）"/>
    <w:basedOn w:val="a"/>
    <w:rsid w:val="00CF6666"/>
    <w:pPr>
      <w:widowControl w:val="0"/>
      <w:ind w:left="219" w:hanging="219"/>
    </w:pPr>
    <w:rPr>
      <w:rFonts w:ascii="ＭＳ 明朝" w:eastAsia="ＭＳ 明朝" w:hAnsi="ＭＳ 明朝" w:cs="ＭＳ 明朝"/>
    </w:rPr>
  </w:style>
  <w:style w:type="paragraph" w:customStyle="1" w:styleId="enf4">
    <w:name w:val="項（en）"/>
    <w:basedOn w:val="jaf4"/>
    <w:rsid w:val="00CF6666"/>
    <w:rPr>
      <w:rFonts w:ascii="Century" w:eastAsia="Century" w:hAnsi="Century" w:cs="Century"/>
    </w:rPr>
  </w:style>
  <w:style w:type="paragraph" w:customStyle="1" w:styleId="jaf5">
    <w:name w:val="項　番号なし（ja）"/>
    <w:basedOn w:val="a"/>
    <w:rsid w:val="00CF6666"/>
    <w:pPr>
      <w:widowControl w:val="0"/>
      <w:ind w:firstLine="221"/>
    </w:pPr>
    <w:rPr>
      <w:rFonts w:ascii="ＭＳ 明朝" w:eastAsia="ＭＳ 明朝" w:hAnsi="ＭＳ 明朝" w:cs="ＭＳ 明朝"/>
    </w:rPr>
  </w:style>
  <w:style w:type="paragraph" w:customStyle="1" w:styleId="enf5">
    <w:name w:val="項　番号なし（en）"/>
    <w:basedOn w:val="jaf5"/>
    <w:rsid w:val="00CF6666"/>
    <w:rPr>
      <w:rFonts w:ascii="Century" w:eastAsia="Century" w:hAnsi="Century" w:cs="Century"/>
    </w:rPr>
  </w:style>
  <w:style w:type="paragraph" w:customStyle="1" w:styleId="jaf6">
    <w:name w:val="号（ja）"/>
    <w:basedOn w:val="a"/>
    <w:rsid w:val="00CF6666"/>
    <w:pPr>
      <w:widowControl w:val="0"/>
      <w:ind w:left="439" w:hanging="219"/>
    </w:pPr>
    <w:rPr>
      <w:rFonts w:ascii="ＭＳ 明朝" w:eastAsia="ＭＳ 明朝" w:hAnsi="ＭＳ 明朝" w:cs="ＭＳ 明朝"/>
    </w:rPr>
  </w:style>
  <w:style w:type="paragraph" w:customStyle="1" w:styleId="enf6">
    <w:name w:val="号（en）"/>
    <w:basedOn w:val="jaf6"/>
    <w:rsid w:val="00CF6666"/>
    <w:rPr>
      <w:rFonts w:ascii="Century" w:eastAsia="Century" w:hAnsi="Century" w:cs="Century"/>
    </w:rPr>
  </w:style>
  <w:style w:type="paragraph" w:customStyle="1" w:styleId="jaf7">
    <w:name w:val="号　番号なし（ja）"/>
    <w:basedOn w:val="a"/>
    <w:rsid w:val="00CF6666"/>
    <w:pPr>
      <w:widowControl w:val="0"/>
      <w:ind w:left="221" w:firstLine="221"/>
    </w:pPr>
    <w:rPr>
      <w:rFonts w:ascii="ＭＳ 明朝" w:eastAsia="ＭＳ 明朝" w:hAnsi="ＭＳ 明朝" w:cs="ＭＳ 明朝"/>
    </w:rPr>
  </w:style>
  <w:style w:type="paragraph" w:customStyle="1" w:styleId="enf7">
    <w:name w:val="号　番号なし（en）"/>
    <w:basedOn w:val="jaf7"/>
    <w:rsid w:val="00CF6666"/>
    <w:rPr>
      <w:rFonts w:ascii="Century" w:eastAsia="Century" w:hAnsi="Century" w:cs="Century"/>
    </w:rPr>
  </w:style>
  <w:style w:type="paragraph" w:customStyle="1" w:styleId="jaf8">
    <w:name w:val="備考号（ja）"/>
    <w:basedOn w:val="a"/>
    <w:rsid w:val="00CF6666"/>
    <w:pPr>
      <w:widowControl w:val="0"/>
      <w:ind w:left="659" w:hanging="219"/>
    </w:pPr>
    <w:rPr>
      <w:rFonts w:ascii="ＭＳ 明朝" w:eastAsia="ＭＳ 明朝" w:hAnsi="ＭＳ 明朝" w:cs="ＭＳ 明朝"/>
    </w:rPr>
  </w:style>
  <w:style w:type="paragraph" w:customStyle="1" w:styleId="enf8">
    <w:name w:val="備考号（en）"/>
    <w:basedOn w:val="jaf8"/>
    <w:rsid w:val="00CF6666"/>
    <w:rPr>
      <w:rFonts w:ascii="Century" w:eastAsia="Century" w:hAnsi="Century" w:cs="Century"/>
    </w:rPr>
  </w:style>
  <w:style w:type="paragraph" w:customStyle="1" w:styleId="jaf9">
    <w:name w:val="号細分（ja）"/>
    <w:basedOn w:val="a"/>
    <w:rsid w:val="00CF6666"/>
    <w:pPr>
      <w:widowControl w:val="0"/>
      <w:ind w:left="659" w:hanging="219"/>
    </w:pPr>
    <w:rPr>
      <w:rFonts w:ascii="ＭＳ 明朝" w:eastAsia="ＭＳ 明朝" w:hAnsi="ＭＳ 明朝" w:cs="ＭＳ 明朝"/>
    </w:rPr>
  </w:style>
  <w:style w:type="paragraph" w:customStyle="1" w:styleId="enf9">
    <w:name w:val="号細分（en）"/>
    <w:basedOn w:val="jaf9"/>
    <w:rsid w:val="00CF6666"/>
    <w:rPr>
      <w:rFonts w:ascii="Century" w:eastAsia="Century" w:hAnsi="Century" w:cs="Century"/>
    </w:rPr>
  </w:style>
  <w:style w:type="paragraph" w:customStyle="1" w:styleId="jafa">
    <w:name w:val="号細分　番号なし（ja）"/>
    <w:basedOn w:val="a"/>
    <w:rsid w:val="00CF6666"/>
    <w:pPr>
      <w:widowControl w:val="0"/>
      <w:ind w:left="439"/>
    </w:pPr>
    <w:rPr>
      <w:rFonts w:ascii="ＭＳ 明朝" w:eastAsia="ＭＳ 明朝" w:hAnsi="ＭＳ 明朝" w:cs="ＭＳ 明朝"/>
    </w:rPr>
  </w:style>
  <w:style w:type="paragraph" w:customStyle="1" w:styleId="enfa">
    <w:name w:val="号細分　番号なし（en）"/>
    <w:basedOn w:val="jafa"/>
    <w:rsid w:val="00CF6666"/>
    <w:rPr>
      <w:rFonts w:ascii="Century" w:eastAsia="Century" w:hAnsi="Century" w:cs="Century"/>
    </w:rPr>
  </w:style>
  <w:style w:type="paragraph" w:customStyle="1" w:styleId="jafb">
    <w:name w:val="備考号細分（ja）"/>
    <w:basedOn w:val="a"/>
    <w:rsid w:val="00CF6666"/>
    <w:pPr>
      <w:widowControl w:val="0"/>
      <w:ind w:left="1099" w:hanging="439"/>
    </w:pPr>
    <w:rPr>
      <w:rFonts w:ascii="ＭＳ 明朝" w:eastAsia="ＭＳ 明朝" w:hAnsi="ＭＳ 明朝" w:cs="ＭＳ 明朝"/>
    </w:rPr>
  </w:style>
  <w:style w:type="paragraph" w:customStyle="1" w:styleId="enfb">
    <w:name w:val="備考号細分（en）"/>
    <w:basedOn w:val="jafb"/>
    <w:rsid w:val="00CF6666"/>
    <w:rPr>
      <w:rFonts w:ascii="Century" w:eastAsia="Century" w:hAnsi="Century" w:cs="Century"/>
    </w:rPr>
  </w:style>
  <w:style w:type="paragraph" w:customStyle="1" w:styleId="jafc">
    <w:name w:val="号細細分（ja）"/>
    <w:basedOn w:val="a"/>
    <w:rsid w:val="00CF6666"/>
    <w:pPr>
      <w:widowControl w:val="0"/>
      <w:ind w:left="1099" w:hanging="439"/>
    </w:pPr>
    <w:rPr>
      <w:rFonts w:ascii="ＭＳ 明朝" w:eastAsia="ＭＳ 明朝" w:hAnsi="ＭＳ 明朝" w:cs="ＭＳ 明朝"/>
    </w:rPr>
  </w:style>
  <w:style w:type="paragraph" w:customStyle="1" w:styleId="enfc">
    <w:name w:val="号細細分（en）"/>
    <w:basedOn w:val="jafc"/>
    <w:rsid w:val="00CF6666"/>
    <w:rPr>
      <w:rFonts w:ascii="Century" w:eastAsia="Century" w:hAnsi="Century" w:cs="Century"/>
    </w:rPr>
  </w:style>
  <w:style w:type="paragraph" w:customStyle="1" w:styleId="jafd">
    <w:name w:val="号細細分　番号なし（ja）"/>
    <w:basedOn w:val="a"/>
    <w:rsid w:val="00CF6666"/>
    <w:pPr>
      <w:widowControl w:val="0"/>
      <w:ind w:left="659"/>
    </w:pPr>
    <w:rPr>
      <w:rFonts w:ascii="ＭＳ 明朝" w:eastAsia="ＭＳ 明朝" w:hAnsi="ＭＳ 明朝" w:cs="ＭＳ 明朝"/>
    </w:rPr>
  </w:style>
  <w:style w:type="paragraph" w:customStyle="1" w:styleId="enfd">
    <w:name w:val="号細細分　番号なし（en）"/>
    <w:basedOn w:val="jafd"/>
    <w:rsid w:val="00CF6666"/>
    <w:rPr>
      <w:rFonts w:ascii="Century" w:eastAsia="Century" w:hAnsi="Century" w:cs="Century"/>
    </w:rPr>
  </w:style>
  <w:style w:type="paragraph" w:customStyle="1" w:styleId="jafe">
    <w:name w:val="備考号細細分（ja）"/>
    <w:basedOn w:val="a"/>
    <w:rsid w:val="00CF6666"/>
    <w:pPr>
      <w:widowControl w:val="0"/>
      <w:ind w:left="1319" w:hanging="439"/>
    </w:pPr>
    <w:rPr>
      <w:rFonts w:ascii="ＭＳ 明朝" w:eastAsia="ＭＳ 明朝" w:hAnsi="ＭＳ 明朝" w:cs="ＭＳ 明朝"/>
    </w:rPr>
  </w:style>
  <w:style w:type="paragraph" w:customStyle="1" w:styleId="enfe">
    <w:name w:val="備考号細細分（en）"/>
    <w:basedOn w:val="jafe"/>
    <w:rsid w:val="00CF6666"/>
    <w:rPr>
      <w:rFonts w:ascii="Century" w:eastAsia="Century" w:hAnsi="Century" w:cs="Century"/>
    </w:rPr>
  </w:style>
  <w:style w:type="paragraph" w:customStyle="1" w:styleId="jaff">
    <w:name w:val="号細細細分（ja）"/>
    <w:basedOn w:val="a"/>
    <w:rsid w:val="00CF6666"/>
    <w:pPr>
      <w:widowControl w:val="0"/>
      <w:ind w:left="1319" w:hanging="439"/>
    </w:pPr>
    <w:rPr>
      <w:rFonts w:ascii="ＭＳ 明朝" w:eastAsia="ＭＳ 明朝" w:hAnsi="ＭＳ 明朝" w:cs="ＭＳ 明朝"/>
    </w:rPr>
  </w:style>
  <w:style w:type="paragraph" w:customStyle="1" w:styleId="enff">
    <w:name w:val="号細細細分（en）"/>
    <w:basedOn w:val="jaff"/>
    <w:rsid w:val="00CF6666"/>
    <w:rPr>
      <w:rFonts w:ascii="Century" w:eastAsia="Century" w:hAnsi="Century" w:cs="Century"/>
    </w:rPr>
  </w:style>
  <w:style w:type="paragraph" w:customStyle="1" w:styleId="jaff0">
    <w:name w:val="号細細細分　番号なし（ja）"/>
    <w:basedOn w:val="a"/>
    <w:rsid w:val="00CF6666"/>
    <w:pPr>
      <w:widowControl w:val="0"/>
      <w:ind w:left="879"/>
    </w:pPr>
    <w:rPr>
      <w:rFonts w:ascii="ＭＳ 明朝" w:eastAsia="ＭＳ 明朝" w:hAnsi="ＭＳ 明朝" w:cs="ＭＳ 明朝"/>
    </w:rPr>
  </w:style>
  <w:style w:type="paragraph" w:customStyle="1" w:styleId="enff0">
    <w:name w:val="号細細細分　番号なし（en）"/>
    <w:basedOn w:val="jaff0"/>
    <w:rsid w:val="00CF6666"/>
    <w:rPr>
      <w:rFonts w:ascii="Century" w:eastAsia="Century" w:hAnsi="Century" w:cs="Century"/>
    </w:rPr>
  </w:style>
  <w:style w:type="paragraph" w:customStyle="1" w:styleId="jaff1">
    <w:name w:val="備考号細細細分（ja）"/>
    <w:basedOn w:val="a"/>
    <w:rsid w:val="00CF6666"/>
    <w:pPr>
      <w:widowControl w:val="0"/>
      <w:ind w:left="1539" w:hanging="439"/>
    </w:pPr>
    <w:rPr>
      <w:rFonts w:ascii="ＭＳ 明朝" w:eastAsia="ＭＳ 明朝" w:hAnsi="ＭＳ 明朝" w:cs="ＭＳ 明朝"/>
    </w:rPr>
  </w:style>
  <w:style w:type="paragraph" w:customStyle="1" w:styleId="enff1">
    <w:name w:val="備考号細細細分（en）"/>
    <w:basedOn w:val="jaff1"/>
    <w:rsid w:val="00CF6666"/>
    <w:rPr>
      <w:rFonts w:ascii="Century" w:eastAsia="Century" w:hAnsi="Century" w:cs="Century"/>
    </w:rPr>
  </w:style>
  <w:style w:type="paragraph" w:customStyle="1" w:styleId="jaff2">
    <w:name w:val="類（ja）"/>
    <w:basedOn w:val="a"/>
    <w:rsid w:val="00CF6666"/>
    <w:pPr>
      <w:widowControl w:val="0"/>
      <w:ind w:left="439" w:hanging="219"/>
    </w:pPr>
    <w:rPr>
      <w:rFonts w:ascii="ＭＳ 明朝" w:eastAsia="ＭＳ 明朝" w:hAnsi="ＭＳ 明朝" w:cs="ＭＳ 明朝"/>
    </w:rPr>
  </w:style>
  <w:style w:type="paragraph" w:customStyle="1" w:styleId="enff2">
    <w:name w:val="類（en）"/>
    <w:basedOn w:val="jaff2"/>
    <w:rsid w:val="00CF6666"/>
    <w:rPr>
      <w:rFonts w:ascii="Century" w:eastAsia="Century" w:hAnsi="Century" w:cs="Century"/>
    </w:rPr>
  </w:style>
  <w:style w:type="paragraph" w:customStyle="1" w:styleId="jaff3">
    <w:name w:val="公布文（ja）"/>
    <w:basedOn w:val="a"/>
    <w:rsid w:val="00CF6666"/>
    <w:pPr>
      <w:widowControl w:val="0"/>
      <w:ind w:firstLine="219"/>
    </w:pPr>
    <w:rPr>
      <w:rFonts w:ascii="ＭＳ 明朝" w:eastAsia="ＭＳ 明朝" w:hAnsi="ＭＳ 明朝" w:cs="ＭＳ 明朝"/>
    </w:rPr>
  </w:style>
  <w:style w:type="paragraph" w:customStyle="1" w:styleId="enff3">
    <w:name w:val="公布文（en）"/>
    <w:basedOn w:val="jaff3"/>
    <w:rsid w:val="00CF6666"/>
    <w:rPr>
      <w:rFonts w:ascii="Century" w:eastAsia="Century" w:hAnsi="Century" w:cs="Century"/>
    </w:rPr>
  </w:style>
  <w:style w:type="paragraph" w:customStyle="1" w:styleId="jaen">
    <w:name w:val="表（ja：en）"/>
    <w:basedOn w:val="a"/>
    <w:rsid w:val="00CF6666"/>
    <w:pPr>
      <w:widowControl w:val="0"/>
      <w:snapToGrid w:val="0"/>
    </w:pPr>
    <w:rPr>
      <w:rFonts w:ascii="Century" w:eastAsia="ＭＳ 明朝" w:hAnsi="Century"/>
    </w:rPr>
  </w:style>
  <w:style w:type="paragraph" w:customStyle="1" w:styleId="jaff4">
    <w:name w:val="備考（ja）"/>
    <w:basedOn w:val="a"/>
    <w:rsid w:val="00CF6666"/>
    <w:pPr>
      <w:widowControl w:val="0"/>
      <w:ind w:left="439" w:hanging="219"/>
    </w:pPr>
    <w:rPr>
      <w:rFonts w:ascii="ＭＳ 明朝" w:eastAsia="ＭＳ 明朝" w:hAnsi="ＭＳ 明朝" w:cs="ＭＳ 明朝"/>
    </w:rPr>
  </w:style>
  <w:style w:type="paragraph" w:customStyle="1" w:styleId="enff4">
    <w:name w:val="備考（en）"/>
    <w:basedOn w:val="jaff4"/>
    <w:rsid w:val="00CF6666"/>
    <w:rPr>
      <w:rFonts w:ascii="Century" w:eastAsia="Century" w:hAnsi="Century" w:cs="Century"/>
    </w:rPr>
  </w:style>
  <w:style w:type="paragraph" w:customStyle="1" w:styleId="jaff5">
    <w:name w:val="表タイトル（ja）"/>
    <w:basedOn w:val="a"/>
    <w:rsid w:val="00CF6666"/>
    <w:pPr>
      <w:widowControl w:val="0"/>
      <w:ind w:left="219"/>
    </w:pPr>
    <w:rPr>
      <w:rFonts w:ascii="ＭＳ 明朝" w:eastAsia="ＭＳ 明朝" w:hAnsi="ＭＳ 明朝" w:cs="ＭＳ 明朝"/>
    </w:rPr>
  </w:style>
  <w:style w:type="paragraph" w:customStyle="1" w:styleId="enff5">
    <w:name w:val="表タイトル（en）"/>
    <w:basedOn w:val="jaff5"/>
    <w:rsid w:val="00CF6666"/>
    <w:rPr>
      <w:rFonts w:ascii="Century" w:eastAsia="Century" w:hAnsi="Century" w:cs="Century"/>
    </w:rPr>
  </w:style>
  <w:style w:type="paragraph" w:customStyle="1" w:styleId="jaff6">
    <w:name w:val="改正規定文（ja）"/>
    <w:basedOn w:val="a"/>
    <w:rsid w:val="00CF6666"/>
    <w:pPr>
      <w:widowControl w:val="0"/>
      <w:ind w:left="219" w:firstLine="219"/>
    </w:pPr>
    <w:rPr>
      <w:rFonts w:ascii="ＭＳ 明朝" w:eastAsia="ＭＳ 明朝" w:hAnsi="ＭＳ 明朝" w:cs="ＭＳ 明朝"/>
    </w:rPr>
  </w:style>
  <w:style w:type="paragraph" w:customStyle="1" w:styleId="enff6">
    <w:name w:val="改正規定文（en）"/>
    <w:basedOn w:val="jaff6"/>
    <w:rsid w:val="00CF6666"/>
    <w:rPr>
      <w:rFonts w:ascii="Century" w:eastAsia="Century" w:hAnsi="Century" w:cs="Century"/>
    </w:rPr>
  </w:style>
  <w:style w:type="paragraph" w:customStyle="1" w:styleId="jaff7">
    <w:name w:val="付記（ja）"/>
    <w:basedOn w:val="a"/>
    <w:rsid w:val="00CF6666"/>
    <w:pPr>
      <w:widowControl w:val="0"/>
      <w:ind w:left="219" w:firstLine="219"/>
    </w:pPr>
    <w:rPr>
      <w:rFonts w:ascii="ＭＳ 明朝" w:eastAsia="ＭＳ 明朝" w:hAnsi="ＭＳ 明朝" w:cs="ＭＳ 明朝"/>
    </w:rPr>
  </w:style>
  <w:style w:type="paragraph" w:customStyle="1" w:styleId="enff7">
    <w:name w:val="付記（en）"/>
    <w:basedOn w:val="jaff7"/>
    <w:rsid w:val="00CF6666"/>
    <w:rPr>
      <w:rFonts w:ascii="Century" w:eastAsia="Century" w:hAnsi="Century" w:cs="Century"/>
    </w:rPr>
  </w:style>
  <w:style w:type="paragraph" w:customStyle="1" w:styleId="jaff8">
    <w:name w:val="様式名（ja）"/>
    <w:basedOn w:val="a"/>
    <w:rsid w:val="00CF6666"/>
    <w:pPr>
      <w:widowControl w:val="0"/>
      <w:ind w:left="439" w:hanging="219"/>
    </w:pPr>
    <w:rPr>
      <w:rFonts w:ascii="ＭＳ 明朝" w:eastAsia="ＭＳ 明朝" w:hAnsi="ＭＳ 明朝" w:cs="ＭＳ 明朝"/>
    </w:rPr>
  </w:style>
  <w:style w:type="paragraph" w:customStyle="1" w:styleId="enff8">
    <w:name w:val="様式名（en）"/>
    <w:basedOn w:val="jaff8"/>
    <w:rsid w:val="00CF6666"/>
    <w:rPr>
      <w:rFonts w:ascii="Century" w:eastAsia="Century" w:hAnsi="Century" w:cs="Century"/>
    </w:rPr>
  </w:style>
  <w:style w:type="paragraph" w:customStyle="1" w:styleId="jaff9">
    <w:name w:val="様式項目（ja）"/>
    <w:basedOn w:val="a"/>
    <w:rsid w:val="00CF6666"/>
    <w:pPr>
      <w:widowControl w:val="0"/>
      <w:ind w:left="221" w:firstLine="221"/>
    </w:pPr>
    <w:rPr>
      <w:rFonts w:ascii="ＭＳ 明朝" w:eastAsia="ＭＳ 明朝" w:hAnsi="ＭＳ 明朝" w:cs="ＭＳ 明朝"/>
    </w:rPr>
  </w:style>
  <w:style w:type="paragraph" w:customStyle="1" w:styleId="enff9">
    <w:name w:val="様式項目（en）"/>
    <w:basedOn w:val="jaff9"/>
    <w:rsid w:val="00CF6666"/>
    <w:rPr>
      <w:rFonts w:ascii="Century" w:eastAsia="Century" w:hAnsi="Century" w:cs="Century"/>
    </w:rPr>
  </w:style>
  <w:style w:type="table" w:customStyle="1" w:styleId="1">
    <w:name w:val="表1"/>
    <w:rsid w:val="00CF6666"/>
    <w:tblPr>
      <w:tblInd w:w="340" w:type="dxa"/>
      <w:tblCellMar>
        <w:top w:w="0" w:type="dxa"/>
        <w:left w:w="0" w:type="dxa"/>
        <w:bottom w:w="0" w:type="dxa"/>
        <w:right w:w="0" w:type="dxa"/>
      </w:tblCellMar>
    </w:tblPr>
  </w:style>
  <w:style w:type="numbering" w:customStyle="1" w:styleId="WW8Num1">
    <w:name w:val="WW8Num1"/>
    <w:rsid w:val="00CF6666"/>
    <w:pPr>
      <w:numPr>
        <w:numId w:val="2"/>
      </w:numPr>
    </w:pPr>
  </w:style>
  <w:style w:type="numbering" w:customStyle="1" w:styleId="WW8Num2">
    <w:name w:val="WW8Num2"/>
    <w:rsid w:val="00CF6666"/>
    <w:pPr>
      <w:numPr>
        <w:numId w:val="3"/>
      </w:numPr>
    </w:pPr>
  </w:style>
  <w:style w:type="numbering" w:customStyle="1" w:styleId="WW8Num3">
    <w:name w:val="WW8Num3"/>
    <w:rsid w:val="00CF6666"/>
    <w:pPr>
      <w:numPr>
        <w:numId w:val="4"/>
      </w:numPr>
    </w:pPr>
  </w:style>
  <w:style w:type="numbering" w:customStyle="1" w:styleId="WW8Num4">
    <w:name w:val="WW8Num4"/>
    <w:rsid w:val="00CF6666"/>
    <w:pPr>
      <w:numPr>
        <w:numId w:val="5"/>
      </w:numPr>
    </w:pPr>
  </w:style>
  <w:style w:type="numbering" w:customStyle="1" w:styleId="WW8Num5">
    <w:name w:val="WW8Num5"/>
    <w:rsid w:val="00CF6666"/>
    <w:pPr>
      <w:numPr>
        <w:numId w:val="6"/>
      </w:numPr>
    </w:pPr>
  </w:style>
  <w:style w:type="numbering" w:customStyle="1" w:styleId="WW8Num6">
    <w:name w:val="WW8Num6"/>
    <w:rsid w:val="00CF6666"/>
    <w:pPr>
      <w:numPr>
        <w:numId w:val="7"/>
      </w:numPr>
    </w:pPr>
  </w:style>
  <w:style w:type="numbering" w:customStyle="1" w:styleId="WW8Num7">
    <w:name w:val="WW8Num7"/>
    <w:rsid w:val="00CF6666"/>
    <w:pPr>
      <w:numPr>
        <w:numId w:val="8"/>
      </w:numPr>
    </w:pPr>
  </w:style>
  <w:style w:type="numbering" w:customStyle="1" w:styleId="WW8Num8">
    <w:name w:val="WW8Num8"/>
    <w:rsid w:val="00CF6666"/>
    <w:pPr>
      <w:numPr>
        <w:numId w:val="9"/>
      </w:numPr>
    </w:pPr>
  </w:style>
  <w:style w:type="numbering" w:customStyle="1" w:styleId="WW8Num9">
    <w:name w:val="WW8Num9"/>
    <w:rsid w:val="00CF6666"/>
    <w:pPr>
      <w:numPr>
        <w:numId w:val="10"/>
      </w:numPr>
    </w:pPr>
  </w:style>
  <w:style w:type="numbering" w:customStyle="1" w:styleId="WW8Num10">
    <w:name w:val="WW8Num10"/>
    <w:rsid w:val="00CF6666"/>
    <w:pPr>
      <w:numPr>
        <w:numId w:val="11"/>
      </w:numPr>
    </w:pPr>
  </w:style>
  <w:style w:type="numbering" w:customStyle="1" w:styleId="WW8Num11">
    <w:name w:val="WW8Num11"/>
    <w:rsid w:val="00CF6666"/>
    <w:pPr>
      <w:numPr>
        <w:numId w:val="12"/>
      </w:numPr>
    </w:pPr>
  </w:style>
  <w:style w:type="numbering" w:customStyle="1" w:styleId="WW8Num12">
    <w:name w:val="WW8Num12"/>
    <w:rsid w:val="00CF6666"/>
    <w:pPr>
      <w:numPr>
        <w:numId w:val="13"/>
      </w:numPr>
    </w:pPr>
  </w:style>
  <w:style w:type="paragraph" w:styleId="a4">
    <w:name w:val="header"/>
    <w:basedOn w:val="a"/>
    <w:link w:val="a5"/>
    <w:uiPriority w:val="99"/>
    <w:unhideWhenUsed/>
    <w:rsid w:val="006D126F"/>
    <w:pPr>
      <w:tabs>
        <w:tab w:val="center" w:pos="4252"/>
        <w:tab w:val="right" w:pos="8504"/>
      </w:tabs>
      <w:snapToGrid w:val="0"/>
    </w:pPr>
  </w:style>
  <w:style w:type="character" w:customStyle="1" w:styleId="a5">
    <w:name w:val="ヘッダー (文字)"/>
    <w:basedOn w:val="a0"/>
    <w:link w:val="a4"/>
    <w:uiPriority w:val="99"/>
    <w:rsid w:val="006D126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1214</Words>
  <Characters>6925</Characters>
  <Application>Microsoft Office Word</Application>
  <DocSecurity>0</DocSecurity>
  <Lines>57</Lines>
  <Paragraphs>16</Paragraphs>
  <ScaleCrop>false</ScaleCrop>
  <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2022-01-04T05:08:00Z</dcterms:created>
  <dcterms:modified xsi:type="dcterms:W3CDTF">2022-01-04T05:08:00Z</dcterms:modified>
</cp:coreProperties>
</file>