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5F05" w:rsidRDefault="00DA198C">
      <w:pPr>
        <w:pStyle w:val="ja"/>
      </w:pPr>
      <w:r>
        <w:t>金融商品取引清算機関等に関する内閣府令</w:t>
      </w:r>
    </w:p>
    <w:p w:rsidR="00175F05" w:rsidRDefault="00175F05"/>
    <w:p w:rsidR="00175F05" w:rsidRDefault="00DA198C">
      <w:pPr>
        <w:pStyle w:val="jaf"/>
      </w:pPr>
      <w:r>
        <w:t>（平成十四年十二月六日内閣府令第七十六号）</w:t>
      </w:r>
    </w:p>
    <w:p w:rsidR="00175F05" w:rsidRDefault="00175F05"/>
    <w:p w:rsidR="00175F05" w:rsidRDefault="00DA198C">
      <w:pPr>
        <w:pStyle w:val="jae"/>
      </w:pPr>
      <w:r>
        <w:t>証券取引法（昭和二十三年法律第二十五号）第二条第二十五項第二号、第百五十六条の三第二項第七号、第三項、第百五十六条の六第二項及び第三項、第百五十六条の七第二項第七号、第百五十六条の十一、第百五十六条の十二、第百五十六条の十三、第百五十六条の十八、第百五十六条の十九並びに第百八十八条の規定に基づき、並びに同法を実施するため、証券取引清算機関等に関する内閣府令を次のように定める。</w:t>
      </w:r>
    </w:p>
    <w:p w:rsidR="00175F05" w:rsidRDefault="00175F05"/>
    <w:p w:rsidR="00175F05" w:rsidRDefault="00DA198C">
      <w:pPr>
        <w:pStyle w:val="jaa"/>
      </w:pPr>
      <w:r>
        <w:t>（定義）</w:t>
      </w:r>
    </w:p>
    <w:p w:rsidR="00175F05" w:rsidRDefault="00DA198C">
      <w:pPr>
        <w:pStyle w:val="jaf3"/>
      </w:pPr>
      <w:r>
        <w:t>第一条　この府令において「金融商品取引清算機関」、「金融商品債務引受業」、「有価証券等清算取次ぎ」、「市場デリバティブ取</w:t>
      </w:r>
      <w:r>
        <w:t>引」又は「金融商品取引所」とは、それぞれ金融商品取引法　（昭和二十三年法律第二十五号。以下「法」という。）第二条　に規定する金融商品取引清算機関、金融商品債務引受業、有価証券等清算取次ぎ、市場デリバティブ取引又は金融商品取引所をいう。</w:t>
      </w:r>
    </w:p>
    <w:p w:rsidR="00175F05" w:rsidRDefault="00175F05"/>
    <w:p w:rsidR="00175F05" w:rsidRDefault="00DA198C">
      <w:pPr>
        <w:pStyle w:val="jaa"/>
      </w:pPr>
      <w:r>
        <w:t>（免許申請書の経由）</w:t>
      </w:r>
    </w:p>
    <w:p w:rsidR="00175F05" w:rsidRDefault="00DA198C">
      <w:pPr>
        <w:pStyle w:val="jaf3"/>
      </w:pPr>
      <w:r>
        <w:t>第二条　法第百五十六条の三第一項の規定により免許申請書を提出しようとする者は、当該免許申請書を金融庁長官を経由して提出しなければならない。</w:t>
      </w:r>
    </w:p>
    <w:p w:rsidR="00175F05" w:rsidRDefault="00175F05"/>
    <w:p w:rsidR="00175F05" w:rsidRDefault="00DA198C">
      <w:pPr>
        <w:pStyle w:val="jaa"/>
      </w:pPr>
      <w:r>
        <w:t>（免許申請書の添付書類）</w:t>
      </w:r>
    </w:p>
    <w:p w:rsidR="00175F05" w:rsidRDefault="00DA198C">
      <w:pPr>
        <w:pStyle w:val="jaf3"/>
      </w:pPr>
      <w:r>
        <w:t>第二条の二　法第百五十六条の三第二項第七号に規定する内閣府令で定める書類は、次に掲げ</w:t>
      </w:r>
      <w:r>
        <w:t>る書類とする。</w:t>
      </w:r>
    </w:p>
    <w:p w:rsidR="00175F05" w:rsidRDefault="00DA198C">
      <w:pPr>
        <w:pStyle w:val="jaf6"/>
      </w:pPr>
      <w:r>
        <w:t>一　主要株主（総株主の議決権（株主総会において決議をすることができる事項の全部につき議決権を行使することができない株式についての議決権を除き、会社法（平成十七年法律第八十六号）第八百七十九条第三項　の規定により議決権を有するものとみなされる株式についての議決権を含む。第十四条第二項第五号において同じ。）の百分の十以上の議決権を保有している株主をいう。）の氏名又は商号若しくは名称、住所又は所在地及びその保有する議決権の数を記載した書面</w:t>
      </w:r>
    </w:p>
    <w:p w:rsidR="00175F05" w:rsidRDefault="00DA198C">
      <w:pPr>
        <w:pStyle w:val="jaf6"/>
      </w:pPr>
      <w:r>
        <w:t>二　親法人（金融商品取引清算機関の総株主の議決権（前号に規</w:t>
      </w:r>
      <w:r>
        <w:t>定する議決権をいう。）の過半数を保有している法人その他の団体をいう。）及び子法人（金融商品取引清算機関が総株主、総社員又は総出資者の議決権（株式会社にあっては、株主総会において決議をすることができる事項の全部につき議決権を行使することができない株式についての議決権を除き、会社法第八百七十九条第三項　の規定により議決権を有するものとみなされる株式についての議決権を含む。）の過半数を保有している法人その他の団体をいう。）の概要を記載した書面</w:t>
      </w:r>
    </w:p>
    <w:p w:rsidR="00175F05" w:rsidRDefault="00DA198C">
      <w:pPr>
        <w:pStyle w:val="jaf6"/>
      </w:pPr>
      <w:r>
        <w:t>三　取締役及び監査役（委員会設置会社にあっては、取締役及び執行役。以下</w:t>
      </w:r>
      <w:r>
        <w:t>この号において同じ。）の履歴書及び住民票の抄本（本籍の記載のあるものに限る。）又はこれに代わる書面並びに取締役及び監査役が法第二十九条の四第一項第二号イか</w:t>
      </w:r>
      <w:r>
        <w:lastRenderedPageBreak/>
        <w:t>らトまでのいずれにも該当しない者であることを当該取締役及び監査役が誓約する書面</w:t>
      </w:r>
    </w:p>
    <w:p w:rsidR="00175F05" w:rsidRDefault="00DA198C">
      <w:pPr>
        <w:pStyle w:val="jaf6"/>
      </w:pPr>
      <w:r>
        <w:t>四　会計参与設置会社にあっては、会計参与の履歴書（会計参与が法人であるときは、当該会計参与の沿革を記載した書面）及び住民票の抄本（本籍の記載のあるものに限る。）又はこれに代わる書面（会計参与が法人であるときは、当該会計参与の登記事項証明書又はこれに代わる書面）並びに会計参与が法</w:t>
      </w:r>
      <w:r>
        <w:t>第二十九条の四第一項第二号イからトまでのいずれにも該当しない者であることを当該会計参与が誓約する書面</w:t>
      </w:r>
    </w:p>
    <w:p w:rsidR="00175F05" w:rsidRDefault="00DA198C">
      <w:pPr>
        <w:pStyle w:val="jaf6"/>
      </w:pPr>
      <w:r>
        <w:t>五　取締役（委員会設置会社にあっては、執行役）の担当業務を記載した書面</w:t>
      </w:r>
    </w:p>
    <w:p w:rsidR="00175F05" w:rsidRDefault="00DA198C">
      <w:pPr>
        <w:pStyle w:val="jaf6"/>
      </w:pPr>
      <w:r>
        <w:t>六　金融商品債務引受業に関する知識及び経験を有する従業員の確保の状況並びに当該従業員の配置の状況を記載した書面</w:t>
      </w:r>
    </w:p>
    <w:p w:rsidR="00175F05" w:rsidRDefault="00DA198C">
      <w:pPr>
        <w:pStyle w:val="jaf6"/>
      </w:pPr>
      <w:r>
        <w:t>七　金融商品取引清算機関の事務の機構及び分掌を記載した書面</w:t>
      </w:r>
    </w:p>
    <w:p w:rsidR="00175F05" w:rsidRDefault="00DA198C">
      <w:pPr>
        <w:pStyle w:val="jaf6"/>
      </w:pPr>
      <w:r>
        <w:t>八　業務開始後三年間における収支の見込みを記載した書面</w:t>
      </w:r>
    </w:p>
    <w:p w:rsidR="00175F05" w:rsidRDefault="00DA198C">
      <w:pPr>
        <w:pStyle w:val="jaf6"/>
      </w:pPr>
      <w:r>
        <w:t>九　その他法第百五十六条の四第一項　の規定による審査の参考となるべき事項を記載した書面</w:t>
      </w:r>
    </w:p>
    <w:p w:rsidR="00175F05" w:rsidRDefault="00175F05"/>
    <w:p w:rsidR="00175F05" w:rsidRDefault="00DA198C">
      <w:pPr>
        <w:pStyle w:val="jaa"/>
      </w:pPr>
      <w:r>
        <w:t>（免許申請書に添付す</w:t>
      </w:r>
      <w:r>
        <w:t>べき電磁的記録）</w:t>
      </w:r>
    </w:p>
    <w:p w:rsidR="00175F05" w:rsidRDefault="00DA198C">
      <w:pPr>
        <w:pStyle w:val="jaf3"/>
      </w:pPr>
      <w:r>
        <w:t>第三条　法第百五十六条の三第三項に規定する内閣府令で定める電磁的記録は、工業標準化法　（昭和二十四年法律第百八十五号）に基づく日本工業規格（以下この条において「日本工業規格」という。）Ｘ六二二三に適合する九十ミリメートルフレキシブルディスクカートリッジに該当する構造の磁気ディスクとする。</w:t>
      </w:r>
    </w:p>
    <w:p w:rsidR="00175F05" w:rsidRDefault="00DA198C">
      <w:pPr>
        <w:pStyle w:val="jaf4"/>
      </w:pPr>
      <w:r>
        <w:t>２　前項の電磁的記録への記録は、次に掲げる方式に従ってしなければならない。</w:t>
      </w:r>
    </w:p>
    <w:p w:rsidR="00175F05" w:rsidRDefault="00DA198C">
      <w:pPr>
        <w:pStyle w:val="jaf6"/>
      </w:pPr>
      <w:r>
        <w:t>一　トラックフォーマットについては、日本工業規格Ｘ六二二五に規定する方式</w:t>
      </w:r>
    </w:p>
    <w:p w:rsidR="00175F05" w:rsidRDefault="00DA198C">
      <w:pPr>
        <w:pStyle w:val="jaf6"/>
      </w:pPr>
      <w:r>
        <w:t>二　ボリューム及びファイル構成については、日本工業規格Ｘ〇六〇五に規定する方式</w:t>
      </w:r>
    </w:p>
    <w:p w:rsidR="00175F05" w:rsidRDefault="00DA198C">
      <w:pPr>
        <w:pStyle w:val="jaf4"/>
      </w:pPr>
      <w:r>
        <w:t>３　第一項の電磁的記録には、日本工業規格Ｘ六二二三に規定するラベル領域に、次に掲げる事項を記載した書面をはり付けなければならない。</w:t>
      </w:r>
    </w:p>
    <w:p w:rsidR="00175F05" w:rsidRDefault="00DA198C">
      <w:pPr>
        <w:pStyle w:val="jaf6"/>
      </w:pPr>
      <w:r>
        <w:t>一　申請者の商号</w:t>
      </w:r>
    </w:p>
    <w:p w:rsidR="00175F05" w:rsidRDefault="00DA198C">
      <w:pPr>
        <w:pStyle w:val="jaf6"/>
      </w:pPr>
      <w:r>
        <w:t>二　申請年月日</w:t>
      </w:r>
    </w:p>
    <w:p w:rsidR="00175F05" w:rsidRDefault="00175F05"/>
    <w:p w:rsidR="00175F05" w:rsidRDefault="00DA198C">
      <w:pPr>
        <w:pStyle w:val="jaa"/>
      </w:pPr>
      <w:r>
        <w:t>（他の業務の承認の申請）</w:t>
      </w:r>
    </w:p>
    <w:p w:rsidR="00175F05" w:rsidRDefault="00DA198C">
      <w:pPr>
        <w:pStyle w:val="jaf3"/>
      </w:pPr>
      <w:r>
        <w:t>第四条　法第百五十六条の六第二項の承認を受けようとする金融商品取引清算機関は、次に掲げる事項を記載した承認申請書を金融庁長官に提出しなければならない。</w:t>
      </w:r>
    </w:p>
    <w:p w:rsidR="00175F05" w:rsidRDefault="00DA198C">
      <w:pPr>
        <w:pStyle w:val="jaf6"/>
      </w:pPr>
      <w:r>
        <w:t>一　承認を受</w:t>
      </w:r>
      <w:r>
        <w:t>けようとする業務の種類</w:t>
      </w:r>
    </w:p>
    <w:p w:rsidR="00175F05" w:rsidRDefault="00DA198C">
      <w:pPr>
        <w:pStyle w:val="jaf6"/>
      </w:pPr>
      <w:r>
        <w:t>二　当該業務の開始予定年月日</w:t>
      </w:r>
    </w:p>
    <w:p w:rsidR="00175F05" w:rsidRDefault="00DA198C">
      <w:pPr>
        <w:pStyle w:val="jaf4"/>
      </w:pPr>
      <w:r>
        <w:t>２　前項の承認申請書には、次に掲げる書類を添付しなければならない。</w:t>
      </w:r>
    </w:p>
    <w:p w:rsidR="00175F05" w:rsidRDefault="00DA198C">
      <w:pPr>
        <w:pStyle w:val="jaf6"/>
      </w:pPr>
      <w:r>
        <w:t>一　当該業務の内容及び方法を記載した書面</w:t>
      </w:r>
    </w:p>
    <w:p w:rsidR="00175F05" w:rsidRDefault="00DA198C">
      <w:pPr>
        <w:pStyle w:val="jaf6"/>
      </w:pPr>
      <w:r>
        <w:t>二　当該業務を所掌する組織及び人員配置を記載した書面</w:t>
      </w:r>
    </w:p>
    <w:p w:rsidR="00175F05" w:rsidRDefault="00DA198C">
      <w:pPr>
        <w:pStyle w:val="jaf6"/>
      </w:pPr>
      <w:r>
        <w:t>三　当該業務の運営に関する社内規則</w:t>
      </w:r>
    </w:p>
    <w:p w:rsidR="00175F05" w:rsidRDefault="00DA198C">
      <w:pPr>
        <w:pStyle w:val="jaf6"/>
      </w:pPr>
      <w:r>
        <w:t>四　当該業務の開始後三年間における収支の見込みを記載した書面</w:t>
      </w:r>
    </w:p>
    <w:p w:rsidR="00175F05" w:rsidRDefault="00175F05"/>
    <w:p w:rsidR="00175F05" w:rsidRDefault="00DA198C">
      <w:pPr>
        <w:pStyle w:val="jaa"/>
      </w:pPr>
      <w:r>
        <w:lastRenderedPageBreak/>
        <w:t>（承認を受けた業務の廃止の届出）</w:t>
      </w:r>
    </w:p>
    <w:p w:rsidR="00175F05" w:rsidRDefault="00DA198C">
      <w:pPr>
        <w:pStyle w:val="jaf3"/>
      </w:pPr>
      <w:r>
        <w:t>第五条　法第百五十六条の六第三項　の規定により届出を行う金融商品取引清算機関は、次に掲げる事項を記載した届出書を提出しなければならない。</w:t>
      </w:r>
    </w:p>
    <w:p w:rsidR="00175F05" w:rsidRDefault="00DA198C">
      <w:pPr>
        <w:pStyle w:val="jaf6"/>
      </w:pPr>
      <w:r>
        <w:t>一　法第百五十六条の六</w:t>
      </w:r>
      <w:r>
        <w:t>第二項　の規定に基づき承認を受けた業務の種類</w:t>
      </w:r>
    </w:p>
    <w:p w:rsidR="00175F05" w:rsidRDefault="00DA198C">
      <w:pPr>
        <w:pStyle w:val="jaf6"/>
      </w:pPr>
      <w:r>
        <w:t>二　当該業務を廃止した年月日</w:t>
      </w:r>
    </w:p>
    <w:p w:rsidR="00175F05" w:rsidRDefault="00DA198C">
      <w:pPr>
        <w:pStyle w:val="jaf6"/>
      </w:pPr>
      <w:r>
        <w:t>三　当該業務を廃止した理由</w:t>
      </w:r>
    </w:p>
    <w:p w:rsidR="00175F05" w:rsidRDefault="00175F05"/>
    <w:p w:rsidR="00175F05" w:rsidRDefault="00DA198C">
      <w:pPr>
        <w:pStyle w:val="jaa"/>
      </w:pPr>
      <w:r>
        <w:t>（業務方法書の記載事項）</w:t>
      </w:r>
    </w:p>
    <w:p w:rsidR="00175F05" w:rsidRDefault="00DA198C">
      <w:pPr>
        <w:pStyle w:val="jaf3"/>
      </w:pPr>
      <w:r>
        <w:t>第六条　法第百五十六条の七第二項第七号に規定する内閣府令で定める事項は、次に掲げる事項とする。</w:t>
      </w:r>
    </w:p>
    <w:p w:rsidR="00175F05" w:rsidRDefault="00DA198C">
      <w:pPr>
        <w:pStyle w:val="jaf6"/>
      </w:pPr>
      <w:r>
        <w:t>一　金融商品債務引受業に附帯する業務を行う場合にあっては、その旨</w:t>
      </w:r>
    </w:p>
    <w:p w:rsidR="00175F05" w:rsidRDefault="00DA198C">
      <w:pPr>
        <w:pStyle w:val="jaf6"/>
      </w:pPr>
      <w:r>
        <w:t>二　金融商品債務引受業に関連する業務を行う場合にあっては、その旨</w:t>
      </w:r>
    </w:p>
    <w:p w:rsidR="00175F05" w:rsidRDefault="00DA198C">
      <w:pPr>
        <w:pStyle w:val="jaf6"/>
      </w:pPr>
      <w:r>
        <w:t>三　有価証券等清算取次ぎ（法第二条第二十七項第一号に係るものに限る。）に係る当該有価証券等清算取次ぎを行う清算参加者と顧客の間の基本契約においては、顧客</w:t>
      </w:r>
      <w:r>
        <w:t>が清算参加者を代理して対象取引を成立させようとするときは、当該顧客が有価証券等清算取次ぎの申込みをし、かつ、当該清算参加者が当該有価証券等清算取次ぎの受託をしたこととする旨</w:t>
      </w:r>
    </w:p>
    <w:p w:rsidR="00175F05" w:rsidRDefault="00DA198C">
      <w:pPr>
        <w:pStyle w:val="jaf6"/>
      </w:pPr>
      <w:r>
        <w:t>四　市場デリバティブ取引について金融商品債務引受業を行う場合にあっては、取引証拠金に関する事項</w:t>
      </w:r>
    </w:p>
    <w:p w:rsidR="00175F05" w:rsidRDefault="00DA198C">
      <w:pPr>
        <w:pStyle w:val="jaf6"/>
      </w:pPr>
      <w:r>
        <w:t>五　法第百五十六条の十一　に規定する清算預託金を定める場合にあっては、次に掲げる事項</w:t>
      </w:r>
    </w:p>
    <w:p w:rsidR="00175F05" w:rsidRDefault="00DA198C">
      <w:pPr>
        <w:pStyle w:val="jaf9"/>
      </w:pPr>
      <w:r>
        <w:t>イ　次条の規定により清算預託金として定める有価証券に関する事項</w:t>
      </w:r>
    </w:p>
    <w:p w:rsidR="00175F05" w:rsidRDefault="00DA198C">
      <w:pPr>
        <w:pStyle w:val="jaf9"/>
      </w:pPr>
      <w:r>
        <w:t>ロ　清算預託金の管理方法に関する事項</w:t>
      </w:r>
    </w:p>
    <w:p w:rsidR="00175F05" w:rsidRDefault="00175F05"/>
    <w:p w:rsidR="00175F05" w:rsidRDefault="00DA198C">
      <w:pPr>
        <w:pStyle w:val="jaa"/>
      </w:pPr>
      <w:r>
        <w:t>（清算預託金）</w:t>
      </w:r>
    </w:p>
    <w:p w:rsidR="00175F05" w:rsidRDefault="00DA198C">
      <w:pPr>
        <w:pStyle w:val="jaf3"/>
      </w:pPr>
      <w:r>
        <w:t>第七条　法第百五十六条の十一　に規定する内閣府令で定めるものは、金銭及び金融商品取引清算機関が業務方法書において定める有価証券であって、当該金融商品取引清算機関が、業務方法書の定めるところにより、清算預託金として他の財産と分別して管理するものとする。</w:t>
      </w:r>
    </w:p>
    <w:p w:rsidR="00175F05" w:rsidRDefault="00175F05"/>
    <w:p w:rsidR="00175F05" w:rsidRDefault="00DA198C">
      <w:pPr>
        <w:pStyle w:val="jaa"/>
      </w:pPr>
      <w:r>
        <w:t>（定款又は業務方法書の変更の認可の申請）</w:t>
      </w:r>
    </w:p>
    <w:p w:rsidR="00175F05" w:rsidRDefault="00DA198C">
      <w:pPr>
        <w:pStyle w:val="jaf3"/>
      </w:pPr>
      <w:r>
        <w:t>第八条　法第百五十六条の十二　の認可を受けようとする金融商品取引清算機関は、次に掲げる事項を記載した認可申請書を金融庁長官に提出しなければならない。</w:t>
      </w:r>
    </w:p>
    <w:p w:rsidR="00175F05" w:rsidRDefault="00DA198C">
      <w:pPr>
        <w:pStyle w:val="jaf6"/>
      </w:pPr>
      <w:r>
        <w:t>一　変更の内容及び理由</w:t>
      </w:r>
    </w:p>
    <w:p w:rsidR="00175F05" w:rsidRDefault="00DA198C">
      <w:pPr>
        <w:pStyle w:val="jaf6"/>
      </w:pPr>
      <w:r>
        <w:t>二　変更予定年月日</w:t>
      </w:r>
    </w:p>
    <w:p w:rsidR="00175F05" w:rsidRDefault="00DA198C">
      <w:pPr>
        <w:pStyle w:val="jaf4"/>
      </w:pPr>
      <w:r>
        <w:t>２　前項の認可申請書に</w:t>
      </w:r>
      <w:r>
        <w:t>は、次に掲げる書類を添付しなければならない。ただし、業務方法書の変更認可申請書にあっては、第二号に掲げる書類を提出することを要しない。</w:t>
      </w:r>
    </w:p>
    <w:p w:rsidR="00175F05" w:rsidRDefault="00DA198C">
      <w:pPr>
        <w:pStyle w:val="jaf6"/>
      </w:pPr>
      <w:r>
        <w:t>一　定款又は業務方法書の新旧対照表</w:t>
      </w:r>
    </w:p>
    <w:p w:rsidR="00175F05" w:rsidRDefault="00DA198C">
      <w:pPr>
        <w:pStyle w:val="jaf6"/>
      </w:pPr>
      <w:r>
        <w:t>二　株主総会（法第百五十六条の十九　の規定に基づく承認を受けた会員金融商品取引所（法第八十七条の六第一項　に規定する会員金融商品取引所をいう。以下同じ。）にあっては、総会）の議事録その他必要な手続があったことを証する書面</w:t>
      </w:r>
    </w:p>
    <w:p w:rsidR="00175F05" w:rsidRDefault="00DA198C">
      <w:pPr>
        <w:pStyle w:val="jaf6"/>
      </w:pPr>
      <w:r>
        <w:t>三　その他参考となる書類</w:t>
      </w:r>
    </w:p>
    <w:p w:rsidR="00175F05" w:rsidRDefault="00175F05"/>
    <w:p w:rsidR="00175F05" w:rsidRDefault="00DA198C">
      <w:pPr>
        <w:pStyle w:val="jaa"/>
      </w:pPr>
      <w:r>
        <w:t>（定款又は業務方法書の変更の認可の基準）</w:t>
      </w:r>
    </w:p>
    <w:p w:rsidR="00175F05" w:rsidRDefault="00DA198C">
      <w:pPr>
        <w:pStyle w:val="jaf3"/>
      </w:pPr>
      <w:r>
        <w:t>第九条　金融庁長官は、法第百五十六条の十二　の規</w:t>
      </w:r>
      <w:r>
        <w:t>定に基づく認可の申請があったときは、その申請が法令に適合し、かつ、業務を適正かつ確実に運営するために十分かどうかを審査しなければならない。</w:t>
      </w:r>
    </w:p>
    <w:p w:rsidR="00175F05" w:rsidRDefault="00175F05"/>
    <w:p w:rsidR="00175F05" w:rsidRDefault="00DA198C">
      <w:pPr>
        <w:pStyle w:val="jaa"/>
      </w:pPr>
      <w:r>
        <w:t>（資本金の額等の変更の届出）</w:t>
      </w:r>
    </w:p>
    <w:p w:rsidR="00175F05" w:rsidRDefault="00DA198C">
      <w:pPr>
        <w:pStyle w:val="jaf3"/>
      </w:pPr>
      <w:r>
        <w:t>第十条　法第百五十六条の十三の規定による届出を行う金融商品取引清算機関は、次に掲げる事項を記載した届出書を金融庁長官に提出しなければならない。</w:t>
      </w:r>
    </w:p>
    <w:p w:rsidR="00175F05" w:rsidRDefault="00DA198C">
      <w:pPr>
        <w:pStyle w:val="jaf6"/>
      </w:pPr>
      <w:r>
        <w:t>一　変更の内容</w:t>
      </w:r>
    </w:p>
    <w:p w:rsidR="00175F05" w:rsidRDefault="00DA198C">
      <w:pPr>
        <w:pStyle w:val="jaf6"/>
      </w:pPr>
      <w:r>
        <w:t>二　変更年月日</w:t>
      </w:r>
    </w:p>
    <w:p w:rsidR="00175F05" w:rsidRDefault="00DA198C">
      <w:pPr>
        <w:pStyle w:val="jaf4"/>
      </w:pPr>
      <w:r>
        <w:t>２　前項の届出書には、次の各号に掲げる区分に応じ、当該各号に掲げる書類を添付するものとする。</w:t>
      </w:r>
    </w:p>
    <w:p w:rsidR="00175F05" w:rsidRDefault="00DA198C">
      <w:pPr>
        <w:pStyle w:val="jaf6"/>
      </w:pPr>
      <w:r>
        <w:t>一　法第百五十六条の三第一項第二号　又は第三号　に掲げる事項の変更　同</w:t>
      </w:r>
      <w:r>
        <w:t>条第二項第三号　に掲げる書類</w:t>
      </w:r>
    </w:p>
    <w:p w:rsidR="00175F05" w:rsidRDefault="00DA198C">
      <w:pPr>
        <w:pStyle w:val="jaf6"/>
      </w:pPr>
      <w:r>
        <w:t>二　法第百五十六条の三第一項第四号　に掲げる事項の変更　同条第二項第三号　に掲げる書類及び第二条の二第三号　に掲げる書類</w:t>
      </w:r>
    </w:p>
    <w:p w:rsidR="00175F05" w:rsidRDefault="00DA198C">
      <w:pPr>
        <w:pStyle w:val="jaf6"/>
      </w:pPr>
      <w:r>
        <w:t>三　法第百五十六条の三第一項第五号に掲げる事項の変更　同条第二項第三号に掲げる書類及び第二条の二第四号に掲げる書類</w:t>
      </w:r>
    </w:p>
    <w:p w:rsidR="00175F05" w:rsidRDefault="00175F05"/>
    <w:p w:rsidR="00175F05" w:rsidRDefault="00DA198C">
      <w:pPr>
        <w:pStyle w:val="jaa"/>
      </w:pPr>
      <w:r>
        <w:t>（金融商品債務引受業の廃止又は解散の決議に係る認可の申請）</w:t>
      </w:r>
    </w:p>
    <w:p w:rsidR="00175F05" w:rsidRDefault="00DA198C">
      <w:pPr>
        <w:pStyle w:val="jaf3"/>
      </w:pPr>
      <w:r>
        <w:t>第十一条　法第百五十六条の十八　の認可を受けようとする金融商品取引清算機関は、認可申請書に次に掲げる書類を添付して金融庁長官に提出しなければならない。</w:t>
      </w:r>
    </w:p>
    <w:p w:rsidR="00175F05" w:rsidRDefault="00DA198C">
      <w:pPr>
        <w:pStyle w:val="jaf6"/>
      </w:pPr>
      <w:r>
        <w:t>一　金融商品債務引受業の廃止又は解散の理由を記載した書面</w:t>
      </w:r>
    </w:p>
    <w:p w:rsidR="00175F05" w:rsidRDefault="00DA198C">
      <w:pPr>
        <w:pStyle w:val="jaf6"/>
      </w:pPr>
      <w:r>
        <w:t>二　株主総会（会員金融商品取引所にあっては、総会）の議事録（会社法第三百十九条第一項　の規定により株主総会の決議があったものとみなされる場合にあっては、当該場合に該当することを証する書面）</w:t>
      </w:r>
    </w:p>
    <w:p w:rsidR="00175F05" w:rsidRDefault="00DA198C">
      <w:pPr>
        <w:pStyle w:val="jaf6"/>
      </w:pPr>
      <w:r>
        <w:t>三　最終事業年度に係る貸借対照表（関連する注記を含む。）及び損益計算書（関連する注記を含む。）並びに当該決議時に</w:t>
      </w:r>
      <w:r>
        <w:t>おける資産及び負債の内容を明らかにした書面</w:t>
      </w:r>
    </w:p>
    <w:p w:rsidR="00175F05" w:rsidRDefault="00DA198C">
      <w:pPr>
        <w:pStyle w:val="jaf6"/>
      </w:pPr>
      <w:r>
        <w:t>四　金融商品債務引受業の結了の方法を記載した書面</w:t>
      </w:r>
    </w:p>
    <w:p w:rsidR="00175F05" w:rsidRDefault="00DA198C">
      <w:pPr>
        <w:pStyle w:val="jaf6"/>
      </w:pPr>
      <w:r>
        <w:t>五　その他参考となるべき事項を記載した書面</w:t>
      </w:r>
    </w:p>
    <w:p w:rsidR="00175F05" w:rsidRDefault="00175F05"/>
    <w:p w:rsidR="00175F05" w:rsidRDefault="00DA198C">
      <w:pPr>
        <w:pStyle w:val="jaa"/>
      </w:pPr>
      <w:r>
        <w:t>（金融商品取引所による金融商品債務引受業等の承認の申請）</w:t>
      </w:r>
    </w:p>
    <w:p w:rsidR="00175F05" w:rsidRDefault="00DA198C">
      <w:pPr>
        <w:pStyle w:val="jaf3"/>
      </w:pPr>
      <w:r>
        <w:t>第十二条　法第百五十六条の十九　の承認を受けようとする金融商品取引所は、次に掲げる事項を記載した承認申請書を金融庁長官に提出しなければならない。</w:t>
      </w:r>
    </w:p>
    <w:p w:rsidR="00175F05" w:rsidRDefault="00DA198C">
      <w:pPr>
        <w:pStyle w:val="jaf6"/>
      </w:pPr>
      <w:r>
        <w:t>一　承認を受けようとする業務の種類</w:t>
      </w:r>
    </w:p>
    <w:p w:rsidR="00175F05" w:rsidRDefault="00DA198C">
      <w:pPr>
        <w:pStyle w:val="jaf6"/>
      </w:pPr>
      <w:r>
        <w:t>二　当該業務の開始予定年月日</w:t>
      </w:r>
    </w:p>
    <w:p w:rsidR="00175F05" w:rsidRDefault="00DA198C">
      <w:pPr>
        <w:pStyle w:val="jaf4"/>
      </w:pPr>
      <w:r>
        <w:t>２　前項の承認申請書には、次に掲げる書類を添付しなければならない。</w:t>
      </w:r>
    </w:p>
    <w:p w:rsidR="00175F05" w:rsidRDefault="00DA198C">
      <w:pPr>
        <w:pStyle w:val="jaf6"/>
      </w:pPr>
      <w:r>
        <w:t>一　業務方法書</w:t>
      </w:r>
    </w:p>
    <w:p w:rsidR="00175F05" w:rsidRDefault="00DA198C">
      <w:pPr>
        <w:pStyle w:val="jaf6"/>
      </w:pPr>
      <w:r>
        <w:t>二　当該業務を所掌</w:t>
      </w:r>
      <w:r>
        <w:t>する組織及び人員配置を記載した書面</w:t>
      </w:r>
    </w:p>
    <w:p w:rsidR="00175F05" w:rsidRDefault="00DA198C">
      <w:pPr>
        <w:pStyle w:val="jaf6"/>
      </w:pPr>
      <w:r>
        <w:t>三　当該業務の開始後三年間における収支の見込みを記載した書面</w:t>
      </w:r>
    </w:p>
    <w:p w:rsidR="00175F05" w:rsidRDefault="00175F05"/>
    <w:p w:rsidR="00175F05" w:rsidRDefault="00DA198C">
      <w:pPr>
        <w:pStyle w:val="jaa"/>
      </w:pPr>
      <w:r>
        <w:t>（業務方法書に基づく規則の届出）</w:t>
      </w:r>
    </w:p>
    <w:p w:rsidR="00175F05" w:rsidRDefault="00DA198C">
      <w:pPr>
        <w:pStyle w:val="jaf3"/>
      </w:pPr>
      <w:r>
        <w:t>第十三条　金融商品取引清算機関は、業務方法書に基づき規則を定め、又は廃止若しくは変更したときは、遅滞なく、その旨を金融庁長官に届け出なければならない。</w:t>
      </w:r>
    </w:p>
    <w:p w:rsidR="00175F05" w:rsidRDefault="00175F05"/>
    <w:p w:rsidR="00175F05" w:rsidRDefault="00DA198C">
      <w:pPr>
        <w:pStyle w:val="jaa"/>
      </w:pPr>
      <w:r>
        <w:t>（業務に関する提出書類）</w:t>
      </w:r>
    </w:p>
    <w:p w:rsidR="00175F05" w:rsidRDefault="00DA198C">
      <w:pPr>
        <w:pStyle w:val="jaf3"/>
      </w:pPr>
      <w:r>
        <w:t>第十四条　金融商品取引清算機関は、法第百八十八条　の規定に基づき、会社法第四百三十五条第二項　に規定する計算書類及び事業報告を、毎事業年度終了後三月以内に、金融庁長官に提出しなければならない。</w:t>
      </w:r>
    </w:p>
    <w:p w:rsidR="00175F05" w:rsidRDefault="00DA198C">
      <w:pPr>
        <w:pStyle w:val="jaf4"/>
      </w:pPr>
      <w:r>
        <w:t xml:space="preserve">２　</w:t>
      </w:r>
      <w:r>
        <w:t>前項の規定により提出する書類には、次に掲げる書類を添付するものとする。</w:t>
      </w:r>
    </w:p>
    <w:p w:rsidR="00175F05" w:rsidRDefault="00DA198C">
      <w:pPr>
        <w:pStyle w:val="jaf6"/>
      </w:pPr>
      <w:r>
        <w:t>一　会社法第四百三十五条第二項　の附属明細書</w:t>
      </w:r>
    </w:p>
    <w:p w:rsidR="00175F05" w:rsidRDefault="00DA198C">
      <w:pPr>
        <w:pStyle w:val="jaf6"/>
      </w:pPr>
      <w:r>
        <w:t>二　清算預託金明細表</w:t>
      </w:r>
    </w:p>
    <w:p w:rsidR="00175F05" w:rsidRDefault="00DA198C">
      <w:pPr>
        <w:pStyle w:val="jaf6"/>
      </w:pPr>
      <w:r>
        <w:t>三　取引証拠金明細表（市場デリバティブ取引について金融商品債務引受業を行う金融商品取引清算機関に限る。）</w:t>
      </w:r>
    </w:p>
    <w:p w:rsidR="00175F05" w:rsidRDefault="00DA198C">
      <w:pPr>
        <w:pStyle w:val="jaf6"/>
      </w:pPr>
      <w:r>
        <w:t>四　その他諸勘定明細表</w:t>
      </w:r>
    </w:p>
    <w:p w:rsidR="00175F05" w:rsidRDefault="00DA198C">
      <w:pPr>
        <w:pStyle w:val="jaf6"/>
      </w:pPr>
      <w:r>
        <w:t>五　主要株主の氏名又は商号若しくは名称、住所又は所在地及びその保有する議決権の数を記載した書面</w:t>
      </w:r>
    </w:p>
    <w:p w:rsidR="00175F05" w:rsidRDefault="00DA198C">
      <w:pPr>
        <w:pStyle w:val="jaf4"/>
      </w:pPr>
      <w:r>
        <w:t>３　金融商品取引所が法第百五十六条の十九　の規定により内閣総理大臣の承認を受けて金融商品取引清算機関として業務を行う場合にあっては、当該金融商品取引所は、第一項の期間内に、前二項に掲げる書類又はこれに相当する書類（前項第二号に掲げる書類を除く。）を提出したときは、前二項の規定にかかわらず、当該各項に掲げる書類（前項第二号に掲げる書類を除く。）を提出することを要しない。</w:t>
      </w:r>
    </w:p>
    <w:p w:rsidR="00175F05" w:rsidRDefault="00DA198C">
      <w:pPr>
        <w:pStyle w:val="jaf4"/>
      </w:pPr>
      <w:r>
        <w:t>４　金融商品取引清算機関は、次の各号に掲げる事実（次項において「事故」という。）が発生した場合には、法第百八十八条　の規定により、直ちに、そ</w:t>
      </w:r>
      <w:r>
        <w:t>の旨を金融庁長官に報告しなければならない。</w:t>
      </w:r>
    </w:p>
    <w:p w:rsidR="00175F05" w:rsidRDefault="00DA198C">
      <w:pPr>
        <w:pStyle w:val="jaf6"/>
      </w:pPr>
      <w:r>
        <w:t>一　取締役、会計参与（会計参与が法人であるときは、職務を行うべき社員を含む。）、監査役、執行役又は使用人がその業務を執行するに際し、法令又は業務方法書に違反する行為をしたこと。</w:t>
      </w:r>
    </w:p>
    <w:p w:rsidR="00175F05" w:rsidRDefault="00DA198C">
      <w:pPr>
        <w:pStyle w:val="jaf6"/>
      </w:pPr>
      <w:r>
        <w:t>二　電子情報処理組織の故障その他偶発的な事情による金融商品債務引受業の全部又は一部の停止</w:t>
      </w:r>
    </w:p>
    <w:p w:rsidR="00175F05" w:rsidRDefault="00DA198C">
      <w:pPr>
        <w:pStyle w:val="jaf4"/>
      </w:pPr>
      <w:r>
        <w:t>５　金融商品取引清算機関は、前項の規定により報告した事故の詳細が判明した場合には、法第百八十八条の規定により、遅滞なく、次に掲げる事項を記載した書類を金融庁長官に提出しなければならない。</w:t>
      </w:r>
    </w:p>
    <w:p w:rsidR="00175F05" w:rsidRDefault="00DA198C">
      <w:pPr>
        <w:pStyle w:val="jaf6"/>
      </w:pPr>
      <w:r>
        <w:t>一　事故の詳</w:t>
      </w:r>
      <w:r>
        <w:t>細</w:t>
      </w:r>
    </w:p>
    <w:p w:rsidR="00175F05" w:rsidRDefault="00DA198C">
      <w:pPr>
        <w:pStyle w:val="jaf6"/>
      </w:pPr>
      <w:r>
        <w:t>二　事故の改善策</w:t>
      </w:r>
    </w:p>
    <w:p w:rsidR="00175F05" w:rsidRDefault="00DA198C">
      <w:pPr>
        <w:pStyle w:val="jaf6"/>
      </w:pPr>
      <w:r>
        <w:t>三　その他必要な事項</w:t>
      </w:r>
    </w:p>
    <w:p w:rsidR="00175F05" w:rsidRDefault="00175F05"/>
    <w:p w:rsidR="00175F05" w:rsidRDefault="00DA198C">
      <w:pPr>
        <w:pStyle w:val="jaa"/>
      </w:pPr>
      <w:r>
        <w:t>（標準処理期間）</w:t>
      </w:r>
    </w:p>
    <w:p w:rsidR="00175F05" w:rsidRDefault="00DA198C">
      <w:pPr>
        <w:pStyle w:val="jaf3"/>
      </w:pPr>
      <w:r>
        <w:t>第十五条　内閣総理大臣又は金融庁長官は、法第百五十六条の六第二項に規定する承認又は法第百五十六条の十二　若しくは法第百五十六条の十八に規定する認可に関する申請がその事務所に到達してから一月以内に、法第百五十六条の三第一項に規定する免許又は法第百五十六条の十九　に規定する承認に関する申請がその事務所に到達してから二月以内に、それぞれ当該申請に対する処分をするよう努めるものとする。</w:t>
      </w:r>
    </w:p>
    <w:p w:rsidR="00175F05" w:rsidRDefault="00DA198C">
      <w:pPr>
        <w:pStyle w:val="jaf4"/>
      </w:pPr>
      <w:r>
        <w:t>２　前項に規定する期間には、次に掲げる期間を含まないものとする。</w:t>
      </w:r>
    </w:p>
    <w:p w:rsidR="00175F05" w:rsidRDefault="00DA198C">
      <w:pPr>
        <w:pStyle w:val="jaf6"/>
      </w:pPr>
      <w:r>
        <w:t>一　当該申請を補正するために要する期間</w:t>
      </w:r>
    </w:p>
    <w:p w:rsidR="00175F05" w:rsidRDefault="00DA198C">
      <w:pPr>
        <w:pStyle w:val="jaf6"/>
      </w:pPr>
      <w:r>
        <w:t>二　当該申請をした者が当</w:t>
      </w:r>
      <w:r>
        <w:t>該申請の内容を変更するために要する期間</w:t>
      </w:r>
    </w:p>
    <w:p w:rsidR="00175F05" w:rsidRDefault="00DA198C">
      <w:pPr>
        <w:pStyle w:val="jaf6"/>
      </w:pPr>
      <w:r>
        <w:t>三　当該申請をした者が当該申請に係る審査に必要と認められる資料を追加するために要する期間</w:t>
      </w:r>
    </w:p>
    <w:sectPr w:rsidR="00175F05" w:rsidSect="00175F0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75F05" w:rsidRDefault="00175F05" w:rsidP="00175F05">
      <w:r>
        <w:separator/>
      </w:r>
    </w:p>
  </w:endnote>
  <w:endnote w:type="continuationSeparator" w:id="0">
    <w:p w:rsidR="00175F05" w:rsidRDefault="00175F05" w:rsidP="00175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5F05" w:rsidRDefault="00175F05">
    <w:pPr>
      <w:pStyle w:val="a3"/>
    </w:pPr>
    <w:r>
      <w:fldChar w:fldCharType="begin"/>
    </w:r>
    <w:r>
      <w:instrText xml:space="preserve"> PAGE  \* MERGEFORMAT </w:instrText>
    </w:r>
    <w:r>
      <w:fldChar w:fldCharType="separate"/>
    </w:r>
    <w:r w:rsidR="00DA198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75F05" w:rsidRDefault="00175F05" w:rsidP="00175F05">
      <w:r>
        <w:separator/>
      </w:r>
    </w:p>
  </w:footnote>
  <w:footnote w:type="continuationSeparator" w:id="0">
    <w:p w:rsidR="00175F05" w:rsidRDefault="00175F05" w:rsidP="00175F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51710"/>
    <w:multiLevelType w:val="multilevel"/>
    <w:tmpl w:val="CF28EE0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B91F01"/>
    <w:multiLevelType w:val="multilevel"/>
    <w:tmpl w:val="4AD2C6C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0244257"/>
    <w:multiLevelType w:val="multilevel"/>
    <w:tmpl w:val="79B6B35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6E3F84"/>
    <w:multiLevelType w:val="multilevel"/>
    <w:tmpl w:val="CED2C66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74B2BC7"/>
    <w:multiLevelType w:val="multilevel"/>
    <w:tmpl w:val="6582CD5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7696F19"/>
    <w:multiLevelType w:val="multilevel"/>
    <w:tmpl w:val="BD760A0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B5416BA"/>
    <w:multiLevelType w:val="multilevel"/>
    <w:tmpl w:val="07049DA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C8710FB"/>
    <w:multiLevelType w:val="multilevel"/>
    <w:tmpl w:val="BA8E6E8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9C40029"/>
    <w:multiLevelType w:val="multilevel"/>
    <w:tmpl w:val="A6C8F1D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495391"/>
    <w:multiLevelType w:val="multilevel"/>
    <w:tmpl w:val="5E3A6DB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26699F"/>
    <w:multiLevelType w:val="multilevel"/>
    <w:tmpl w:val="77E2A5A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F9238B"/>
    <w:multiLevelType w:val="multilevel"/>
    <w:tmpl w:val="80F6F39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447BC2"/>
    <w:multiLevelType w:val="multilevel"/>
    <w:tmpl w:val="0BA4110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2"/>
  </w:num>
  <w:num w:numId="3">
    <w:abstractNumId w:val="1"/>
  </w:num>
  <w:num w:numId="4">
    <w:abstractNumId w:val="5"/>
  </w:num>
  <w:num w:numId="5">
    <w:abstractNumId w:val="8"/>
  </w:num>
  <w:num w:numId="6">
    <w:abstractNumId w:val="3"/>
  </w:num>
  <w:num w:numId="7">
    <w:abstractNumId w:val="6"/>
  </w:num>
  <w:num w:numId="8">
    <w:abstractNumId w:val="11"/>
  </w:num>
  <w:num w:numId="9">
    <w:abstractNumId w:val="9"/>
  </w:num>
  <w:num w:numId="10">
    <w:abstractNumId w:val="12"/>
  </w:num>
  <w:num w:numId="11">
    <w:abstractNumId w:val="0"/>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75F05"/>
    <w:rsid w:val="00175F05"/>
    <w:rsid w:val="00DA198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5F0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75F0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75F05"/>
    <w:rPr>
      <w:rFonts w:ascii="Century" w:eastAsia="Century" w:hAnsi="Century"/>
    </w:rPr>
  </w:style>
  <w:style w:type="paragraph" w:customStyle="1" w:styleId="ja0">
    <w:name w:val="款（ja）"/>
    <w:basedOn w:val="a"/>
    <w:rsid w:val="00175F05"/>
    <w:pPr>
      <w:widowControl w:val="0"/>
      <w:ind w:left="1321" w:hanging="221"/>
    </w:pPr>
    <w:rPr>
      <w:rFonts w:ascii="ＭＳ 明朝" w:eastAsia="ＭＳ 明朝" w:hAnsi="ＭＳ 明朝" w:cs="ＭＳ 明朝"/>
      <w:b/>
    </w:rPr>
  </w:style>
  <w:style w:type="paragraph" w:customStyle="1" w:styleId="en0">
    <w:name w:val="款（en）"/>
    <w:basedOn w:val="ja0"/>
    <w:rsid w:val="00175F05"/>
    <w:rPr>
      <w:rFonts w:ascii="Century" w:eastAsia="Century" w:hAnsi="Century" w:cs="Century"/>
    </w:rPr>
  </w:style>
  <w:style w:type="paragraph" w:customStyle="1" w:styleId="ja1">
    <w:name w:val="前文（ja）"/>
    <w:basedOn w:val="a"/>
    <w:rsid w:val="00175F05"/>
    <w:pPr>
      <w:widowControl w:val="0"/>
      <w:ind w:firstLine="219"/>
    </w:pPr>
    <w:rPr>
      <w:rFonts w:ascii="ＭＳ 明朝" w:eastAsia="ＭＳ 明朝" w:hAnsi="ＭＳ 明朝" w:cs="ＭＳ 明朝"/>
    </w:rPr>
  </w:style>
  <w:style w:type="paragraph" w:customStyle="1" w:styleId="en1">
    <w:name w:val="前文（en）"/>
    <w:basedOn w:val="ja1"/>
    <w:rsid w:val="00175F05"/>
    <w:rPr>
      <w:rFonts w:ascii="Century" w:eastAsia="Century" w:hAnsi="Century" w:cs="Century"/>
    </w:rPr>
  </w:style>
  <w:style w:type="paragraph" w:customStyle="1" w:styleId="ja2">
    <w:name w:val="附則（ja）"/>
    <w:basedOn w:val="a"/>
    <w:rsid w:val="00175F05"/>
    <w:pPr>
      <w:widowControl w:val="0"/>
      <w:ind w:left="881" w:hanging="221"/>
    </w:pPr>
    <w:rPr>
      <w:rFonts w:ascii="ＭＳ 明朝" w:eastAsia="ＭＳ 明朝" w:hAnsi="ＭＳ 明朝" w:cs="ＭＳ 明朝"/>
      <w:b/>
    </w:rPr>
  </w:style>
  <w:style w:type="paragraph" w:customStyle="1" w:styleId="en2">
    <w:name w:val="附則（en）"/>
    <w:basedOn w:val="ja2"/>
    <w:rsid w:val="00175F05"/>
    <w:rPr>
      <w:rFonts w:ascii="Century" w:hAnsi="Century" w:cs="Century"/>
    </w:rPr>
  </w:style>
  <w:style w:type="paragraph" w:customStyle="1" w:styleId="ja3">
    <w:name w:val="章（ja）"/>
    <w:basedOn w:val="a"/>
    <w:rsid w:val="00175F05"/>
    <w:pPr>
      <w:widowControl w:val="0"/>
      <w:ind w:left="881" w:hanging="221"/>
    </w:pPr>
    <w:rPr>
      <w:rFonts w:ascii="ＭＳ 明朝" w:eastAsia="ＭＳ 明朝" w:hAnsi="ＭＳ 明朝" w:cs="ＭＳ 明朝"/>
      <w:b/>
    </w:rPr>
  </w:style>
  <w:style w:type="paragraph" w:customStyle="1" w:styleId="en3">
    <w:name w:val="章（en）"/>
    <w:basedOn w:val="ja3"/>
    <w:rsid w:val="00175F05"/>
    <w:rPr>
      <w:rFonts w:ascii="Century" w:eastAsia="Century" w:hAnsi="Century" w:cs="Century"/>
    </w:rPr>
  </w:style>
  <w:style w:type="paragraph" w:customStyle="1" w:styleId="ja4">
    <w:name w:val="目次編（ja）"/>
    <w:basedOn w:val="a"/>
    <w:rsid w:val="00175F05"/>
    <w:pPr>
      <w:widowControl w:val="0"/>
      <w:ind w:left="219" w:hanging="219"/>
    </w:pPr>
    <w:rPr>
      <w:rFonts w:ascii="ＭＳ 明朝" w:eastAsia="ＭＳ 明朝" w:hAnsi="ＭＳ 明朝"/>
    </w:rPr>
  </w:style>
  <w:style w:type="paragraph" w:customStyle="1" w:styleId="en4">
    <w:name w:val="目次編（en）"/>
    <w:basedOn w:val="ja4"/>
    <w:rsid w:val="00175F05"/>
    <w:rPr>
      <w:rFonts w:ascii="Century" w:eastAsia="Century" w:hAnsi="Century"/>
    </w:rPr>
  </w:style>
  <w:style w:type="paragraph" w:customStyle="1" w:styleId="ja5">
    <w:name w:val="目次章（ja）"/>
    <w:basedOn w:val="a"/>
    <w:rsid w:val="00175F05"/>
    <w:pPr>
      <w:widowControl w:val="0"/>
      <w:ind w:left="439" w:hanging="219"/>
    </w:pPr>
    <w:rPr>
      <w:rFonts w:ascii="ＭＳ 明朝" w:eastAsia="ＭＳ 明朝" w:hAnsi="ＭＳ 明朝"/>
    </w:rPr>
  </w:style>
  <w:style w:type="paragraph" w:customStyle="1" w:styleId="en5">
    <w:name w:val="目次章（en）"/>
    <w:basedOn w:val="ja5"/>
    <w:rsid w:val="00175F05"/>
    <w:rPr>
      <w:rFonts w:ascii="Century" w:eastAsia="Century" w:hAnsi="Century"/>
    </w:rPr>
  </w:style>
  <w:style w:type="paragraph" w:customStyle="1" w:styleId="ja6">
    <w:name w:val="目次節（ja）"/>
    <w:basedOn w:val="a"/>
    <w:rsid w:val="00175F05"/>
    <w:pPr>
      <w:widowControl w:val="0"/>
      <w:ind w:left="659" w:hanging="219"/>
    </w:pPr>
    <w:rPr>
      <w:rFonts w:ascii="ＭＳ 明朝" w:eastAsia="ＭＳ 明朝" w:hAnsi="ＭＳ 明朝"/>
    </w:rPr>
  </w:style>
  <w:style w:type="paragraph" w:customStyle="1" w:styleId="en6">
    <w:name w:val="目次節（en）"/>
    <w:basedOn w:val="ja6"/>
    <w:rsid w:val="00175F05"/>
    <w:rPr>
      <w:rFonts w:ascii="Century" w:eastAsia="Century" w:hAnsi="Century"/>
    </w:rPr>
  </w:style>
  <w:style w:type="paragraph" w:customStyle="1" w:styleId="ja7">
    <w:name w:val="目次款（ja）"/>
    <w:basedOn w:val="a"/>
    <w:rsid w:val="00175F05"/>
    <w:pPr>
      <w:widowControl w:val="0"/>
      <w:ind w:left="879" w:hanging="219"/>
    </w:pPr>
    <w:rPr>
      <w:rFonts w:ascii="ＭＳ 明朝" w:eastAsia="ＭＳ 明朝" w:hAnsi="ＭＳ 明朝" w:cs="Kochi Mincho"/>
    </w:rPr>
  </w:style>
  <w:style w:type="paragraph" w:customStyle="1" w:styleId="en7">
    <w:name w:val="目次款（en）"/>
    <w:basedOn w:val="ja7"/>
    <w:rsid w:val="00175F05"/>
    <w:rPr>
      <w:rFonts w:ascii="Century" w:eastAsia="Century" w:hAnsi="Century"/>
    </w:rPr>
  </w:style>
  <w:style w:type="paragraph" w:customStyle="1" w:styleId="ja8">
    <w:name w:val="別表名（ja）"/>
    <w:basedOn w:val="a"/>
    <w:rsid w:val="00175F05"/>
    <w:pPr>
      <w:widowControl w:val="0"/>
      <w:ind w:left="100" w:hangingChars="100" w:hanging="100"/>
    </w:pPr>
    <w:rPr>
      <w:rFonts w:ascii="ＭＳ 明朝" w:eastAsia="ＭＳ 明朝" w:hAnsi="ＭＳ 明朝" w:cs="ＭＳ 明朝"/>
    </w:rPr>
  </w:style>
  <w:style w:type="paragraph" w:customStyle="1" w:styleId="en8">
    <w:name w:val="別表名（en）"/>
    <w:basedOn w:val="ja8"/>
    <w:rsid w:val="00175F05"/>
    <w:rPr>
      <w:rFonts w:ascii="Century" w:eastAsia="Century" w:hAnsi="Century" w:cs="Century"/>
    </w:rPr>
  </w:style>
  <w:style w:type="paragraph" w:customStyle="1" w:styleId="ja9">
    <w:name w:val="目（ja）"/>
    <w:basedOn w:val="a"/>
    <w:rsid w:val="00175F05"/>
    <w:pPr>
      <w:widowControl w:val="0"/>
      <w:ind w:left="1541" w:hanging="221"/>
    </w:pPr>
    <w:rPr>
      <w:rFonts w:ascii="ＭＳ 明朝" w:eastAsia="ＭＳ 明朝" w:hAnsi="ＭＳ 明朝" w:cs="ＭＳ 明朝"/>
      <w:b/>
    </w:rPr>
  </w:style>
  <w:style w:type="paragraph" w:customStyle="1" w:styleId="en9">
    <w:name w:val="目（en）"/>
    <w:basedOn w:val="ja9"/>
    <w:rsid w:val="00175F05"/>
    <w:rPr>
      <w:rFonts w:ascii="Century" w:eastAsia="Century" w:hAnsi="Century" w:cs="Century"/>
    </w:rPr>
  </w:style>
  <w:style w:type="paragraph" w:customStyle="1" w:styleId="jaa">
    <w:name w:val="見出し（ja）"/>
    <w:basedOn w:val="a"/>
    <w:rsid w:val="00175F05"/>
    <w:pPr>
      <w:widowControl w:val="0"/>
      <w:ind w:left="439" w:hanging="219"/>
    </w:pPr>
    <w:rPr>
      <w:rFonts w:ascii="ＭＳ 明朝" w:eastAsia="ＭＳ 明朝" w:hAnsi="ＭＳ 明朝" w:cs="ＭＳ 明朝"/>
    </w:rPr>
  </w:style>
  <w:style w:type="paragraph" w:customStyle="1" w:styleId="ena">
    <w:name w:val="見出し（en）"/>
    <w:basedOn w:val="jaa"/>
    <w:rsid w:val="00175F05"/>
    <w:rPr>
      <w:rFonts w:ascii="Century" w:eastAsia="Century" w:hAnsi="Century" w:cs="Century"/>
    </w:rPr>
  </w:style>
  <w:style w:type="paragraph" w:styleId="a3">
    <w:name w:val="footer"/>
    <w:basedOn w:val="a"/>
    <w:rsid w:val="00175F0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75F05"/>
    <w:pPr>
      <w:widowControl w:val="0"/>
      <w:ind w:left="1099" w:hanging="219"/>
    </w:pPr>
    <w:rPr>
      <w:rFonts w:ascii="ＭＳ 明朝" w:eastAsia="ＭＳ 明朝" w:hAnsi="ＭＳ 明朝" w:cs="Kochi Mincho"/>
    </w:rPr>
  </w:style>
  <w:style w:type="paragraph" w:customStyle="1" w:styleId="enb">
    <w:name w:val="目次目（en）"/>
    <w:basedOn w:val="jab"/>
    <w:rsid w:val="00175F05"/>
    <w:rPr>
      <w:rFonts w:ascii="Century" w:eastAsia="Century" w:hAnsi="Century"/>
    </w:rPr>
  </w:style>
  <w:style w:type="paragraph" w:customStyle="1" w:styleId="jac">
    <w:name w:val="目次附則（ja）"/>
    <w:basedOn w:val="a"/>
    <w:rsid w:val="00175F05"/>
    <w:pPr>
      <w:widowControl w:val="0"/>
      <w:ind w:left="439" w:hanging="219"/>
    </w:pPr>
    <w:rPr>
      <w:rFonts w:ascii="ＭＳ 明朝" w:eastAsia="ＭＳ 明朝" w:hAnsi="ＭＳ 明朝" w:cs="Kochi Mincho"/>
    </w:rPr>
  </w:style>
  <w:style w:type="paragraph" w:customStyle="1" w:styleId="enc">
    <w:name w:val="目次附則（en）"/>
    <w:basedOn w:val="jac"/>
    <w:rsid w:val="00175F05"/>
    <w:rPr>
      <w:rFonts w:ascii="Century" w:eastAsia="Century" w:hAnsi="Century" w:cs="Century"/>
    </w:rPr>
  </w:style>
  <w:style w:type="paragraph" w:customStyle="1" w:styleId="jad">
    <w:name w:val="目次前文（ja）"/>
    <w:basedOn w:val="jac"/>
    <w:rsid w:val="00175F05"/>
  </w:style>
  <w:style w:type="paragraph" w:customStyle="1" w:styleId="end">
    <w:name w:val="目次前文（en）"/>
    <w:basedOn w:val="enc"/>
    <w:rsid w:val="00175F05"/>
  </w:style>
  <w:style w:type="paragraph" w:customStyle="1" w:styleId="jae">
    <w:name w:val="制定文（ja）"/>
    <w:basedOn w:val="a"/>
    <w:rsid w:val="00175F05"/>
    <w:pPr>
      <w:widowControl w:val="0"/>
      <w:ind w:firstLine="219"/>
    </w:pPr>
    <w:rPr>
      <w:rFonts w:ascii="ＭＳ 明朝" w:eastAsia="ＭＳ 明朝" w:hAnsi="ＭＳ 明朝" w:cs="ＭＳ 明朝"/>
    </w:rPr>
  </w:style>
  <w:style w:type="paragraph" w:customStyle="1" w:styleId="ene">
    <w:name w:val="制定文（en）"/>
    <w:basedOn w:val="jae"/>
    <w:rsid w:val="00175F05"/>
    <w:rPr>
      <w:rFonts w:ascii="Century" w:eastAsia="Century" w:hAnsi="Century" w:cs="Century"/>
    </w:rPr>
  </w:style>
  <w:style w:type="paragraph" w:customStyle="1" w:styleId="jaf">
    <w:name w:val="法令番号（ja）"/>
    <w:basedOn w:val="a"/>
    <w:rsid w:val="00175F05"/>
    <w:pPr>
      <w:widowControl w:val="0"/>
      <w:jc w:val="right"/>
    </w:pPr>
    <w:rPr>
      <w:rFonts w:ascii="ＭＳ 明朝" w:eastAsia="ＭＳ 明朝" w:hAnsi="ＭＳ 明朝" w:cs="Kochi Mincho"/>
    </w:rPr>
  </w:style>
  <w:style w:type="paragraph" w:customStyle="1" w:styleId="enf">
    <w:name w:val="法令番号（en）"/>
    <w:basedOn w:val="jaf"/>
    <w:rsid w:val="00175F05"/>
    <w:rPr>
      <w:rFonts w:ascii="Century" w:eastAsia="Century" w:hAnsi="Century" w:cs="Century"/>
    </w:rPr>
  </w:style>
  <w:style w:type="paragraph" w:customStyle="1" w:styleId="jaf0">
    <w:name w:val="目次（ja）"/>
    <w:basedOn w:val="a"/>
    <w:rsid w:val="00175F05"/>
    <w:rPr>
      <w:rFonts w:ascii="ＭＳ 明朝" w:eastAsia="ＭＳ 明朝" w:hAnsi="ＭＳ 明朝"/>
    </w:rPr>
  </w:style>
  <w:style w:type="paragraph" w:customStyle="1" w:styleId="enf0">
    <w:name w:val="目次（en）"/>
    <w:basedOn w:val="jaf0"/>
    <w:rsid w:val="00175F05"/>
    <w:rPr>
      <w:rFonts w:ascii="Century" w:eastAsia="Century" w:hAnsi="Century"/>
    </w:rPr>
  </w:style>
  <w:style w:type="paragraph" w:customStyle="1" w:styleId="jaf1">
    <w:name w:val="編（ja）"/>
    <w:basedOn w:val="a"/>
    <w:rsid w:val="00175F05"/>
    <w:pPr>
      <w:widowControl w:val="0"/>
      <w:ind w:left="661" w:hanging="221"/>
    </w:pPr>
    <w:rPr>
      <w:rFonts w:ascii="ＭＳ 明朝" w:eastAsia="ＭＳ 明朝" w:hAnsi="ＭＳ 明朝" w:cs="ＭＳ 明朝"/>
      <w:b/>
    </w:rPr>
  </w:style>
  <w:style w:type="paragraph" w:customStyle="1" w:styleId="enf1">
    <w:name w:val="編（en）"/>
    <w:basedOn w:val="jaf1"/>
    <w:rsid w:val="00175F05"/>
    <w:rPr>
      <w:rFonts w:ascii="Century" w:eastAsia="Century" w:hAnsi="Century" w:cs="Century"/>
    </w:rPr>
  </w:style>
  <w:style w:type="paragraph" w:customStyle="1" w:styleId="jaf2">
    <w:name w:val="節（ja）"/>
    <w:basedOn w:val="a"/>
    <w:rsid w:val="00175F05"/>
    <w:pPr>
      <w:widowControl w:val="0"/>
      <w:ind w:left="1101" w:hanging="221"/>
    </w:pPr>
    <w:rPr>
      <w:rFonts w:ascii="ＭＳ 明朝" w:eastAsia="ＭＳ 明朝" w:hAnsi="ＭＳ 明朝" w:cs="ＭＳ 明朝"/>
      <w:b/>
    </w:rPr>
  </w:style>
  <w:style w:type="paragraph" w:customStyle="1" w:styleId="enf2">
    <w:name w:val="節（en）"/>
    <w:basedOn w:val="jaf2"/>
    <w:rsid w:val="00175F05"/>
    <w:rPr>
      <w:rFonts w:ascii="Century" w:eastAsia="Century" w:hAnsi="Century" w:cs="Century"/>
    </w:rPr>
  </w:style>
  <w:style w:type="paragraph" w:customStyle="1" w:styleId="jaf3">
    <w:name w:val="条（ja）"/>
    <w:basedOn w:val="a"/>
    <w:rsid w:val="00175F05"/>
    <w:pPr>
      <w:widowControl w:val="0"/>
      <w:ind w:left="219" w:hanging="219"/>
    </w:pPr>
    <w:rPr>
      <w:rFonts w:ascii="ＭＳ 明朝" w:eastAsia="ＭＳ 明朝" w:hAnsi="ＭＳ 明朝" w:cs="ＭＳ 明朝"/>
    </w:rPr>
  </w:style>
  <w:style w:type="paragraph" w:customStyle="1" w:styleId="enf3">
    <w:name w:val="条（en）"/>
    <w:basedOn w:val="jaf3"/>
    <w:rsid w:val="00175F05"/>
    <w:rPr>
      <w:rFonts w:ascii="Century" w:eastAsia="Century" w:hAnsi="Century" w:cs="Century"/>
    </w:rPr>
  </w:style>
  <w:style w:type="paragraph" w:customStyle="1" w:styleId="jaf4">
    <w:name w:val="項（ja）"/>
    <w:basedOn w:val="a"/>
    <w:rsid w:val="00175F05"/>
    <w:pPr>
      <w:widowControl w:val="0"/>
      <w:ind w:left="219" w:hanging="219"/>
    </w:pPr>
    <w:rPr>
      <w:rFonts w:ascii="ＭＳ 明朝" w:eastAsia="ＭＳ 明朝" w:hAnsi="ＭＳ 明朝" w:cs="ＭＳ 明朝"/>
    </w:rPr>
  </w:style>
  <w:style w:type="paragraph" w:customStyle="1" w:styleId="enf4">
    <w:name w:val="項（en）"/>
    <w:basedOn w:val="jaf4"/>
    <w:rsid w:val="00175F05"/>
    <w:rPr>
      <w:rFonts w:ascii="Century" w:eastAsia="Century" w:hAnsi="Century" w:cs="Century"/>
    </w:rPr>
  </w:style>
  <w:style w:type="paragraph" w:customStyle="1" w:styleId="jaf5">
    <w:name w:val="項　番号なし（ja）"/>
    <w:basedOn w:val="a"/>
    <w:rsid w:val="00175F05"/>
    <w:pPr>
      <w:widowControl w:val="0"/>
      <w:ind w:firstLine="221"/>
    </w:pPr>
    <w:rPr>
      <w:rFonts w:ascii="ＭＳ 明朝" w:eastAsia="ＭＳ 明朝" w:hAnsi="ＭＳ 明朝" w:cs="ＭＳ 明朝"/>
    </w:rPr>
  </w:style>
  <w:style w:type="paragraph" w:customStyle="1" w:styleId="enf5">
    <w:name w:val="項　番号なし（en）"/>
    <w:basedOn w:val="jaf5"/>
    <w:rsid w:val="00175F05"/>
    <w:rPr>
      <w:rFonts w:ascii="Century" w:eastAsia="Century" w:hAnsi="Century" w:cs="Century"/>
    </w:rPr>
  </w:style>
  <w:style w:type="paragraph" w:customStyle="1" w:styleId="jaf6">
    <w:name w:val="号（ja）"/>
    <w:basedOn w:val="a"/>
    <w:rsid w:val="00175F05"/>
    <w:pPr>
      <w:widowControl w:val="0"/>
      <w:ind w:left="439" w:hanging="219"/>
    </w:pPr>
    <w:rPr>
      <w:rFonts w:ascii="ＭＳ 明朝" w:eastAsia="ＭＳ 明朝" w:hAnsi="ＭＳ 明朝" w:cs="ＭＳ 明朝"/>
    </w:rPr>
  </w:style>
  <w:style w:type="paragraph" w:customStyle="1" w:styleId="enf6">
    <w:name w:val="号（en）"/>
    <w:basedOn w:val="jaf6"/>
    <w:rsid w:val="00175F05"/>
    <w:rPr>
      <w:rFonts w:ascii="Century" w:eastAsia="Century" w:hAnsi="Century" w:cs="Century"/>
    </w:rPr>
  </w:style>
  <w:style w:type="paragraph" w:customStyle="1" w:styleId="jaf7">
    <w:name w:val="号　番号なし（ja）"/>
    <w:basedOn w:val="a"/>
    <w:rsid w:val="00175F05"/>
    <w:pPr>
      <w:widowControl w:val="0"/>
      <w:ind w:left="221" w:firstLine="221"/>
    </w:pPr>
    <w:rPr>
      <w:rFonts w:ascii="ＭＳ 明朝" w:eastAsia="ＭＳ 明朝" w:hAnsi="ＭＳ 明朝" w:cs="ＭＳ 明朝"/>
    </w:rPr>
  </w:style>
  <w:style w:type="paragraph" w:customStyle="1" w:styleId="enf7">
    <w:name w:val="号　番号なし（en）"/>
    <w:basedOn w:val="jaf7"/>
    <w:rsid w:val="00175F05"/>
    <w:rPr>
      <w:rFonts w:ascii="Century" w:eastAsia="Century" w:hAnsi="Century" w:cs="Century"/>
    </w:rPr>
  </w:style>
  <w:style w:type="paragraph" w:customStyle="1" w:styleId="jaf8">
    <w:name w:val="備考号（ja）"/>
    <w:basedOn w:val="a"/>
    <w:rsid w:val="00175F05"/>
    <w:pPr>
      <w:widowControl w:val="0"/>
      <w:ind w:left="659" w:hanging="219"/>
    </w:pPr>
    <w:rPr>
      <w:rFonts w:ascii="ＭＳ 明朝" w:eastAsia="ＭＳ 明朝" w:hAnsi="ＭＳ 明朝" w:cs="ＭＳ 明朝"/>
    </w:rPr>
  </w:style>
  <w:style w:type="paragraph" w:customStyle="1" w:styleId="enf8">
    <w:name w:val="備考号（en）"/>
    <w:basedOn w:val="jaf8"/>
    <w:rsid w:val="00175F05"/>
    <w:rPr>
      <w:rFonts w:ascii="Century" w:eastAsia="Century" w:hAnsi="Century" w:cs="Century"/>
    </w:rPr>
  </w:style>
  <w:style w:type="paragraph" w:customStyle="1" w:styleId="jaf9">
    <w:name w:val="号細分（ja）"/>
    <w:basedOn w:val="a"/>
    <w:rsid w:val="00175F05"/>
    <w:pPr>
      <w:widowControl w:val="0"/>
      <w:ind w:left="659" w:hanging="219"/>
    </w:pPr>
    <w:rPr>
      <w:rFonts w:ascii="ＭＳ 明朝" w:eastAsia="ＭＳ 明朝" w:hAnsi="ＭＳ 明朝" w:cs="ＭＳ 明朝"/>
    </w:rPr>
  </w:style>
  <w:style w:type="paragraph" w:customStyle="1" w:styleId="enf9">
    <w:name w:val="号細分（en）"/>
    <w:basedOn w:val="jaf9"/>
    <w:rsid w:val="00175F05"/>
    <w:rPr>
      <w:rFonts w:ascii="Century" w:eastAsia="Century" w:hAnsi="Century" w:cs="Century"/>
    </w:rPr>
  </w:style>
  <w:style w:type="paragraph" w:customStyle="1" w:styleId="jafa">
    <w:name w:val="号細分　番号なし（ja）"/>
    <w:basedOn w:val="a"/>
    <w:rsid w:val="00175F05"/>
    <w:pPr>
      <w:widowControl w:val="0"/>
      <w:ind w:left="439"/>
    </w:pPr>
    <w:rPr>
      <w:rFonts w:ascii="ＭＳ 明朝" w:eastAsia="ＭＳ 明朝" w:hAnsi="ＭＳ 明朝" w:cs="ＭＳ 明朝"/>
    </w:rPr>
  </w:style>
  <w:style w:type="paragraph" w:customStyle="1" w:styleId="enfa">
    <w:name w:val="号細分　番号なし（en）"/>
    <w:basedOn w:val="jafa"/>
    <w:rsid w:val="00175F05"/>
    <w:rPr>
      <w:rFonts w:ascii="Century" w:eastAsia="Century" w:hAnsi="Century" w:cs="Century"/>
    </w:rPr>
  </w:style>
  <w:style w:type="paragraph" w:customStyle="1" w:styleId="jafb">
    <w:name w:val="備考号細分（ja）"/>
    <w:basedOn w:val="a"/>
    <w:rsid w:val="00175F05"/>
    <w:pPr>
      <w:widowControl w:val="0"/>
      <w:ind w:left="1099" w:hanging="439"/>
    </w:pPr>
    <w:rPr>
      <w:rFonts w:ascii="ＭＳ 明朝" w:eastAsia="ＭＳ 明朝" w:hAnsi="ＭＳ 明朝" w:cs="ＭＳ 明朝"/>
    </w:rPr>
  </w:style>
  <w:style w:type="paragraph" w:customStyle="1" w:styleId="enfb">
    <w:name w:val="備考号細分（en）"/>
    <w:basedOn w:val="jafb"/>
    <w:rsid w:val="00175F05"/>
    <w:rPr>
      <w:rFonts w:ascii="Century" w:eastAsia="Century" w:hAnsi="Century" w:cs="Century"/>
    </w:rPr>
  </w:style>
  <w:style w:type="paragraph" w:customStyle="1" w:styleId="jafc">
    <w:name w:val="号細細分（ja）"/>
    <w:basedOn w:val="a"/>
    <w:rsid w:val="00175F05"/>
    <w:pPr>
      <w:widowControl w:val="0"/>
      <w:ind w:left="1099" w:hanging="439"/>
    </w:pPr>
    <w:rPr>
      <w:rFonts w:ascii="ＭＳ 明朝" w:eastAsia="ＭＳ 明朝" w:hAnsi="ＭＳ 明朝" w:cs="ＭＳ 明朝"/>
    </w:rPr>
  </w:style>
  <w:style w:type="paragraph" w:customStyle="1" w:styleId="enfc">
    <w:name w:val="号細細分（en）"/>
    <w:basedOn w:val="jafc"/>
    <w:rsid w:val="00175F05"/>
    <w:rPr>
      <w:rFonts w:ascii="Century" w:eastAsia="Century" w:hAnsi="Century" w:cs="Century"/>
    </w:rPr>
  </w:style>
  <w:style w:type="paragraph" w:customStyle="1" w:styleId="jafd">
    <w:name w:val="号細細分　番号なし（ja）"/>
    <w:basedOn w:val="a"/>
    <w:rsid w:val="00175F05"/>
    <w:pPr>
      <w:widowControl w:val="0"/>
      <w:ind w:left="659"/>
    </w:pPr>
    <w:rPr>
      <w:rFonts w:ascii="ＭＳ 明朝" w:eastAsia="ＭＳ 明朝" w:hAnsi="ＭＳ 明朝" w:cs="ＭＳ 明朝"/>
    </w:rPr>
  </w:style>
  <w:style w:type="paragraph" w:customStyle="1" w:styleId="enfd">
    <w:name w:val="号細細分　番号なし（en）"/>
    <w:basedOn w:val="jafd"/>
    <w:rsid w:val="00175F05"/>
    <w:rPr>
      <w:rFonts w:ascii="Century" w:eastAsia="Century" w:hAnsi="Century" w:cs="Century"/>
    </w:rPr>
  </w:style>
  <w:style w:type="paragraph" w:customStyle="1" w:styleId="jafe">
    <w:name w:val="備考号細細分（ja）"/>
    <w:basedOn w:val="a"/>
    <w:rsid w:val="00175F05"/>
    <w:pPr>
      <w:widowControl w:val="0"/>
      <w:ind w:left="1319" w:hanging="439"/>
    </w:pPr>
    <w:rPr>
      <w:rFonts w:ascii="ＭＳ 明朝" w:eastAsia="ＭＳ 明朝" w:hAnsi="ＭＳ 明朝" w:cs="ＭＳ 明朝"/>
    </w:rPr>
  </w:style>
  <w:style w:type="paragraph" w:customStyle="1" w:styleId="enfe">
    <w:name w:val="備考号細細分（en）"/>
    <w:basedOn w:val="jafe"/>
    <w:rsid w:val="00175F05"/>
    <w:rPr>
      <w:rFonts w:ascii="Century" w:eastAsia="Century" w:hAnsi="Century" w:cs="Century"/>
    </w:rPr>
  </w:style>
  <w:style w:type="paragraph" w:customStyle="1" w:styleId="jaff">
    <w:name w:val="号細細細分（ja）"/>
    <w:basedOn w:val="a"/>
    <w:rsid w:val="00175F05"/>
    <w:pPr>
      <w:widowControl w:val="0"/>
      <w:ind w:left="1319" w:hanging="439"/>
    </w:pPr>
    <w:rPr>
      <w:rFonts w:ascii="ＭＳ 明朝" w:eastAsia="ＭＳ 明朝" w:hAnsi="ＭＳ 明朝" w:cs="ＭＳ 明朝"/>
    </w:rPr>
  </w:style>
  <w:style w:type="paragraph" w:customStyle="1" w:styleId="enff">
    <w:name w:val="号細細細分（en）"/>
    <w:basedOn w:val="jaff"/>
    <w:rsid w:val="00175F05"/>
    <w:rPr>
      <w:rFonts w:ascii="Century" w:eastAsia="Century" w:hAnsi="Century" w:cs="Century"/>
    </w:rPr>
  </w:style>
  <w:style w:type="paragraph" w:customStyle="1" w:styleId="jaff0">
    <w:name w:val="号細細細分　番号なし（ja）"/>
    <w:basedOn w:val="a"/>
    <w:rsid w:val="00175F05"/>
    <w:pPr>
      <w:widowControl w:val="0"/>
      <w:ind w:left="879"/>
    </w:pPr>
    <w:rPr>
      <w:rFonts w:ascii="ＭＳ 明朝" w:eastAsia="ＭＳ 明朝" w:hAnsi="ＭＳ 明朝" w:cs="ＭＳ 明朝"/>
    </w:rPr>
  </w:style>
  <w:style w:type="paragraph" w:customStyle="1" w:styleId="enff0">
    <w:name w:val="号細細細分　番号なし（en）"/>
    <w:basedOn w:val="jaff0"/>
    <w:rsid w:val="00175F05"/>
    <w:rPr>
      <w:rFonts w:ascii="Century" w:eastAsia="Century" w:hAnsi="Century" w:cs="Century"/>
    </w:rPr>
  </w:style>
  <w:style w:type="paragraph" w:customStyle="1" w:styleId="jaff1">
    <w:name w:val="備考号細細細分（ja）"/>
    <w:basedOn w:val="a"/>
    <w:rsid w:val="00175F05"/>
    <w:pPr>
      <w:widowControl w:val="0"/>
      <w:ind w:left="1539" w:hanging="439"/>
    </w:pPr>
    <w:rPr>
      <w:rFonts w:ascii="ＭＳ 明朝" w:eastAsia="ＭＳ 明朝" w:hAnsi="ＭＳ 明朝" w:cs="ＭＳ 明朝"/>
    </w:rPr>
  </w:style>
  <w:style w:type="paragraph" w:customStyle="1" w:styleId="enff1">
    <w:name w:val="備考号細細細分（en）"/>
    <w:basedOn w:val="jaff1"/>
    <w:rsid w:val="00175F05"/>
    <w:rPr>
      <w:rFonts w:ascii="Century" w:eastAsia="Century" w:hAnsi="Century" w:cs="Century"/>
    </w:rPr>
  </w:style>
  <w:style w:type="paragraph" w:customStyle="1" w:styleId="jaff2">
    <w:name w:val="類（ja）"/>
    <w:basedOn w:val="a"/>
    <w:rsid w:val="00175F05"/>
    <w:pPr>
      <w:widowControl w:val="0"/>
      <w:ind w:left="439" w:hanging="219"/>
    </w:pPr>
    <w:rPr>
      <w:rFonts w:ascii="ＭＳ 明朝" w:eastAsia="ＭＳ 明朝" w:hAnsi="ＭＳ 明朝" w:cs="ＭＳ 明朝"/>
    </w:rPr>
  </w:style>
  <w:style w:type="paragraph" w:customStyle="1" w:styleId="enff2">
    <w:name w:val="類（en）"/>
    <w:basedOn w:val="jaff2"/>
    <w:rsid w:val="00175F05"/>
    <w:rPr>
      <w:rFonts w:ascii="Century" w:eastAsia="Century" w:hAnsi="Century" w:cs="Century"/>
    </w:rPr>
  </w:style>
  <w:style w:type="paragraph" w:customStyle="1" w:styleId="jaff3">
    <w:name w:val="公布文（ja）"/>
    <w:basedOn w:val="a"/>
    <w:rsid w:val="00175F05"/>
    <w:pPr>
      <w:widowControl w:val="0"/>
      <w:ind w:firstLine="219"/>
    </w:pPr>
    <w:rPr>
      <w:rFonts w:ascii="ＭＳ 明朝" w:eastAsia="ＭＳ 明朝" w:hAnsi="ＭＳ 明朝" w:cs="ＭＳ 明朝"/>
    </w:rPr>
  </w:style>
  <w:style w:type="paragraph" w:customStyle="1" w:styleId="enff3">
    <w:name w:val="公布文（en）"/>
    <w:basedOn w:val="jaff3"/>
    <w:rsid w:val="00175F05"/>
    <w:rPr>
      <w:rFonts w:ascii="Century" w:eastAsia="Century" w:hAnsi="Century" w:cs="Century"/>
    </w:rPr>
  </w:style>
  <w:style w:type="paragraph" w:customStyle="1" w:styleId="jaen">
    <w:name w:val="表（ja：en）"/>
    <w:basedOn w:val="a"/>
    <w:rsid w:val="00175F05"/>
    <w:pPr>
      <w:widowControl w:val="0"/>
      <w:snapToGrid w:val="0"/>
    </w:pPr>
    <w:rPr>
      <w:rFonts w:ascii="Century" w:eastAsia="ＭＳ 明朝" w:hAnsi="Century"/>
    </w:rPr>
  </w:style>
  <w:style w:type="paragraph" w:customStyle="1" w:styleId="jaff4">
    <w:name w:val="備考（ja）"/>
    <w:basedOn w:val="a"/>
    <w:rsid w:val="00175F05"/>
    <w:pPr>
      <w:widowControl w:val="0"/>
      <w:ind w:left="439" w:hanging="219"/>
    </w:pPr>
    <w:rPr>
      <w:rFonts w:ascii="ＭＳ 明朝" w:eastAsia="ＭＳ 明朝" w:hAnsi="ＭＳ 明朝" w:cs="ＭＳ 明朝"/>
    </w:rPr>
  </w:style>
  <w:style w:type="paragraph" w:customStyle="1" w:styleId="enff4">
    <w:name w:val="備考（en）"/>
    <w:basedOn w:val="jaff4"/>
    <w:rsid w:val="00175F05"/>
    <w:rPr>
      <w:rFonts w:ascii="Century" w:eastAsia="Century" w:hAnsi="Century" w:cs="Century"/>
    </w:rPr>
  </w:style>
  <w:style w:type="paragraph" w:customStyle="1" w:styleId="jaff5">
    <w:name w:val="表タイトル（ja）"/>
    <w:basedOn w:val="a"/>
    <w:rsid w:val="00175F05"/>
    <w:pPr>
      <w:widowControl w:val="0"/>
      <w:ind w:left="219"/>
    </w:pPr>
    <w:rPr>
      <w:rFonts w:ascii="ＭＳ 明朝" w:eastAsia="ＭＳ 明朝" w:hAnsi="ＭＳ 明朝" w:cs="ＭＳ 明朝"/>
    </w:rPr>
  </w:style>
  <w:style w:type="paragraph" w:customStyle="1" w:styleId="enff5">
    <w:name w:val="表タイトル（en）"/>
    <w:basedOn w:val="jaff5"/>
    <w:rsid w:val="00175F05"/>
    <w:rPr>
      <w:rFonts w:ascii="Century" w:eastAsia="Century" w:hAnsi="Century" w:cs="Century"/>
    </w:rPr>
  </w:style>
  <w:style w:type="paragraph" w:customStyle="1" w:styleId="jaff6">
    <w:name w:val="改正規定文（ja）"/>
    <w:basedOn w:val="a"/>
    <w:rsid w:val="00175F05"/>
    <w:pPr>
      <w:widowControl w:val="0"/>
      <w:ind w:left="219" w:firstLine="219"/>
    </w:pPr>
    <w:rPr>
      <w:rFonts w:ascii="ＭＳ 明朝" w:eastAsia="ＭＳ 明朝" w:hAnsi="ＭＳ 明朝" w:cs="ＭＳ 明朝"/>
    </w:rPr>
  </w:style>
  <w:style w:type="paragraph" w:customStyle="1" w:styleId="enff6">
    <w:name w:val="改正規定文（en）"/>
    <w:basedOn w:val="jaff6"/>
    <w:rsid w:val="00175F05"/>
    <w:rPr>
      <w:rFonts w:ascii="Century" w:eastAsia="Century" w:hAnsi="Century" w:cs="Century"/>
    </w:rPr>
  </w:style>
  <w:style w:type="paragraph" w:customStyle="1" w:styleId="jaff7">
    <w:name w:val="付記（ja）"/>
    <w:basedOn w:val="a"/>
    <w:rsid w:val="00175F05"/>
    <w:pPr>
      <w:widowControl w:val="0"/>
      <w:ind w:left="219" w:firstLine="219"/>
    </w:pPr>
    <w:rPr>
      <w:rFonts w:ascii="ＭＳ 明朝" w:eastAsia="ＭＳ 明朝" w:hAnsi="ＭＳ 明朝" w:cs="ＭＳ 明朝"/>
    </w:rPr>
  </w:style>
  <w:style w:type="paragraph" w:customStyle="1" w:styleId="enff7">
    <w:name w:val="付記（en）"/>
    <w:basedOn w:val="jaff7"/>
    <w:rsid w:val="00175F05"/>
    <w:rPr>
      <w:rFonts w:ascii="Century" w:eastAsia="Century" w:hAnsi="Century" w:cs="Century"/>
    </w:rPr>
  </w:style>
  <w:style w:type="paragraph" w:customStyle="1" w:styleId="jaff8">
    <w:name w:val="様式名（ja）"/>
    <w:basedOn w:val="a"/>
    <w:rsid w:val="00175F05"/>
    <w:pPr>
      <w:widowControl w:val="0"/>
      <w:ind w:left="439" w:hanging="219"/>
    </w:pPr>
    <w:rPr>
      <w:rFonts w:ascii="ＭＳ 明朝" w:eastAsia="ＭＳ 明朝" w:hAnsi="ＭＳ 明朝" w:cs="ＭＳ 明朝"/>
    </w:rPr>
  </w:style>
  <w:style w:type="paragraph" w:customStyle="1" w:styleId="enff8">
    <w:name w:val="様式名（en）"/>
    <w:basedOn w:val="jaff8"/>
    <w:rsid w:val="00175F05"/>
    <w:rPr>
      <w:rFonts w:ascii="Century" w:eastAsia="Century" w:hAnsi="Century" w:cs="Century"/>
    </w:rPr>
  </w:style>
  <w:style w:type="paragraph" w:customStyle="1" w:styleId="jaff9">
    <w:name w:val="様式項目（ja）"/>
    <w:basedOn w:val="a"/>
    <w:rsid w:val="00175F05"/>
    <w:pPr>
      <w:widowControl w:val="0"/>
      <w:ind w:left="221" w:firstLine="221"/>
    </w:pPr>
    <w:rPr>
      <w:rFonts w:ascii="ＭＳ 明朝" w:eastAsia="ＭＳ 明朝" w:hAnsi="ＭＳ 明朝" w:cs="ＭＳ 明朝"/>
    </w:rPr>
  </w:style>
  <w:style w:type="paragraph" w:customStyle="1" w:styleId="enff9">
    <w:name w:val="様式項目（en）"/>
    <w:basedOn w:val="jaff9"/>
    <w:rsid w:val="00175F05"/>
    <w:rPr>
      <w:rFonts w:ascii="Century" w:eastAsia="Century" w:hAnsi="Century" w:cs="Century"/>
    </w:rPr>
  </w:style>
  <w:style w:type="table" w:customStyle="1" w:styleId="1">
    <w:name w:val="表1"/>
    <w:rsid w:val="00175F05"/>
    <w:tblPr>
      <w:tblInd w:w="340" w:type="dxa"/>
      <w:tblCellMar>
        <w:top w:w="0" w:type="dxa"/>
        <w:left w:w="0" w:type="dxa"/>
        <w:bottom w:w="0" w:type="dxa"/>
        <w:right w:w="0" w:type="dxa"/>
      </w:tblCellMar>
    </w:tblPr>
  </w:style>
  <w:style w:type="numbering" w:customStyle="1" w:styleId="WW8Num1">
    <w:name w:val="WW8Num1"/>
    <w:rsid w:val="00175F05"/>
    <w:pPr>
      <w:numPr>
        <w:numId w:val="2"/>
      </w:numPr>
    </w:pPr>
  </w:style>
  <w:style w:type="numbering" w:customStyle="1" w:styleId="WW8Num2">
    <w:name w:val="WW8Num2"/>
    <w:rsid w:val="00175F05"/>
    <w:pPr>
      <w:numPr>
        <w:numId w:val="3"/>
      </w:numPr>
    </w:pPr>
  </w:style>
  <w:style w:type="numbering" w:customStyle="1" w:styleId="WW8Num3">
    <w:name w:val="WW8Num3"/>
    <w:rsid w:val="00175F05"/>
    <w:pPr>
      <w:numPr>
        <w:numId w:val="4"/>
      </w:numPr>
    </w:pPr>
  </w:style>
  <w:style w:type="numbering" w:customStyle="1" w:styleId="WW8Num4">
    <w:name w:val="WW8Num4"/>
    <w:rsid w:val="00175F05"/>
    <w:pPr>
      <w:numPr>
        <w:numId w:val="5"/>
      </w:numPr>
    </w:pPr>
  </w:style>
  <w:style w:type="numbering" w:customStyle="1" w:styleId="WW8Num5">
    <w:name w:val="WW8Num5"/>
    <w:rsid w:val="00175F05"/>
    <w:pPr>
      <w:numPr>
        <w:numId w:val="6"/>
      </w:numPr>
    </w:pPr>
  </w:style>
  <w:style w:type="numbering" w:customStyle="1" w:styleId="WW8Num6">
    <w:name w:val="WW8Num6"/>
    <w:rsid w:val="00175F05"/>
    <w:pPr>
      <w:numPr>
        <w:numId w:val="7"/>
      </w:numPr>
    </w:pPr>
  </w:style>
  <w:style w:type="numbering" w:customStyle="1" w:styleId="WW8Num7">
    <w:name w:val="WW8Num7"/>
    <w:rsid w:val="00175F05"/>
    <w:pPr>
      <w:numPr>
        <w:numId w:val="8"/>
      </w:numPr>
    </w:pPr>
  </w:style>
  <w:style w:type="numbering" w:customStyle="1" w:styleId="WW8Num8">
    <w:name w:val="WW8Num8"/>
    <w:rsid w:val="00175F05"/>
    <w:pPr>
      <w:numPr>
        <w:numId w:val="9"/>
      </w:numPr>
    </w:pPr>
  </w:style>
  <w:style w:type="numbering" w:customStyle="1" w:styleId="WW8Num9">
    <w:name w:val="WW8Num9"/>
    <w:rsid w:val="00175F05"/>
    <w:pPr>
      <w:numPr>
        <w:numId w:val="10"/>
      </w:numPr>
    </w:pPr>
  </w:style>
  <w:style w:type="numbering" w:customStyle="1" w:styleId="WW8Num10">
    <w:name w:val="WW8Num10"/>
    <w:rsid w:val="00175F05"/>
    <w:pPr>
      <w:numPr>
        <w:numId w:val="11"/>
      </w:numPr>
    </w:pPr>
  </w:style>
  <w:style w:type="numbering" w:customStyle="1" w:styleId="WW8Num11">
    <w:name w:val="WW8Num11"/>
    <w:rsid w:val="00175F05"/>
    <w:pPr>
      <w:numPr>
        <w:numId w:val="12"/>
      </w:numPr>
    </w:pPr>
  </w:style>
  <w:style w:type="numbering" w:customStyle="1" w:styleId="WW8Num12">
    <w:name w:val="WW8Num12"/>
    <w:rsid w:val="00175F05"/>
    <w:pPr>
      <w:numPr>
        <w:numId w:val="13"/>
      </w:numPr>
    </w:pPr>
  </w:style>
  <w:style w:type="paragraph" w:styleId="a4">
    <w:name w:val="header"/>
    <w:basedOn w:val="a"/>
    <w:link w:val="a5"/>
    <w:uiPriority w:val="99"/>
    <w:unhideWhenUsed/>
    <w:rsid w:val="00DA198C"/>
    <w:pPr>
      <w:tabs>
        <w:tab w:val="center" w:pos="4252"/>
        <w:tab w:val="right" w:pos="8504"/>
      </w:tabs>
      <w:snapToGrid w:val="0"/>
    </w:pPr>
  </w:style>
  <w:style w:type="character" w:customStyle="1" w:styleId="a5">
    <w:name w:val="ヘッダー (文字)"/>
    <w:basedOn w:val="a0"/>
    <w:link w:val="a4"/>
    <w:uiPriority w:val="99"/>
    <w:rsid w:val="00DA198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824</Words>
  <Characters>4703</Characters>
  <Application>Microsoft Office Word</Application>
  <DocSecurity>0</DocSecurity>
  <Lines>39</Lines>
  <Paragraphs>11</Paragraphs>
  <ScaleCrop>false</ScaleCrop>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2022-01-04T06:30:00Z</dcterms:created>
  <dcterms:modified xsi:type="dcterms:W3CDTF">2022-01-04T06:30:00Z</dcterms:modified>
</cp:coreProperties>
</file>