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DBA" w:rsidRDefault="003B60BA">
      <w:pPr>
        <w:pStyle w:val="ja"/>
      </w:pPr>
      <w:r>
        <w:t>高年齢者等の雇用の安定等に関する法律</w:t>
      </w:r>
    </w:p>
    <w:p w:rsidR="00A91DBA" w:rsidRDefault="00A91DBA"/>
    <w:p w:rsidR="00A91DBA" w:rsidRDefault="003B60BA">
      <w:pPr>
        <w:pStyle w:val="jaf"/>
      </w:pPr>
      <w:r>
        <w:t>（昭和四十六年五月二十五日法律第六十八号）</w:t>
      </w:r>
    </w:p>
    <w:p w:rsidR="00A91DBA" w:rsidRDefault="00A91DBA"/>
    <w:p w:rsidR="00A91DBA" w:rsidRDefault="003B60BA">
      <w:pPr>
        <w:pStyle w:val="ja3"/>
      </w:pPr>
      <w:r>
        <w:t>第一章　総則</w:t>
      </w:r>
    </w:p>
    <w:p w:rsidR="00A91DBA" w:rsidRDefault="00A91DBA"/>
    <w:p w:rsidR="00A91DBA" w:rsidRDefault="003B60BA">
      <w:pPr>
        <w:pStyle w:val="jaa"/>
      </w:pPr>
      <w:r>
        <w:t>（目的）</w:t>
      </w:r>
    </w:p>
    <w:p w:rsidR="00A91DBA" w:rsidRDefault="003B60BA">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A91DBA" w:rsidRDefault="00A91DBA"/>
    <w:p w:rsidR="00A91DBA" w:rsidRDefault="003B60BA">
      <w:pPr>
        <w:pStyle w:val="jaa"/>
      </w:pPr>
      <w:r>
        <w:t>（定義）</w:t>
      </w:r>
    </w:p>
    <w:p w:rsidR="00A91DBA" w:rsidRDefault="003B60BA">
      <w:pPr>
        <w:pStyle w:val="jaf3"/>
      </w:pPr>
      <w:r>
        <w:t>第二条　この法律において「高年齢者」とは、厚生労働省令で定める年齢以上の者をいう。</w:t>
      </w:r>
    </w:p>
    <w:p w:rsidR="00A91DBA" w:rsidRDefault="003B60BA">
      <w:pPr>
        <w:pStyle w:val="jaf4"/>
      </w:pPr>
      <w:r>
        <w:t>２　この法律において「高年齢者等」とは、高年齢者及び次に掲げる者で高年齢者に該当しないものをいう。</w:t>
      </w:r>
    </w:p>
    <w:p w:rsidR="00A91DBA" w:rsidRDefault="003B60BA">
      <w:pPr>
        <w:pStyle w:val="jaf6"/>
      </w:pPr>
      <w:r>
        <w:t>一　中高</w:t>
      </w:r>
      <w:r>
        <w:t>年齢者（厚生労働省令で定める年齢以上の者をいう。次項において同じ。）である求職者（次号に掲げる者を除く。）</w:t>
      </w:r>
    </w:p>
    <w:p w:rsidR="00A91DBA" w:rsidRDefault="003B60BA">
      <w:pPr>
        <w:pStyle w:val="jaf6"/>
      </w:pPr>
      <w:r>
        <w:t>二　中高年齢失業者等（厚生労働省令で定める範囲の年齢の失業者その他就職が特に困難な厚生労働省令で定める失業者をいう。第三章第三節において同じ。）</w:t>
      </w:r>
    </w:p>
    <w:p w:rsidR="00A91DBA" w:rsidRDefault="003B60BA">
      <w:pPr>
        <w:pStyle w:val="jaf4"/>
      </w:pPr>
      <w:r>
        <w:t>３　この法律において「特定地域」とは、中高年齢者である失業者が就職することが著しく困難である地域として厚生労働大臣が指定する地域をいう。</w:t>
      </w:r>
    </w:p>
    <w:p w:rsidR="00A91DBA" w:rsidRDefault="00A91DBA"/>
    <w:p w:rsidR="00A91DBA" w:rsidRDefault="003B60BA">
      <w:pPr>
        <w:pStyle w:val="jaa"/>
      </w:pPr>
      <w:r>
        <w:t>（基本的理念）</w:t>
      </w:r>
    </w:p>
    <w:p w:rsidR="00A91DBA" w:rsidRDefault="003B60BA">
      <w:pPr>
        <w:pStyle w:val="jaf3"/>
      </w:pPr>
      <w:r>
        <w:t>第三条　高年齢者等は、その職業生活の全期間を通じて、その意欲及び能力に応じ、雇用の機会その他の多様な就</w:t>
      </w:r>
      <w:r>
        <w:t>業の機会が確保され、職業生活の充実が図られるように配慮されるものとする。</w:t>
      </w:r>
    </w:p>
    <w:p w:rsidR="00A91DBA" w:rsidRDefault="003B60BA">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A91DBA" w:rsidRDefault="00A91DBA"/>
    <w:p w:rsidR="00A91DBA" w:rsidRDefault="003B60BA">
      <w:pPr>
        <w:pStyle w:val="jaa"/>
      </w:pPr>
      <w:r>
        <w:t>（事業主の責務）</w:t>
      </w:r>
    </w:p>
    <w:p w:rsidR="00A91DBA" w:rsidRDefault="003B60BA">
      <w:pPr>
        <w:pStyle w:val="jaf3"/>
      </w:pPr>
      <w:r>
        <w:t>第四条　事業主は、その雇用する高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w:t>
      </w:r>
      <w:r>
        <w:t>会の確保等が図られるよう努めるものとする。</w:t>
      </w:r>
    </w:p>
    <w:p w:rsidR="00A91DBA" w:rsidRDefault="003B60BA">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A91DBA" w:rsidRDefault="00A91DBA"/>
    <w:p w:rsidR="00A91DBA" w:rsidRDefault="003B60BA">
      <w:pPr>
        <w:pStyle w:val="jaa"/>
      </w:pPr>
      <w:r>
        <w:t>（国及び地方公共団体の責務）</w:t>
      </w:r>
    </w:p>
    <w:p w:rsidR="00A91DBA" w:rsidRDefault="003B60BA">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w:t>
      </w:r>
      <w:r>
        <w:t>う等、高年齢者等の意欲及び能力に応じた雇用の機会その他の多様な就業の機会の確保等を図るために必要な施策を総合的かつ効果的に推進するように努めるものとする。</w:t>
      </w:r>
    </w:p>
    <w:p w:rsidR="00A91DBA" w:rsidRDefault="00A91DBA"/>
    <w:p w:rsidR="00A91DBA" w:rsidRDefault="003B60BA">
      <w:pPr>
        <w:pStyle w:val="jaa"/>
      </w:pPr>
      <w:r>
        <w:t>（高年齢者等職業安定対策基本方針）</w:t>
      </w:r>
    </w:p>
    <w:p w:rsidR="00A91DBA" w:rsidRDefault="003B60BA">
      <w:pPr>
        <w:pStyle w:val="jaf3"/>
      </w:pPr>
      <w:r>
        <w:t>第六条　厚生労働大臣は、高年齢者等の職業の安定に関する施策の基本となるべき方針（以下「高年齢者等職業安定対策基本方針」という。）を策定するものとする。</w:t>
      </w:r>
    </w:p>
    <w:p w:rsidR="00A91DBA" w:rsidRDefault="003B60BA">
      <w:pPr>
        <w:pStyle w:val="jaf4"/>
      </w:pPr>
      <w:r>
        <w:t>２　高年齢者等職業安定対策基本方針に定める事項は、次のとおりとする。</w:t>
      </w:r>
    </w:p>
    <w:p w:rsidR="00A91DBA" w:rsidRDefault="003B60BA">
      <w:pPr>
        <w:pStyle w:val="jaf6"/>
      </w:pPr>
      <w:r>
        <w:t>一　高年齢者等の就業の動向に関する事項</w:t>
      </w:r>
    </w:p>
    <w:p w:rsidR="00A91DBA" w:rsidRDefault="003B60BA">
      <w:pPr>
        <w:pStyle w:val="jaf6"/>
      </w:pPr>
      <w:r>
        <w:t>二　高年齢者の雇用の機会の増大の目標に関する事項</w:t>
      </w:r>
    </w:p>
    <w:p w:rsidR="00A91DBA" w:rsidRDefault="003B60BA">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A91DBA" w:rsidRDefault="003B60BA">
      <w:pPr>
        <w:pStyle w:val="jaf6"/>
      </w:pPr>
      <w:r>
        <w:t>四　第九条に規定する高年齢者雇用確保措置の円滑な実施を図るため講じようとする施策の基本となるべき事項</w:t>
      </w:r>
    </w:p>
    <w:p w:rsidR="00A91DBA" w:rsidRDefault="003B60BA">
      <w:pPr>
        <w:pStyle w:val="jaf6"/>
      </w:pPr>
      <w:r>
        <w:t>五　高年齢者等の再就職の促進のため講じようとする施策の基本となるべき事項</w:t>
      </w:r>
    </w:p>
    <w:p w:rsidR="00A91DBA" w:rsidRDefault="003B60BA">
      <w:pPr>
        <w:pStyle w:val="jaf6"/>
      </w:pPr>
      <w:r>
        <w:t>六　前各号に掲げるもののほか、高年齢者等の</w:t>
      </w:r>
      <w:r>
        <w:t>職業の安定を図るため講じようとする施策の基本となるべき事項</w:t>
      </w:r>
    </w:p>
    <w:p w:rsidR="00A91DBA" w:rsidRDefault="003B60BA">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A91DBA" w:rsidRDefault="003B60BA">
      <w:pPr>
        <w:pStyle w:val="jaf4"/>
      </w:pPr>
      <w:r>
        <w:t>４　厚生労働大臣は、高年齢者等職業安定対策基本方針を定めたときは、遅滞なく、その概要を公表しなければならない。</w:t>
      </w:r>
    </w:p>
    <w:p w:rsidR="00A91DBA" w:rsidRDefault="003B60BA">
      <w:pPr>
        <w:pStyle w:val="jaf4"/>
      </w:pPr>
      <w:r>
        <w:t>５　前二項の規定は、高年齢者等職業安定対策基本方針の変更について準用する。</w:t>
      </w:r>
    </w:p>
    <w:p w:rsidR="00A91DBA" w:rsidRDefault="00A91DBA"/>
    <w:p w:rsidR="00A91DBA" w:rsidRDefault="003B60BA">
      <w:pPr>
        <w:pStyle w:val="jaa"/>
      </w:pPr>
      <w:r>
        <w:t>（適用除外）</w:t>
      </w:r>
    </w:p>
    <w:p w:rsidR="00A91DBA" w:rsidRDefault="003B60BA">
      <w:pPr>
        <w:pStyle w:val="jaf3"/>
      </w:pPr>
      <w:r>
        <w:t>第七条　この法律は、船員職業安定法（昭和二十三年法律第百三十号）第六条第一項に規定</w:t>
      </w:r>
      <w:r>
        <w:t>する船員については、適用しない。</w:t>
      </w:r>
    </w:p>
    <w:p w:rsidR="00A91DBA" w:rsidRDefault="003B60BA">
      <w:pPr>
        <w:pStyle w:val="jaf4"/>
      </w:pPr>
      <w:r>
        <w:t>２　前条、次章、第三章第二節、第四十九条及び第五十二条の規定は、国家公務員及び地方公務員については、適用しない。</w:t>
      </w:r>
    </w:p>
    <w:p w:rsidR="00A91DBA" w:rsidRDefault="00A91DBA"/>
    <w:p w:rsidR="00A91DBA" w:rsidRDefault="003B60BA">
      <w:pPr>
        <w:pStyle w:val="ja3"/>
      </w:pPr>
      <w:r>
        <w:t>第二章　定年の引上げ、継続雇用制度の導入等による高年齢者の安定した雇用の確保の促進</w:t>
      </w:r>
    </w:p>
    <w:p w:rsidR="00A91DBA" w:rsidRDefault="00A91DBA"/>
    <w:p w:rsidR="00A91DBA" w:rsidRDefault="003B60BA">
      <w:pPr>
        <w:pStyle w:val="jaa"/>
      </w:pPr>
      <w:r>
        <w:t>（定年を定める場合の年齢）</w:t>
      </w:r>
    </w:p>
    <w:p w:rsidR="00A91DBA" w:rsidRDefault="003B60BA">
      <w:pPr>
        <w:pStyle w:val="jaf3"/>
      </w:pPr>
      <w:r>
        <w:t>第八条　事業主がその雇用する労働者の定年（以下単に「定年」という。）の定めをす</w:t>
      </w:r>
      <w:r>
        <w:lastRenderedPageBreak/>
        <w:t>る場合には、当該定年は、六十歳を下回ることができない。ただし、当該事業主が雇用する労働者のうち、高年齢者が従事することが困難であると認められる業務として厚生労働省令で定め</w:t>
      </w:r>
      <w:r>
        <w:t>る業務に従事している労働者については、この限りでない。</w:t>
      </w:r>
    </w:p>
    <w:p w:rsidR="00A91DBA" w:rsidRDefault="00A91DBA"/>
    <w:p w:rsidR="00A91DBA" w:rsidRDefault="003B60BA">
      <w:pPr>
        <w:pStyle w:val="jaa"/>
      </w:pPr>
      <w:r>
        <w:t>（高年齢者雇用確保措置）</w:t>
      </w:r>
    </w:p>
    <w:p w:rsidR="00A91DBA" w:rsidRDefault="003B60BA">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用確保措置」という。）のいずれかを講じなければならない。</w:t>
      </w:r>
    </w:p>
    <w:p w:rsidR="00A91DBA" w:rsidRDefault="003B60BA">
      <w:pPr>
        <w:pStyle w:val="jaf6"/>
      </w:pPr>
      <w:r>
        <w:t>一　当該定年の引上げ</w:t>
      </w:r>
    </w:p>
    <w:p w:rsidR="00A91DBA" w:rsidRDefault="003B60BA">
      <w:pPr>
        <w:pStyle w:val="jaf6"/>
      </w:pPr>
      <w:r>
        <w:t>二　継続雇用制度（現に雇用している高年齢者が希望するときは、当該高年齢者をその定年後も引き続いて雇用する制度をいう。以下同じ。）の導入</w:t>
      </w:r>
    </w:p>
    <w:p w:rsidR="00A91DBA" w:rsidRDefault="003B60BA">
      <w:pPr>
        <w:pStyle w:val="jaf6"/>
      </w:pPr>
      <w:r>
        <w:t>三　当該定年の定め</w:t>
      </w:r>
      <w:r>
        <w:t>の廃止</w:t>
      </w:r>
    </w:p>
    <w:p w:rsidR="00A91DBA" w:rsidRDefault="003B60BA">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において同じ。）との間で、当該事業主の雇用する高年齢者であつてその定年後に雇用されることを希望するものをその定年後に当該特殊関係事業主が引き続いて雇用することを約する契約を締結し、当該契約に基づき当該高年齢者の雇用を確保する制度が含まれるものとする。</w:t>
      </w:r>
    </w:p>
    <w:p w:rsidR="00A91DBA" w:rsidRDefault="003B60BA">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A91DBA" w:rsidRDefault="003B60BA">
      <w:pPr>
        <w:pStyle w:val="jaf4"/>
      </w:pPr>
      <w:r>
        <w:t>４　第六条第三項及び第四項の規定は、指針の策定及び変更について準用する。</w:t>
      </w:r>
    </w:p>
    <w:p w:rsidR="00A91DBA" w:rsidRDefault="00A91DBA"/>
    <w:p w:rsidR="00A91DBA" w:rsidRDefault="003B60BA">
      <w:pPr>
        <w:pStyle w:val="jaa"/>
      </w:pPr>
      <w:r>
        <w:t>（公表等）</w:t>
      </w:r>
    </w:p>
    <w:p w:rsidR="00A91DBA" w:rsidRDefault="003B60BA">
      <w:pPr>
        <w:pStyle w:val="jaf3"/>
      </w:pPr>
      <w:r>
        <w:t>第十条　厚生労働大臣は、前条第一項の規定に違反している事業主に対し、必要な指導及び助言をすることができる。</w:t>
      </w:r>
    </w:p>
    <w:p w:rsidR="00A91DBA" w:rsidRDefault="003B60BA">
      <w:pPr>
        <w:pStyle w:val="jaf4"/>
      </w:pPr>
      <w:r>
        <w:t>２　厚生労働大臣は、前項の規定による指導又は助言をした場合において、その事業主がなお前条第一</w:t>
      </w:r>
      <w:r>
        <w:t>項の規定に違反していると認めるときは、当該事業主に対し、高年齢者雇用確保措置を講ずべきことを勧告することができる。</w:t>
      </w:r>
    </w:p>
    <w:p w:rsidR="00A91DBA" w:rsidRDefault="003B60BA">
      <w:pPr>
        <w:pStyle w:val="jaf4"/>
      </w:pPr>
      <w:r>
        <w:t>３　厚生労働大臣は、前項の規定による勧告をした場合において、その勧告を受けた者がこれに従わなかつたときは、その旨を公表することができる。</w:t>
      </w:r>
    </w:p>
    <w:p w:rsidR="00A91DBA" w:rsidRDefault="00A91DBA"/>
    <w:p w:rsidR="00A91DBA" w:rsidRDefault="003B60BA">
      <w:pPr>
        <w:pStyle w:val="jaa"/>
      </w:pPr>
      <w:r>
        <w:t>（高年齢者雇用推進者）</w:t>
      </w:r>
    </w:p>
    <w:p w:rsidR="00A91DBA" w:rsidRDefault="003B60BA">
      <w:pPr>
        <w:pStyle w:val="jaf3"/>
      </w:pPr>
      <w:r>
        <w:t>第十一条　事業主は、厚生労働省令で定めるところにより、高年齢者雇用確保措置を推進するため、作業施設の改善その他の諸条件の整備を図るための業務を担当する者を選任するように努めなければならない。</w:t>
      </w:r>
    </w:p>
    <w:p w:rsidR="00A91DBA" w:rsidRDefault="00A91DBA"/>
    <w:p w:rsidR="00A91DBA" w:rsidRDefault="003B60BA">
      <w:pPr>
        <w:pStyle w:val="ja3"/>
      </w:pPr>
      <w:r>
        <w:t>第三章　高年齢者等の再就職の促進等</w:t>
      </w:r>
    </w:p>
    <w:p w:rsidR="00A91DBA" w:rsidRDefault="003B60BA">
      <w:pPr>
        <w:pStyle w:val="jaf2"/>
      </w:pPr>
      <w:r>
        <w:t>第一節　国による高年齢者等の再就職の促進等</w:t>
      </w:r>
    </w:p>
    <w:p w:rsidR="00A91DBA" w:rsidRDefault="00A91DBA"/>
    <w:p w:rsidR="00A91DBA" w:rsidRDefault="003B60BA">
      <w:pPr>
        <w:pStyle w:val="jaa"/>
      </w:pPr>
      <w:r>
        <w:t>（再就職の促進等の措置の効果的な推進）</w:t>
      </w:r>
    </w:p>
    <w:p w:rsidR="00A91DBA" w:rsidRDefault="003B60BA">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A91DBA" w:rsidRDefault="00A91DBA"/>
    <w:p w:rsidR="00A91DBA" w:rsidRDefault="003B60BA">
      <w:pPr>
        <w:pStyle w:val="jaa"/>
      </w:pPr>
      <w:r>
        <w:t>（求人の開拓等）</w:t>
      </w:r>
    </w:p>
    <w:p w:rsidR="00A91DBA" w:rsidRDefault="003B60BA">
      <w:pPr>
        <w:pStyle w:val="jaf3"/>
      </w:pPr>
      <w:r>
        <w:t>第十三条　公共職業安定所は、高年齢者等の再就職の促進等を図るため、高年齢者等の雇用の機会が確保されるように求人の開拓等を行うとともに、高年齢者等に係る求人及び求職に関する情報を収集し、並びに高年齢者等であ</w:t>
      </w:r>
      <w:r>
        <w:t>る求職者及び事業主に対して提供するように努めるものとする。</w:t>
      </w:r>
    </w:p>
    <w:p w:rsidR="00A91DBA" w:rsidRDefault="00A91DBA"/>
    <w:p w:rsidR="00A91DBA" w:rsidRDefault="003B60BA">
      <w:pPr>
        <w:pStyle w:val="jaa"/>
      </w:pPr>
      <w:r>
        <w:t>（求人者等に対する指導及び援助）</w:t>
      </w:r>
    </w:p>
    <w:p w:rsidR="00A91DBA" w:rsidRDefault="003B60BA">
      <w:pPr>
        <w:pStyle w:val="jaf3"/>
      </w:pPr>
      <w:r>
        <w:t>第十四条　公共職業安定所は、高年齢者等にその能力に適合する職業を紹介するため必要があるときは、求人者に対して、年齢その他の求人の条件について指導するものとする。</w:t>
      </w:r>
    </w:p>
    <w:p w:rsidR="00A91DBA" w:rsidRDefault="003B60BA">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ことができる。</w:t>
      </w:r>
    </w:p>
    <w:p w:rsidR="00A91DBA" w:rsidRDefault="00A91DBA"/>
    <w:p w:rsidR="00A91DBA" w:rsidRDefault="003B60BA">
      <w:pPr>
        <w:pStyle w:val="jaf2"/>
      </w:pPr>
      <w:r>
        <w:t>第二節　事業主による高年齢者等の再就職の援助等</w:t>
      </w:r>
    </w:p>
    <w:p w:rsidR="00A91DBA" w:rsidRDefault="00A91DBA"/>
    <w:p w:rsidR="00A91DBA" w:rsidRDefault="003B60BA">
      <w:pPr>
        <w:pStyle w:val="jaa"/>
      </w:pPr>
      <w:r>
        <w:t>（再就</w:t>
      </w:r>
      <w:r>
        <w:t>職援助措置）</w:t>
      </w:r>
    </w:p>
    <w:p w:rsidR="00A91DBA" w:rsidRDefault="003B60BA">
      <w:pPr>
        <w:pStyle w:val="jaf3"/>
      </w:pPr>
      <w:r>
        <w:t>第十五条　事業主は、その雇用する高年齢者等（厚生労働省令で定める者に限る。以下この節において同じ。）が解雇（自己の責めに帰すべき理由によるものを除く。）その他これに類するものとして厚生労働省令で定める理由（以下「解雇等」という。）により離職する場合において、当該高年齢者等が再就職を希望するときは、求人の開拓その他当該高年齢者等の再就職の援助に関し必要な措置（以下「再就職援助措置」という。）を講ずるように努めなければならない。</w:t>
      </w:r>
    </w:p>
    <w:p w:rsidR="00A91DBA" w:rsidRDefault="003B60BA">
      <w:pPr>
        <w:pStyle w:val="jaf4"/>
      </w:pPr>
      <w:r>
        <w:t>２　公共職業安定所は、前項の規定により事業主が講ずべき再就職援助措置について、当該事業主の求めに応じて、必要な助言その他の援助を行うものとする。</w:t>
      </w:r>
    </w:p>
    <w:p w:rsidR="00A91DBA" w:rsidRDefault="00A91DBA"/>
    <w:p w:rsidR="00A91DBA" w:rsidRDefault="003B60BA">
      <w:pPr>
        <w:pStyle w:val="jaa"/>
      </w:pPr>
      <w:r>
        <w:t>（多数離職の届出）</w:t>
      </w:r>
    </w:p>
    <w:p w:rsidR="00A91DBA" w:rsidRDefault="003B60BA">
      <w:pPr>
        <w:pStyle w:val="jaf3"/>
      </w:pPr>
      <w:r>
        <w:t>第十六条　事業主は、その雇用する高年齢者等のうち厚生労働省令で定める数以上の者が解雇等により離職する場合には、あらかじめ、厚生労働省令で定めるところにより、その旨を公共職業安定所長に届け出なければならない。</w:t>
      </w:r>
    </w:p>
    <w:p w:rsidR="00A91DBA" w:rsidRDefault="003B60BA">
      <w:pPr>
        <w:pStyle w:val="jaf4"/>
      </w:pPr>
      <w:r>
        <w:t>２　前項の場合における離職者の数の算定は、厚生労働省令で定める算定方法により行うものとする。</w:t>
      </w:r>
    </w:p>
    <w:p w:rsidR="00A91DBA" w:rsidRDefault="00A91DBA"/>
    <w:p w:rsidR="00A91DBA" w:rsidRDefault="003B60BA">
      <w:pPr>
        <w:pStyle w:val="jaa"/>
      </w:pPr>
      <w:r>
        <w:t>（求職活動支援書の作成等）</w:t>
      </w:r>
    </w:p>
    <w:p w:rsidR="00A91DBA" w:rsidRDefault="003B60BA">
      <w:pPr>
        <w:pStyle w:val="jaf3"/>
      </w:pPr>
      <w:r>
        <w:t>第十七条　事</w:t>
      </w:r>
      <w:r>
        <w:t>業主は、厚生労働省令で定めるところにより、解雇等により離職することとなつている高年齢者等が希望するときは、その円滑な再就職を促進するため、当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A91DBA" w:rsidRDefault="003B60BA">
      <w:pPr>
        <w:pStyle w:val="jaf4"/>
      </w:pPr>
      <w:r>
        <w:t>２　前項の規定により求職活動支援書を作成した事業主は、その雇用する者のうちから再就職援助担当者を選任し、そ</w:t>
      </w:r>
      <w:r>
        <w:t>の者に、当該求職活動支援書に基づいて、厚生労働省令で定めるところにより、公共職業安定所と協力して、当該求職活動支援書に係る高年齢者等の再就職の援助に関する業務を行わせるものとする。</w:t>
      </w:r>
    </w:p>
    <w:p w:rsidR="00A91DBA" w:rsidRDefault="00A91DBA"/>
    <w:p w:rsidR="00A91DBA" w:rsidRDefault="003B60BA">
      <w:pPr>
        <w:pStyle w:val="jaa"/>
      </w:pPr>
      <w:r>
        <w:t>（指導、助言及び勧告）</w:t>
      </w:r>
    </w:p>
    <w:p w:rsidR="00A91DBA" w:rsidRDefault="003B60BA">
      <w:pPr>
        <w:pStyle w:val="jaf3"/>
      </w:pPr>
      <w:r>
        <w:t>第十七条の二　厚生労働大臣は、前条第一項の規定に違反している事業主に対し、必要な指導及び助言をすることができる。</w:t>
      </w:r>
    </w:p>
    <w:p w:rsidR="00A91DBA" w:rsidRDefault="003B60BA">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w:t>
      </w:r>
      <w:r>
        <w:t>に係る高年齢者等に交付すべきことを勧告することができる。</w:t>
      </w:r>
    </w:p>
    <w:p w:rsidR="00A91DBA" w:rsidRDefault="00A91DBA"/>
    <w:p w:rsidR="00A91DBA" w:rsidRDefault="003B60BA">
      <w:pPr>
        <w:pStyle w:val="jaa"/>
      </w:pPr>
      <w:r>
        <w:t>（求職活動支援書に係る労働者に対する助言その他の援助）</w:t>
      </w:r>
    </w:p>
    <w:p w:rsidR="00A91DBA" w:rsidRDefault="003B60BA">
      <w:pPr>
        <w:pStyle w:val="jaf3"/>
      </w:pPr>
      <w:r>
        <w:t>第十八条　求職活動支援書の交付を受けた労働者は、公共職業安定所に求職の申込みを行うときは、公共職業安定所に、当該求職活動支援書を提示することができる。</w:t>
      </w:r>
    </w:p>
    <w:p w:rsidR="00A91DBA" w:rsidRDefault="003B60BA">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A91DBA" w:rsidRDefault="003B60BA">
      <w:pPr>
        <w:pStyle w:val="jaf4"/>
      </w:pPr>
      <w:r>
        <w:t>３　公共職業安定所長は、前項の</w:t>
      </w:r>
      <w:r>
        <w:t>助言その他の援助を行うに当たり、必要と認めるときは、当該求職活動支援書を作成した事業主に対し、情報の提供その他必要な協力を求めることができる。</w:t>
      </w:r>
    </w:p>
    <w:p w:rsidR="00A91DBA" w:rsidRDefault="00A91DBA"/>
    <w:p w:rsidR="00A91DBA" w:rsidRDefault="003B60BA">
      <w:pPr>
        <w:pStyle w:val="jaa"/>
      </w:pPr>
      <w:r>
        <w:t>（募集及び採用についての理由の提示等）</w:t>
      </w:r>
    </w:p>
    <w:p w:rsidR="00A91DBA" w:rsidRDefault="003B60BA">
      <w:pPr>
        <w:pStyle w:val="jaf3"/>
      </w:pPr>
      <w:r>
        <w:t>第十八条の二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A91DBA" w:rsidRDefault="003B60BA">
      <w:pPr>
        <w:pStyle w:val="jaf4"/>
      </w:pPr>
      <w:r>
        <w:t>２　厚生労働大臣は、前項に規定する理由の提示の有無又は当該理由の内容に関して必要があると</w:t>
      </w:r>
      <w:r>
        <w:t>認めるときは、事業主に対して、報告を求め、又は助言、指導若しくは勧告をすることができる。</w:t>
      </w:r>
    </w:p>
    <w:p w:rsidR="00A91DBA" w:rsidRDefault="00A91DBA"/>
    <w:p w:rsidR="00A91DBA" w:rsidRDefault="003B60BA">
      <w:pPr>
        <w:pStyle w:val="jaa"/>
      </w:pPr>
      <w:r>
        <w:t>（定年退職等の場合の退職準備援助の措置）</w:t>
      </w:r>
    </w:p>
    <w:p w:rsidR="00A91DBA" w:rsidRDefault="003B60BA">
      <w:pPr>
        <w:pStyle w:val="jaf3"/>
      </w:pPr>
      <w:r>
        <w:t>第十九条　事業主は、その雇用する高年齢者が定年その他これに準ずる理由により退職した後においてその希望に応じ職業生活から円滑に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A91DBA" w:rsidRDefault="00A91DBA"/>
    <w:p w:rsidR="00A91DBA" w:rsidRDefault="003B60BA">
      <w:pPr>
        <w:pStyle w:val="jaf2"/>
      </w:pPr>
      <w:r>
        <w:t>第三節　中高年齢失業者等に対する特別措置</w:t>
      </w:r>
    </w:p>
    <w:p w:rsidR="00A91DBA" w:rsidRDefault="00A91DBA"/>
    <w:p w:rsidR="00A91DBA" w:rsidRDefault="003B60BA">
      <w:pPr>
        <w:pStyle w:val="jaa"/>
      </w:pPr>
      <w:r>
        <w:t>（中高年齢失業者等求職手帳の発給）</w:t>
      </w:r>
    </w:p>
    <w:p w:rsidR="00A91DBA" w:rsidRDefault="003B60BA">
      <w:pPr>
        <w:pStyle w:val="jaf3"/>
      </w:pPr>
      <w:r>
        <w:t>第二十条　公共職業安定所長は、中高年齢失業者等であつて、次の各号に該当するものに対して、その者の申請に基づき、中高年齢失業者等求職手帳（以下「手帳」という。）を発給する。</w:t>
      </w:r>
    </w:p>
    <w:p w:rsidR="00A91DBA" w:rsidRDefault="003B60BA">
      <w:pPr>
        <w:pStyle w:val="jaf6"/>
      </w:pPr>
      <w:r>
        <w:t>一　公共職業安定所に求職の申込みをしていること。</w:t>
      </w:r>
    </w:p>
    <w:p w:rsidR="00A91DBA" w:rsidRDefault="003B60BA">
      <w:pPr>
        <w:pStyle w:val="jaf6"/>
      </w:pPr>
      <w:r>
        <w:t>二　誠実かつ熱心に就職活動を行う意欲を有すると認められること。</w:t>
      </w:r>
    </w:p>
    <w:p w:rsidR="00A91DBA" w:rsidRDefault="003B60BA">
      <w:pPr>
        <w:pStyle w:val="jaf6"/>
      </w:pPr>
      <w:r>
        <w:t>三　第二十三条第一項各号に掲げる措置を受ける必要があると認められること。</w:t>
      </w:r>
    </w:p>
    <w:p w:rsidR="00A91DBA" w:rsidRDefault="003B60BA">
      <w:pPr>
        <w:pStyle w:val="jaf6"/>
      </w:pPr>
      <w:r>
        <w:t>四　前三号に掲げるもののほか、生活の状況その他の事項について厚生労働大臣が労働政策審議会の意見を聴いて定める要件に該</w:t>
      </w:r>
      <w:r>
        <w:t>当すること。</w:t>
      </w:r>
    </w:p>
    <w:p w:rsidR="00A91DBA" w:rsidRDefault="00A91DBA"/>
    <w:p w:rsidR="00A91DBA" w:rsidRDefault="003B60BA">
      <w:pPr>
        <w:pStyle w:val="jaa"/>
      </w:pPr>
      <w:r>
        <w:t>（手帳の有効期間）</w:t>
      </w:r>
    </w:p>
    <w:p w:rsidR="00A91DBA" w:rsidRDefault="003B60BA">
      <w:pPr>
        <w:pStyle w:val="jaf3"/>
      </w:pPr>
      <w:r>
        <w:t>第二十一条　手帳は、厚生労働省令で定める期間、その効力を有する。</w:t>
      </w:r>
    </w:p>
    <w:p w:rsidR="00A91DBA" w:rsidRDefault="003B60BA">
      <w:pPr>
        <w:pStyle w:val="jaf4"/>
      </w:pPr>
      <w:r>
        <w:t>２　公共職業安定所長は、手帳の発給を受けた者であつて、前項の手帳の有効期間を経過してもなお就職が困難であり、引き続き第二十三条第一項各号に掲げる措置を実施する必要があると認められるものについて、その手帳の有効期間を厚生労働省令で定める期間延長することができる。</w:t>
      </w:r>
    </w:p>
    <w:p w:rsidR="00A91DBA" w:rsidRDefault="003B60BA">
      <w:pPr>
        <w:pStyle w:val="jaf4"/>
      </w:pPr>
      <w:r>
        <w:t>３　前二項の厚生労働省令で定める期間を定めるに当たつては、特定地域に居住する者について特別の配慮をすることができる。</w:t>
      </w:r>
    </w:p>
    <w:p w:rsidR="00A91DBA" w:rsidRDefault="00A91DBA"/>
    <w:p w:rsidR="00A91DBA" w:rsidRDefault="003B60BA">
      <w:pPr>
        <w:pStyle w:val="jaa"/>
      </w:pPr>
      <w:r>
        <w:t>（手帳の失効）</w:t>
      </w:r>
    </w:p>
    <w:p w:rsidR="00A91DBA" w:rsidRDefault="003B60BA">
      <w:pPr>
        <w:pStyle w:val="jaf3"/>
      </w:pPr>
      <w:r>
        <w:t xml:space="preserve">第二十二条　</w:t>
      </w:r>
      <w:r>
        <w:t>手帳は、公共職業安定所長が当該手帳の発給を受けた者が次の各号のいずれかに該当すると認めたときは、その効力を失う。</w:t>
      </w:r>
    </w:p>
    <w:p w:rsidR="00A91DBA" w:rsidRDefault="003B60BA">
      <w:pPr>
        <w:pStyle w:val="jaf6"/>
      </w:pPr>
      <w:r>
        <w:t>一　新たに安定した職業に就いたとき。</w:t>
      </w:r>
    </w:p>
    <w:p w:rsidR="00A91DBA" w:rsidRDefault="003B60BA">
      <w:pPr>
        <w:pStyle w:val="jaf6"/>
      </w:pPr>
      <w:r>
        <w:t>二　第二十条各号に掲げる要件のいずれかを欠くに至つたとき。</w:t>
      </w:r>
    </w:p>
    <w:p w:rsidR="00A91DBA" w:rsidRDefault="003B60BA">
      <w:pPr>
        <w:pStyle w:val="jaf6"/>
      </w:pPr>
      <w:r>
        <w:t>三　前二号に掲げるもののほか、厚生労働大臣が労働政策審議会の意見を聴いて定める要件に該当するとき。</w:t>
      </w:r>
    </w:p>
    <w:p w:rsidR="00A91DBA" w:rsidRDefault="003B60BA">
      <w:pPr>
        <w:pStyle w:val="jaf4"/>
      </w:pPr>
      <w:r>
        <w:t>２　前項の場合においては、公共職業安定所長は、その旨を当該手帳の発給を受けた者に通知するものとする。</w:t>
      </w:r>
    </w:p>
    <w:p w:rsidR="00A91DBA" w:rsidRDefault="00A91DBA"/>
    <w:p w:rsidR="00A91DBA" w:rsidRDefault="003B60BA">
      <w:pPr>
        <w:pStyle w:val="jaa"/>
      </w:pPr>
      <w:r>
        <w:t>（計画の作成）</w:t>
      </w:r>
    </w:p>
    <w:p w:rsidR="00A91DBA" w:rsidRDefault="003B60BA">
      <w:pPr>
        <w:pStyle w:val="jaf3"/>
      </w:pPr>
      <w:r>
        <w:t>第二十三条　厚生労働大臣は、手帳の発給を受けた者の就職を容易にするため、次の各号に掲げる措置が効果的に関連して実施されるための計画を作成するものとする。</w:t>
      </w:r>
    </w:p>
    <w:p w:rsidR="00A91DBA" w:rsidRDefault="003B60BA">
      <w:pPr>
        <w:pStyle w:val="jaf6"/>
      </w:pPr>
      <w:r>
        <w:t>一　職業指導及び職業紹介</w:t>
      </w:r>
    </w:p>
    <w:p w:rsidR="00A91DBA" w:rsidRDefault="003B60BA">
      <w:pPr>
        <w:pStyle w:val="jaf6"/>
      </w:pPr>
      <w:r>
        <w:t>二　公共職業能力開発施設の行う職業訓練（職業能力開発総合大学校の行うものを含む。）</w:t>
      </w:r>
    </w:p>
    <w:p w:rsidR="00A91DBA" w:rsidRDefault="003B60BA">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けたものが行うものを含む。）</w:t>
      </w:r>
    </w:p>
    <w:p w:rsidR="00A91DBA" w:rsidRDefault="003B60BA">
      <w:pPr>
        <w:pStyle w:val="jaf6"/>
      </w:pPr>
      <w:r>
        <w:t>四　前三号に</w:t>
      </w:r>
      <w:r>
        <w:t>掲げるもののほか、厚生労働省令で定めるもの</w:t>
      </w:r>
    </w:p>
    <w:p w:rsidR="00A91DBA" w:rsidRDefault="003B60BA">
      <w:pPr>
        <w:pStyle w:val="jaf4"/>
      </w:pPr>
      <w:r>
        <w:t>２　厚生労働大臣は、前項の計画を作成しようとする場合には、労働政策審議会の意見を聴かなければならない。</w:t>
      </w:r>
    </w:p>
    <w:p w:rsidR="00A91DBA" w:rsidRDefault="00A91DBA"/>
    <w:p w:rsidR="00A91DBA" w:rsidRDefault="003B60BA">
      <w:pPr>
        <w:pStyle w:val="jaa"/>
      </w:pPr>
      <w:r>
        <w:t>（公共職業安定所長の指示）</w:t>
      </w:r>
    </w:p>
    <w:p w:rsidR="00A91DBA" w:rsidRDefault="003B60BA">
      <w:pPr>
        <w:pStyle w:val="jaf3"/>
      </w:pPr>
      <w:r>
        <w:t>第二十四条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A91DBA" w:rsidRDefault="003B60BA">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A91DBA" w:rsidRDefault="003B60BA">
      <w:pPr>
        <w:pStyle w:val="jaf4"/>
      </w:pPr>
      <w:r>
        <w:t>３　公共職業安定所長は、前二項の指示を受けた者</w:t>
      </w:r>
      <w:r>
        <w:t>の就職促進の措置の効果を高めるために必要があると認めたときは、その者に対する指示を変更することができる。</w:t>
      </w:r>
    </w:p>
    <w:p w:rsidR="00A91DBA" w:rsidRDefault="00A91DBA"/>
    <w:p w:rsidR="00A91DBA" w:rsidRDefault="003B60BA">
      <w:pPr>
        <w:pStyle w:val="jaa"/>
      </w:pPr>
      <w:r>
        <w:t>（関係機関等の責務）</w:t>
      </w:r>
    </w:p>
    <w:p w:rsidR="00A91DBA" w:rsidRDefault="003B60BA">
      <w:pPr>
        <w:pStyle w:val="jaf3"/>
      </w:pPr>
      <w:r>
        <w:t>第二十五条　職業安定機関、地方公共団体及び独立行政法人高齢・障害・求職者雇用支援機構（第四十九条第二項及び第三項において「機構」という。）は、前条第一項又は第二項の指示を受けた者の就職促進の措置の円滑な実施を図るため、相互に密接に連絡し、及び協力するように努めなければならない。</w:t>
      </w:r>
    </w:p>
    <w:p w:rsidR="00A91DBA" w:rsidRDefault="003B60BA">
      <w:pPr>
        <w:pStyle w:val="jaf4"/>
      </w:pPr>
      <w:r>
        <w:t>２　前条第一項又は第二項の指示を受けた者は、その就職促進の措置の実施に当たる職員の指導又は指示に従うと</w:t>
      </w:r>
      <w:r>
        <w:t>ともに、自ら進んで、速やかに職業に就くように努めなければならない。</w:t>
      </w:r>
    </w:p>
    <w:p w:rsidR="00A91DBA" w:rsidRDefault="00A91DBA"/>
    <w:p w:rsidR="00A91DBA" w:rsidRDefault="003B60BA">
      <w:pPr>
        <w:pStyle w:val="jaa"/>
      </w:pPr>
      <w:r>
        <w:t>（手当の支給）</w:t>
      </w:r>
    </w:p>
    <w:p w:rsidR="00A91DBA" w:rsidRDefault="003B60BA">
      <w:pPr>
        <w:pStyle w:val="jaf3"/>
      </w:pPr>
      <w:r>
        <w:t>第二十六条　国及び都道府県は、第二十四条第一項又は第二項の指示を受けて就職促進の措置を受ける者に対して、その就職活動を容易にし、かつ、生活の安定を図るため、手帳の有効期間中、雇用対策法（昭和四十一年法律第百三十二号）の規定に基づき、手当を支給することができる。</w:t>
      </w:r>
    </w:p>
    <w:p w:rsidR="00A91DBA" w:rsidRDefault="00A91DBA"/>
    <w:p w:rsidR="00A91DBA" w:rsidRDefault="003B60BA">
      <w:pPr>
        <w:pStyle w:val="jaa"/>
      </w:pPr>
      <w:r>
        <w:t>（就職促進指導官）</w:t>
      </w:r>
    </w:p>
    <w:p w:rsidR="00A91DBA" w:rsidRDefault="003B60BA">
      <w:pPr>
        <w:pStyle w:val="jaf3"/>
      </w:pPr>
      <w:r>
        <w:t>第二十七条　就職促進の措置としての職業指導は、職業安定法（昭和二十二年法律第百四十一号）第九条の二第一項の就職促進指導官に行わせるものとする。</w:t>
      </w:r>
    </w:p>
    <w:p w:rsidR="00A91DBA" w:rsidRDefault="00A91DBA"/>
    <w:p w:rsidR="00A91DBA" w:rsidRDefault="003B60BA">
      <w:pPr>
        <w:pStyle w:val="jaa"/>
      </w:pPr>
      <w:r>
        <w:t>（報告の請求）</w:t>
      </w:r>
    </w:p>
    <w:p w:rsidR="00A91DBA" w:rsidRDefault="003B60BA">
      <w:pPr>
        <w:pStyle w:val="jaf3"/>
      </w:pPr>
      <w:r>
        <w:t>第二十八条　公共職業安定所長は、第二十四条第一項又は第二項の指示を受けて就職促進の措置を受ける者に対し、その就職活動の状況について報告を求めることができる。</w:t>
      </w:r>
    </w:p>
    <w:p w:rsidR="00A91DBA" w:rsidRDefault="00A91DBA"/>
    <w:p w:rsidR="00A91DBA" w:rsidRDefault="003B60BA">
      <w:pPr>
        <w:pStyle w:val="jaa"/>
      </w:pPr>
      <w:r>
        <w:t>（特定地域における措置）</w:t>
      </w:r>
    </w:p>
    <w:p w:rsidR="00A91DBA" w:rsidRDefault="003B60BA">
      <w:pPr>
        <w:pStyle w:val="jaf3"/>
      </w:pPr>
      <w:r>
        <w:t>第二十九条　厚生労働大臣は、特定地域に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A91DBA" w:rsidRDefault="00A91DBA"/>
    <w:p w:rsidR="00A91DBA" w:rsidRDefault="003B60BA">
      <w:pPr>
        <w:pStyle w:val="jaf3"/>
      </w:pPr>
      <w:r>
        <w:t>第三十条　厚生労働大臣は、特定地域における中高年齢</w:t>
      </w:r>
      <w:r>
        <w:t>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次項において「国等」という。）自ら又は国の負担金の交付を受け、若しくは国庫の補助により地方公共団体等が計画実施する公共的な建設又は復旧の事業をいう。以下同じ。）に</w:t>
      </w:r>
      <w:r>
        <w:t>ついて、その事業種別に従い、職種別又は地域別に、当該事業に使用される労働者の数とそのうちの中高年齢失業者等の数との比率（以下「失業者吸収率」という。）を定めることができる。</w:t>
      </w:r>
    </w:p>
    <w:p w:rsidR="00A91DBA" w:rsidRDefault="003B60BA">
      <w:pPr>
        <w:pStyle w:val="jaf4"/>
      </w:pPr>
      <w:r>
        <w:t>２　失業者吸収率の定められている公共事業を計画実施する国等又は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A91DBA" w:rsidRDefault="003B60BA">
      <w:pPr>
        <w:pStyle w:val="jaf4"/>
      </w:pPr>
      <w:r>
        <w:t>３　公共事業の事業主体等は、前項の</w:t>
      </w:r>
      <w:r>
        <w:t>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A91DBA" w:rsidRDefault="00A91DBA"/>
    <w:p w:rsidR="00A91DBA" w:rsidRDefault="003B60BA">
      <w:pPr>
        <w:pStyle w:val="jaa"/>
      </w:pPr>
      <w:r>
        <w:t>（厚生労働省令への委任）</w:t>
      </w:r>
    </w:p>
    <w:p w:rsidR="00A91DBA" w:rsidRDefault="003B60BA">
      <w:pPr>
        <w:pStyle w:val="jaf3"/>
      </w:pPr>
      <w:r>
        <w:t>第三十一条　この節に定めるもののほか、手帳の発給、手帳の返納その他手帳に関し必要な事項、第二十四条第一項又は第二項の指示の手続に関し必要な事項及び公共事業への中高年齢失業者等の吸収に関し必要な事項は、厚生労働省令で定める。</w:t>
      </w:r>
    </w:p>
    <w:p w:rsidR="00A91DBA" w:rsidRDefault="00A91DBA"/>
    <w:p w:rsidR="00A91DBA" w:rsidRDefault="003B60BA">
      <w:pPr>
        <w:pStyle w:val="ja3"/>
      </w:pPr>
      <w:r>
        <w:t>第四章　削除</w:t>
      </w:r>
    </w:p>
    <w:p w:rsidR="00A91DBA" w:rsidRDefault="00A91DBA"/>
    <w:p w:rsidR="00A91DBA" w:rsidRDefault="003B60BA">
      <w:pPr>
        <w:pStyle w:val="jaf3"/>
      </w:pPr>
      <w:r>
        <w:t>第三十二条　削除</w:t>
      </w:r>
    </w:p>
    <w:p w:rsidR="00A91DBA" w:rsidRDefault="00A91DBA"/>
    <w:p w:rsidR="00A91DBA" w:rsidRDefault="003B60BA">
      <w:pPr>
        <w:pStyle w:val="jaf3"/>
      </w:pPr>
      <w:r>
        <w:t>第三十三条　削除</w:t>
      </w:r>
    </w:p>
    <w:p w:rsidR="00A91DBA" w:rsidRDefault="00A91DBA"/>
    <w:p w:rsidR="00A91DBA" w:rsidRDefault="003B60BA">
      <w:pPr>
        <w:pStyle w:val="jaf3"/>
      </w:pPr>
      <w:r>
        <w:t>第三十四条　削除</w:t>
      </w:r>
    </w:p>
    <w:p w:rsidR="00A91DBA" w:rsidRDefault="00A91DBA"/>
    <w:p w:rsidR="00A91DBA" w:rsidRDefault="003B60BA">
      <w:pPr>
        <w:pStyle w:val="jaf3"/>
      </w:pPr>
      <w:r>
        <w:t>第三十五条　削除</w:t>
      </w:r>
    </w:p>
    <w:p w:rsidR="00A91DBA" w:rsidRDefault="00A91DBA"/>
    <w:p w:rsidR="00A91DBA" w:rsidRDefault="003B60BA">
      <w:pPr>
        <w:pStyle w:val="jaf3"/>
      </w:pPr>
      <w:r>
        <w:t>第三十六条　削除</w:t>
      </w:r>
    </w:p>
    <w:p w:rsidR="00A91DBA" w:rsidRDefault="00A91DBA"/>
    <w:p w:rsidR="00A91DBA" w:rsidRDefault="003B60BA">
      <w:pPr>
        <w:pStyle w:val="jaf3"/>
      </w:pPr>
      <w:r>
        <w:t>第三十七条　削除</w:t>
      </w:r>
    </w:p>
    <w:p w:rsidR="00A91DBA" w:rsidRDefault="00A91DBA"/>
    <w:p w:rsidR="00A91DBA" w:rsidRDefault="003B60BA">
      <w:pPr>
        <w:pStyle w:val="jaf3"/>
      </w:pPr>
      <w:r>
        <w:t>第三十八条　削除</w:t>
      </w:r>
    </w:p>
    <w:p w:rsidR="00A91DBA" w:rsidRDefault="00A91DBA"/>
    <w:p w:rsidR="00A91DBA" w:rsidRDefault="003B60BA">
      <w:pPr>
        <w:pStyle w:val="jaf3"/>
      </w:pPr>
      <w:r>
        <w:t>第三十九条　削除</w:t>
      </w:r>
    </w:p>
    <w:p w:rsidR="00A91DBA" w:rsidRDefault="00A91DBA"/>
    <w:p w:rsidR="00A91DBA" w:rsidRDefault="003B60BA">
      <w:pPr>
        <w:pStyle w:val="ja3"/>
      </w:pPr>
      <w:r>
        <w:t>第五章　定年退職者等に対する就業の機会の確保</w:t>
      </w:r>
    </w:p>
    <w:p w:rsidR="00A91DBA" w:rsidRDefault="00A91DBA"/>
    <w:p w:rsidR="00A91DBA" w:rsidRDefault="003B60BA">
      <w:pPr>
        <w:pStyle w:val="jaa"/>
      </w:pPr>
      <w:r>
        <w:t>（国及び地方公共団体の講ずる措置）</w:t>
      </w:r>
    </w:p>
    <w:p w:rsidR="00A91DBA" w:rsidRDefault="003B60BA">
      <w:pPr>
        <w:pStyle w:val="jaf3"/>
      </w:pPr>
      <w:r>
        <w:t>第四十条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w:t>
      </w:r>
      <w:r>
        <w:t>機会の確保のために必要な措置を講ずるように努めるものとする。</w:t>
      </w:r>
    </w:p>
    <w:p w:rsidR="00A91DBA" w:rsidRDefault="00A91DBA"/>
    <w:p w:rsidR="00A91DBA" w:rsidRDefault="003B60BA">
      <w:pPr>
        <w:pStyle w:val="ja3"/>
      </w:pPr>
      <w:r>
        <w:t>第六章　シルバー人材センター等</w:t>
      </w:r>
    </w:p>
    <w:p w:rsidR="00A91DBA" w:rsidRDefault="003B60BA">
      <w:pPr>
        <w:pStyle w:val="jaf2"/>
      </w:pPr>
      <w:r>
        <w:t>第一節　シルバー人材センター</w:t>
      </w:r>
    </w:p>
    <w:p w:rsidR="00A91DBA" w:rsidRDefault="00A91DBA"/>
    <w:p w:rsidR="00A91DBA" w:rsidRDefault="003B60BA">
      <w:pPr>
        <w:pStyle w:val="jaa"/>
      </w:pPr>
      <w:r>
        <w:t>（指定等）</w:t>
      </w:r>
    </w:p>
    <w:p w:rsidR="00A91DBA" w:rsidRDefault="003B60BA">
      <w:pPr>
        <w:pStyle w:val="jaf3"/>
      </w:pPr>
      <w:r>
        <w:t>第四十一条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w:t>
      </w:r>
      <w:r>
        <w:t>図ることができるようにし、もつて高年齢者の福祉の増進に資することを目的とする一般社団法人又は一般財団法人（次項及び第四十四条第一項において「高年齢者就業援助法人」という。）であつて、次条に規定する業務に関し次に掲げる基準に適合すると認められるものを、その申請により、市町村（特別区を含む。第四十四条において同じ。）の区域（当該地域における臨時的かつ短期的な就業の機会の状況その他の事情を考慮して厚生労働省令で定める基準に従い、次条第一号及び第二号に掲げる業務の円滑な運営を確保するために必要と認められる場合には、</w:t>
      </w:r>
      <w:r>
        <w:t>都道府県知事が指定する二以上の市町村の区域）ごとに一個に限り、同条に規定する業務を行う者として指定することができる。ただし、第四十四条第一項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A91DBA" w:rsidRDefault="003B60BA">
      <w:pPr>
        <w:pStyle w:val="jaf6"/>
      </w:pPr>
      <w:r>
        <w:t>一　職員、業務の方法その他の事項についての業務の実施に関する計画が適正なものであり、かつ、その計画を確実に遂行するに足りる経理的及び技</w:t>
      </w:r>
      <w:r>
        <w:t>術的な基礎を有すると認められること。</w:t>
      </w:r>
    </w:p>
    <w:p w:rsidR="00A91DBA" w:rsidRDefault="003B60BA">
      <w:pPr>
        <w:pStyle w:val="jaf6"/>
      </w:pPr>
      <w:r>
        <w:t>二　前号に定めるもののほか、業務の運営が適正かつ確実に行われ、高年齢者の福祉の増進に資すると認められること。</w:t>
      </w:r>
    </w:p>
    <w:p w:rsidR="00A91DBA" w:rsidRDefault="003B60BA">
      <w:pPr>
        <w:pStyle w:val="jaf4"/>
      </w:pPr>
      <w:r>
        <w:t>２　前項の指定は、その会員に同項の指定を受けた者（以下「シルバー人材センター」という。）を二以上有する高年齢者就業援助法人に対してはすることができない。</w:t>
      </w:r>
    </w:p>
    <w:p w:rsidR="00A91DBA" w:rsidRDefault="003B60BA">
      <w:pPr>
        <w:pStyle w:val="jaf4"/>
      </w:pPr>
      <w:r>
        <w:t>３　都道府県知事は、第一項の指定をしたときは、シルバー人材センターの名称及び住所、事務所の所在地並びに当該指定に係る地域を公示しなければならない。</w:t>
      </w:r>
    </w:p>
    <w:p w:rsidR="00A91DBA" w:rsidRDefault="003B60BA">
      <w:pPr>
        <w:pStyle w:val="jaf4"/>
      </w:pPr>
      <w:r>
        <w:t>４　シルバー人材センターは、その名称及び住所並びに事務所の所在地を変更しようとするときは、あらかじめ、その旨を都道府県知事に届け出なければならない。</w:t>
      </w:r>
    </w:p>
    <w:p w:rsidR="00A91DBA" w:rsidRDefault="003B60BA">
      <w:pPr>
        <w:pStyle w:val="jaf4"/>
      </w:pPr>
      <w:r>
        <w:t>５　都道府県知事は、前項の届出があつたときは、当該届出に係る事項を公示しなければならない。</w:t>
      </w:r>
    </w:p>
    <w:p w:rsidR="00A91DBA" w:rsidRDefault="00A91DBA"/>
    <w:p w:rsidR="00A91DBA" w:rsidRDefault="003B60BA">
      <w:pPr>
        <w:pStyle w:val="jaa"/>
      </w:pPr>
      <w:r>
        <w:t>（業務等）</w:t>
      </w:r>
    </w:p>
    <w:p w:rsidR="00A91DBA" w:rsidRDefault="003B60BA">
      <w:pPr>
        <w:pStyle w:val="jaf3"/>
      </w:pPr>
      <w:r>
        <w:t>第四十二条　シルバー人材センターは、前条第一項の指定に係る区域（以下「センターの指定区域」という。）において</w:t>
      </w:r>
      <w:r>
        <w:t>、次に掲げる業務を行うものとする。</w:t>
      </w:r>
    </w:p>
    <w:p w:rsidR="00A91DBA" w:rsidRDefault="003B60BA">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A91DBA" w:rsidRDefault="003B60BA">
      <w:pPr>
        <w:pStyle w:val="jaf6"/>
      </w:pPr>
      <w:r>
        <w:t>二　臨時的かつ短期的な雇用による就業又はその他の軽易な業務に係る就業（雇用によるものに限る。）を希望する高年齢退職者のために、職業紹介事業を行うこと。</w:t>
      </w:r>
    </w:p>
    <w:p w:rsidR="00A91DBA" w:rsidRDefault="003B60BA">
      <w:pPr>
        <w:pStyle w:val="jaf6"/>
      </w:pPr>
      <w:r>
        <w:t>三　高年齢退職者に対し、臨時的かつ短期的な就業及びその他の軽易な業務に係る就業に必要な知識及び技能の付与を目的とした講習を行うこと。</w:t>
      </w:r>
    </w:p>
    <w:p w:rsidR="00A91DBA" w:rsidRDefault="003B60BA">
      <w:pPr>
        <w:pStyle w:val="jaf6"/>
      </w:pPr>
      <w:r>
        <w:t>四　前三号に掲げるもののほか、高年齢退職者のための臨時的かつ短期的な就業及びその他の軽易な業務に係る就業に関し必要な業務を行うこと。</w:t>
      </w:r>
    </w:p>
    <w:p w:rsidR="00A91DBA" w:rsidRDefault="003B60BA">
      <w:pPr>
        <w:pStyle w:val="jaf4"/>
      </w:pPr>
      <w:r>
        <w:t>２　シルバー人材センターは、職業安定法第三十条第一項の規定にかかわらず、厚生労働省令で定める</w:t>
      </w:r>
      <w:r>
        <w:t>ところにより、厚生労働大臣に届け出て、前項第二号の業務として、有料の職業紹介事業を行うことができる。</w:t>
      </w:r>
    </w:p>
    <w:p w:rsidR="00A91DBA" w:rsidRDefault="003B60BA">
      <w:pPr>
        <w:pStyle w:val="jaf4"/>
      </w:pPr>
      <w:r>
        <w:t>３　前項の規定による有料の職業紹介事業に関しては、シルバー人材センターを職業安定法第四条第七項に規定する職業紹介事業者若しくは同法第三十二条の三第一項に規定する有料職業紹介事業者又は雇用対策法第二条に規定する職業紹介機関と、前項の規定による届出を職業安定法第三十条第一項の規定による許可とみなして、同法第五条の二から第五条の七まで、第三十二条の三、第三十二条の四第二項、第三十二条の八第一項、第三十二条の九第二</w:t>
      </w:r>
      <w:r>
        <w:t>項、第三十二条の十から第三十二条の十三まで、第三十二条の十五、第三十二条の十六、第三十三条の六から第三十四条まで、第四十八条から第四十八条の四まで、第五十一条及び第六十四条から第六十七条までの規定並びに雇用対策法第二章の規定を適用する。この場合において、職業安定法第三十二条の三第一項中「第三十条第一項の許可を受けた者」とあるのは「高年齢者等の雇用の安定等に関する法律第四十二条第二項の規定により届け出て、有料の職業紹介事業を行う者」と、同法第三十二条の四第二項中「許可証の交付を受けた者は、当該許可証」とあるの</w:t>
      </w:r>
      <w:r>
        <w:t>は「高年齢者等の雇用の安定等に関する法律第四十二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A91DBA" w:rsidRDefault="003B60BA">
      <w:pPr>
        <w:pStyle w:val="jaf4"/>
      </w:pPr>
      <w:r>
        <w:t>４　前二項に定めるもののほか、第二項の規定による有料の職業紹介事業に関し必要な事項は、厚生労働省令で定める。</w:t>
      </w:r>
    </w:p>
    <w:p w:rsidR="00A91DBA" w:rsidRDefault="003B60BA">
      <w:pPr>
        <w:pStyle w:val="jaf4"/>
      </w:pPr>
      <w:r>
        <w:t>５　シルバー人材センターは、労働者派遣事業の適正な運営の確保及び派遣労働者の保護等に関する法律（昭和六十年法律第八十八号。以下「労働者派遣法」という。）第五</w:t>
      </w:r>
      <w:r>
        <w:t>条第一項の規定にかかわらず、厚生労働省令で定めるところにより、厚生労働大臣に届け出て、第一項第四号の業務として、その構成員である高年齢退職者のみを対象として労働者派遣法第二条第四号に規定する一般労働者派遣事業（以下「一般労働者派遣事業」という。）を行うことができる。</w:t>
      </w:r>
    </w:p>
    <w:p w:rsidR="00A91DBA" w:rsidRDefault="003B60BA">
      <w:pPr>
        <w:pStyle w:val="jaf4"/>
      </w:pPr>
      <w:r>
        <w:t>６　前項の規定による一般労働者派遣事業に関しては、労働者派遣法第五条第五項、第七条、第八条第一項及び第三項、第九条、第十条、第十一条第三項及び第四項、第十三条第二項、第十四条第一項第三号、第二章第二節第二款、第三十条並びに第五十四条の規定は適用</w:t>
      </w:r>
      <w:r>
        <w:t>しないものとし、労働者派遣法の他の規定の適用については、シルバー人材センターを労働者派遣法第二条第六号に規定する一般派遣元事業主と、前項の規定による届出を労働者派遣法第五条第一項の規定による許可とみなす。この場合において、次の表の上欄に掲げる労働者派遣法の規定中同表の中欄に掲げる字句は、同表の下欄に掲げる字句とする。</w:t>
      </w:r>
    </w:p>
    <w:p w:rsidR="00A91DBA" w:rsidRDefault="00A91D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3888"/>
        <w:gridCol w:w="3184"/>
      </w:tblGrid>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A91DBA" w:rsidRDefault="003B60BA">
            <w:pPr>
              <w:pStyle w:val="jaen"/>
            </w:pPr>
            <w:r>
              <w:t>第五条第二項</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前項の許可を受けようとする者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高年齢者等の雇用の安定等に関する法律（昭和四十六年法律第六十八号）第四十二条第五項の規定により届け出て一般労働者派遣事業を行おうとする者</w:t>
            </w:r>
          </w:p>
        </w:tc>
      </w:tr>
      <w:tr w:rsidR="00A91DBA">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申請書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届出書</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第五条第三項</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申請書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届出書</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第六条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前条第一項の許可を受けることができない</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新たに一般労働者派遣事業の事業所を設けて当該一般労働者派遣事業を行つてはならない</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第六条第四号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一般労働者派遣事業の許可を取り消され、又は第二十一条第一項の規定により特定労働者派遣事業の廃止を命じられ、当該取消し又は命令の日</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一般労働者派遣事業の廃止を命じられ、当該命令の日</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A91DBA" w:rsidRDefault="003B60BA">
            <w:pPr>
              <w:pStyle w:val="jaen"/>
            </w:pPr>
            <w:r>
              <w:t>第六条第五号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第十四条第一項の規定により一般労働者派遣事業の許可を取り消された者が法人である場合（同項第一号の規定により許可を取り消された場合</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シルバー人材センターが第十四条第一項の規定により一般労働者派遣事業の廃止を命じられた場合（同項第一号の規定により廃止を命じられた場合</w:t>
            </w:r>
          </w:p>
        </w:tc>
      </w:tr>
      <w:tr w:rsidR="00A91DBA">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、当該法人</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、当該シルバー人材センター</w:t>
            </w:r>
          </w:p>
        </w:tc>
      </w:tr>
      <w:tr w:rsidR="00A91DBA">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又は第二十一条第一項の規定により特定労働者派遣事業の廃止を命じられた者が法人である場合（当該法人が第一号又は第二号に規定する者に該当することとなつたことによる場合に限る。）において</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において</w:t>
            </w:r>
          </w:p>
        </w:tc>
      </w:tr>
      <w:tr w:rsidR="00A91DBA">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取消し又は命令</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命令</w:t>
            </w:r>
          </w:p>
        </w:tc>
      </w:tr>
      <w:tr w:rsidR="00A91DBA">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当該法人の</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当該シルバー人材センターの</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A91DBA" w:rsidRDefault="003B60BA">
            <w:pPr>
              <w:pStyle w:val="jaen"/>
            </w:pPr>
            <w:r>
              <w:t>第六条第六号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一般労働者派遣事業の許可の取消し又は第二十一条第一項の規定による特定労働者派遣事業の廃止の命令</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一般労働者派遣事業の廃止の命令</w:t>
            </w:r>
          </w:p>
        </w:tc>
      </w:tr>
      <w:tr w:rsidR="00A91DBA">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届出又は第二十条の規定による特定労働者派遣事業の廃止の届出</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A91DBA" w:rsidRDefault="003B60BA">
            <w:pPr>
              <w:pStyle w:val="jaen"/>
            </w:pPr>
            <w:r>
              <w:t>第六条第七号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前号</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シルバー人材センターが、前号</w:t>
            </w:r>
          </w:p>
        </w:tc>
      </w:tr>
      <w:tr w:rsidR="00A91DBA">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届出又は第二十条の規定による特定労働者派遣事業の廃止の届出をした者が法人である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届出をした</w:t>
            </w:r>
          </w:p>
        </w:tc>
      </w:tr>
      <w:tr w:rsidR="00A91DBA">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A91DBA" w:rsidRDefault="00A91DBA">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当該法人（当該事業の廃止について相当の理由がある法人を除く。）</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当該シルバー人材センター（当該事業の廃止について相当の理由があるものを除く。）</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第八条第二項</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許可証の交付を受けた者は、当該許可証</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第五条第二項の規定による届出書を提出した者は、当該届出書を提出した旨その他厚生労働省令で定める事項を記載した書類</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第十四条第一項</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、第五条第一項の許可を取り消すことができる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一般労働者派遣事業の廃止を、当該一般労働者派遣事業（二以上の事業所を設けて一般労働者派遣事業を行う場合にあつては、各事業所ごとの一般労働者派遣事業。以下この項において同じ。）の開始の当時第六条第四号から第七号までのいずれかに該当するときは当該一般労働者派遣事業の廃止を、命ずることができる</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第二十六条第四項</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第五条第一項の許可を受け、</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第五条第二項</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第五十九条第四号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第十四条第二項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第十四条</w:t>
            </w:r>
          </w:p>
        </w:tc>
      </w:tr>
      <w:tr w:rsidR="00A91DBA">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第六十一条第一号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第五条第二項（第十条第五項において準用する場合を含む。）に規定する申請書、第五条第三項（第十条第五項において準用する場合を含む。）に規定する書類</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DBA" w:rsidRDefault="003B60BA">
            <w:pPr>
              <w:pStyle w:val="jaen"/>
            </w:pPr>
            <w:r>
              <w:t>第五条第二項に規定する届出書、同条第三項に規定する書類</w:t>
            </w:r>
          </w:p>
        </w:tc>
      </w:tr>
    </w:tbl>
    <w:p w:rsidR="00A91DBA" w:rsidRDefault="00A91DBA"/>
    <w:p w:rsidR="00A91DBA" w:rsidRDefault="003B60BA">
      <w:pPr>
        <w:pStyle w:val="jaf4"/>
      </w:pPr>
      <w:r>
        <w:t>７　前二項に定めるもののほか、第五項の規定による一般労働者派遣事業に関し必要な事項は、厚生労働省令で定める。</w:t>
      </w:r>
    </w:p>
    <w:p w:rsidR="00A91DBA" w:rsidRDefault="00A91DBA"/>
    <w:p w:rsidR="00A91DBA" w:rsidRDefault="003B60BA">
      <w:pPr>
        <w:pStyle w:val="jaa"/>
      </w:pPr>
      <w:r>
        <w:t>（事業計画等）</w:t>
      </w:r>
    </w:p>
    <w:p w:rsidR="00A91DBA" w:rsidRDefault="003B60BA">
      <w:pPr>
        <w:pStyle w:val="jaf3"/>
      </w:pPr>
      <w:r>
        <w:t>第四十三条　シルバー人材センターは、毎事業年度、厚生労働省令で定めるところにより、事業計画書及び収支予算書を作成し、都道府県知事に提出しなければならない。これを変更しようとすると</w:t>
      </w:r>
      <w:r>
        <w:t>きも、同様とする。</w:t>
      </w:r>
    </w:p>
    <w:p w:rsidR="00A91DBA" w:rsidRDefault="003B60BA">
      <w:pPr>
        <w:pStyle w:val="jaf4"/>
      </w:pPr>
      <w:r>
        <w:t>２　シルバー人材センターは、厚生労働省令で定めるところにより、毎事業年度終了後、事業報告書及び収支決算書を作成し、都道府県知事に提出しなければならない。</w:t>
      </w:r>
    </w:p>
    <w:p w:rsidR="00A91DBA" w:rsidRDefault="00A91DBA"/>
    <w:p w:rsidR="00A91DBA" w:rsidRDefault="003B60BA">
      <w:pPr>
        <w:pStyle w:val="jaa"/>
      </w:pPr>
      <w:r>
        <w:t>（監督命令）</w:t>
      </w:r>
    </w:p>
    <w:p w:rsidR="00A91DBA" w:rsidRDefault="003B60BA">
      <w:pPr>
        <w:pStyle w:val="jaf3"/>
      </w:pPr>
      <w:r>
        <w:t>第四十三条の二　都道府県知事は、この節の規定を施行するために必要な限度において、シルバー人材センターに対し、第四十二条第一項に規定する業務に関し監督上必要な命令をすることができる。</w:t>
      </w:r>
    </w:p>
    <w:p w:rsidR="00A91DBA" w:rsidRDefault="00A91DBA"/>
    <w:p w:rsidR="00A91DBA" w:rsidRDefault="003B60BA">
      <w:pPr>
        <w:pStyle w:val="jaa"/>
      </w:pPr>
      <w:r>
        <w:t>（指定の取消し等）</w:t>
      </w:r>
    </w:p>
    <w:p w:rsidR="00A91DBA" w:rsidRDefault="003B60BA">
      <w:pPr>
        <w:pStyle w:val="jaf3"/>
      </w:pPr>
      <w:r>
        <w:t>第四十三条の三　都道府県知事は、シルバー人材センターが次の各号のいずれかに該当するときは、第四十一条第一項の指定（以下</w:t>
      </w:r>
      <w:r>
        <w:t>この条において「指定」という。）を取り消すことができる。</w:t>
      </w:r>
    </w:p>
    <w:p w:rsidR="00A91DBA" w:rsidRDefault="003B60BA">
      <w:pPr>
        <w:pStyle w:val="jaf6"/>
      </w:pPr>
      <w:r>
        <w:t>一　第四十二条第一項に規定する業務を適正かつ確実に実施することができないと認められるとき。</w:t>
      </w:r>
    </w:p>
    <w:p w:rsidR="00A91DBA" w:rsidRDefault="003B60BA">
      <w:pPr>
        <w:pStyle w:val="jaf6"/>
      </w:pPr>
      <w:r>
        <w:t>二　指定に関し不正の行為があつたとき。</w:t>
      </w:r>
    </w:p>
    <w:p w:rsidR="00A91DBA" w:rsidRDefault="003B60BA">
      <w:pPr>
        <w:pStyle w:val="jaf6"/>
      </w:pPr>
      <w:r>
        <w:t>三　この節の規定又は当該規定に基づく命令に違反したとき。</w:t>
      </w:r>
    </w:p>
    <w:p w:rsidR="00A91DBA" w:rsidRDefault="003B60BA">
      <w:pPr>
        <w:pStyle w:val="jaf6"/>
      </w:pPr>
      <w:r>
        <w:t>四　前条の規定に基づく処分に違反したとき。</w:t>
      </w:r>
    </w:p>
    <w:p w:rsidR="00A91DBA" w:rsidRDefault="003B60BA">
      <w:pPr>
        <w:pStyle w:val="jaf6"/>
      </w:pPr>
      <w:r>
        <w:t>五　第五十三条第一項の条件に違反したとき。</w:t>
      </w:r>
    </w:p>
    <w:p w:rsidR="00A91DBA" w:rsidRDefault="003B60BA">
      <w:pPr>
        <w:pStyle w:val="jaf4"/>
      </w:pPr>
      <w:r>
        <w:t>２　都道府県知事は、前項の規定により指定を取り消したときは、その旨を公示しなければならない。</w:t>
      </w:r>
    </w:p>
    <w:p w:rsidR="00A91DBA" w:rsidRDefault="00A91DBA"/>
    <w:p w:rsidR="00A91DBA" w:rsidRDefault="003B60BA">
      <w:pPr>
        <w:pStyle w:val="jaf2"/>
      </w:pPr>
      <w:r>
        <w:t>第二節　シルバー人材センター連合</w:t>
      </w:r>
    </w:p>
    <w:p w:rsidR="00A91DBA" w:rsidRDefault="00A91DBA"/>
    <w:p w:rsidR="00A91DBA" w:rsidRDefault="003B60BA">
      <w:pPr>
        <w:pStyle w:val="jaa"/>
      </w:pPr>
      <w:r>
        <w:t>（指定等）</w:t>
      </w:r>
    </w:p>
    <w:p w:rsidR="00A91DBA" w:rsidRDefault="003B60BA">
      <w:pPr>
        <w:pStyle w:val="jaf3"/>
      </w:pPr>
      <w:r>
        <w:t>第四十四条　都道府県知事は、その会員に二以上のシルバー人材センターを有する高年齢者就業援助法人であつて、次条において準用する第四十二条第一項に規定する業務に関し第四十一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w:t>
      </w:r>
      <w:r>
        <w:t>況その他の事情を考慮して厚生労働省令で定める基準に従つて必要と認められる市町村の区域を併せた区域ごとに一個に限り、次条において準用する第四十二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A91DBA" w:rsidRDefault="003B60BA">
      <w:pPr>
        <w:pStyle w:val="jaf4"/>
      </w:pPr>
      <w:r>
        <w:t>２　シルバー人材センターがシルバー人材センター連合の会員となつたときは、当該シルバー人材センター連合は、その旨を</w:t>
      </w:r>
      <w:r>
        <w:t>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定区域とするものとする。</w:t>
      </w:r>
    </w:p>
    <w:p w:rsidR="00A91DBA" w:rsidRDefault="003B60BA">
      <w:pPr>
        <w:pStyle w:val="jaf4"/>
      </w:pPr>
      <w:r>
        <w:t>３　第一項の指定又は前項の届出があつたときは、当該指定又は届出に係るシルバー人材センター連合の会員であるシルバー人材センターに係る第四十一条第一項の指定は、その効力を失うものとする。</w:t>
      </w:r>
    </w:p>
    <w:p w:rsidR="00A91DBA" w:rsidRDefault="003B60BA">
      <w:pPr>
        <w:pStyle w:val="jaf4"/>
      </w:pPr>
      <w:r>
        <w:t>４　都道府県知事は、第二項の届出があつた場合において、シルバー人材センター連合からその</w:t>
      </w:r>
      <w:r>
        <w:t>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A91DBA" w:rsidRDefault="00A91DBA"/>
    <w:p w:rsidR="00A91DBA" w:rsidRDefault="003B60BA">
      <w:pPr>
        <w:pStyle w:val="jaa"/>
      </w:pPr>
      <w:r>
        <w:t>（準用）</w:t>
      </w:r>
    </w:p>
    <w:p w:rsidR="00A91DBA" w:rsidRDefault="003B60BA">
      <w:pPr>
        <w:pStyle w:val="jaf3"/>
      </w:pPr>
      <w:r>
        <w:t>第四十五条　第四十一条第三項から第五項まで及び第四十二条から第四十三条の三までの規定は、シルバー人材センター連合について準用する。この場</w:t>
      </w:r>
      <w:r>
        <w:t>合において、第四十一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四十二条第一項中「前条第一項の指定に係る区域（以下「センターの指定区域」という。）」とあるのは「第四十四条第一項の指定に係る区域（同条第二項又は第四項の変更があつたときは、その変更後</w:t>
      </w:r>
      <w:r>
        <w:t>の区域）」と、同条第三項中「第四十二条第二項」とあるのは「第四十五条において準用する同法第四十二条第二項」と、同条第五項中「その構成員である高年齢退職者のみ」とあるのは「その直接又は間接の構成員である高年齢退職者のみ」と、同条第六項の表第五条第二項の項中「第四十二条第五項」とあるのは「第四十五条において準用する同法第四十二条第五項」と、同表第六条第五号の項及び第六条第七号の項中「シルバー人材センター」とあるのは「シルバー人材センター連合」と、第四十三条の二中「この節」とあるのは「第六章第二節」と、「第四十二</w:t>
      </w:r>
      <w:r>
        <w:t>条第一項」とあるのは「第四十五条において準用する第四十二条第一項」と、第四十三条の三第一項中「第四十一条第一項」とあるのは「第四十四条第一項」と、同項第一号中「第四十二条第一項」とあるのは「第四十五条において準用する第四十二条第一項」と、同項第三号中「この節」とあるのは「第六章第二節」と、同項第四号中「前条」とあるのは「第四十五条において準用する前条」と読み替えるものとする。</w:t>
      </w:r>
    </w:p>
    <w:p w:rsidR="00A91DBA" w:rsidRDefault="00A91DBA"/>
    <w:p w:rsidR="00A91DBA" w:rsidRDefault="003B60BA">
      <w:pPr>
        <w:pStyle w:val="jaf2"/>
      </w:pPr>
      <w:r>
        <w:t>第三節　全国シルバー人材センター事業協会</w:t>
      </w:r>
    </w:p>
    <w:p w:rsidR="00A91DBA" w:rsidRDefault="00A91DBA"/>
    <w:p w:rsidR="00A91DBA" w:rsidRDefault="003B60BA">
      <w:pPr>
        <w:pStyle w:val="jaa"/>
      </w:pPr>
      <w:r>
        <w:t>（指定）</w:t>
      </w:r>
    </w:p>
    <w:p w:rsidR="00A91DBA" w:rsidRDefault="003B60BA">
      <w:pPr>
        <w:pStyle w:val="jaf3"/>
      </w:pPr>
      <w:r>
        <w:t>第四十六条　厚生労働大臣は、シルバー人材センター及びシルバー人材センター連合</w:t>
      </w:r>
      <w:r>
        <w:t>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できると認められるものを、その申請により、全国を通じて一個に限り、同条に規定する業務を行う者として指定することができる。</w:t>
      </w:r>
    </w:p>
    <w:p w:rsidR="00A91DBA" w:rsidRDefault="00A91DBA"/>
    <w:p w:rsidR="00A91DBA" w:rsidRDefault="003B60BA">
      <w:pPr>
        <w:pStyle w:val="jaa"/>
      </w:pPr>
      <w:r>
        <w:t>（業務）</w:t>
      </w:r>
    </w:p>
    <w:p w:rsidR="00A91DBA" w:rsidRDefault="003B60BA">
      <w:pPr>
        <w:pStyle w:val="jaf3"/>
      </w:pPr>
      <w:r>
        <w:t>第四十七条　前条の指定を受けた者（以下「全国シルバー人材センター事業協会」という。）は、次に掲げる業務を行うものとする。</w:t>
      </w:r>
    </w:p>
    <w:p w:rsidR="00A91DBA" w:rsidRDefault="003B60BA">
      <w:pPr>
        <w:pStyle w:val="jaf6"/>
      </w:pPr>
      <w:r>
        <w:t>一　シルバー人材センター及びシ</w:t>
      </w:r>
      <w:r>
        <w:t>ルバー人材センター連合の業務に関し啓発活動を行うこと。</w:t>
      </w:r>
    </w:p>
    <w:p w:rsidR="00A91DBA" w:rsidRDefault="003B60BA">
      <w:pPr>
        <w:pStyle w:val="jaf6"/>
      </w:pPr>
      <w:r>
        <w:t>二　シルバー人材センター又はシルバー人材センター連合の業務に従事する者に対する研修を行うこと。</w:t>
      </w:r>
    </w:p>
    <w:p w:rsidR="00A91DBA" w:rsidRDefault="003B60BA">
      <w:pPr>
        <w:pStyle w:val="jaf6"/>
      </w:pPr>
      <w:r>
        <w:t>三　シルバー人材センター及びシルバー人材センター連合の業務について、連絡調整を図り、及び指導その他の援助を行うこと。</w:t>
      </w:r>
    </w:p>
    <w:p w:rsidR="00A91DBA" w:rsidRDefault="003B60BA">
      <w:pPr>
        <w:pStyle w:val="jaf6"/>
      </w:pPr>
      <w:r>
        <w:t>四　シルバー人材センター及びシルバー人材センター連合の業務に関する情報及び資料を収集し、並びにシルバー人材センター、シルバー人材センター連合その他の関係者に対し提供すること。</w:t>
      </w:r>
    </w:p>
    <w:p w:rsidR="00A91DBA" w:rsidRDefault="003B60BA">
      <w:pPr>
        <w:pStyle w:val="jaf6"/>
      </w:pPr>
      <w:r>
        <w:t>五　前各号に掲げるもののほか、シルバー人材センター及びシルバー人材</w:t>
      </w:r>
      <w:r>
        <w:t>センター連合の健全な発展並びに定年退職者その他の高年齢退職者の能力の積極的な活用を促進するために必要な業務を行うこと。</w:t>
      </w:r>
    </w:p>
    <w:p w:rsidR="00A91DBA" w:rsidRDefault="00A91DBA"/>
    <w:p w:rsidR="00A91DBA" w:rsidRDefault="003B60BA">
      <w:pPr>
        <w:pStyle w:val="jaa"/>
      </w:pPr>
      <w:r>
        <w:t>（準用）</w:t>
      </w:r>
    </w:p>
    <w:p w:rsidR="00A91DBA" w:rsidRDefault="003B60BA">
      <w:pPr>
        <w:pStyle w:val="jaf3"/>
      </w:pPr>
      <w:r>
        <w:t>第四十八条　第四十一条第三項から第五項まで及び第四十三条から第四十三条の三までの規定は、全国シルバー人材センター事業協会について準用する。この場合において、第四十一条第三項から第五項まで及び第四十三条から第四十三条の三までの規定中「都道府県知事」とあるのは「厚生労働大臣」と、第四十一条第三項中「第一項」とあるのは「第四十六条」と、「、事務所の所在地並びに当該指定に係る地域」とあるのは「並びに事務所の所在地」と、第四十三条の二中「この節」とあるのは「第六章第三節」と、「第四十二条第一項」とあるのは「第四十七条</w:t>
      </w:r>
      <w:r>
        <w:t>」と、第四十三条の三第一項中「第四十一条第一項」とあるのは「第四十六条」と、同項第一号中「第四十二条第一項」とあるのは「第四十七条」と、同項第三号中「この節」とあるのは「第六章第三節」と、同項第四号中「前条」とあるのは「第四十八条において準用する前条」と読み替えるものとする。</w:t>
      </w:r>
    </w:p>
    <w:p w:rsidR="00A91DBA" w:rsidRDefault="00A91DBA"/>
    <w:p w:rsidR="00A91DBA" w:rsidRDefault="003B60BA">
      <w:pPr>
        <w:pStyle w:val="ja3"/>
      </w:pPr>
      <w:r>
        <w:t>第七章　国による援助等</w:t>
      </w:r>
    </w:p>
    <w:p w:rsidR="00A91DBA" w:rsidRDefault="00A91DBA"/>
    <w:p w:rsidR="00A91DBA" w:rsidRDefault="003B60BA">
      <w:pPr>
        <w:pStyle w:val="jaa"/>
      </w:pPr>
      <w:r>
        <w:t>（事業主等に対する援助等）</w:t>
      </w:r>
    </w:p>
    <w:p w:rsidR="00A91DBA" w:rsidRDefault="003B60BA">
      <w:pPr>
        <w:pStyle w:val="jaf3"/>
      </w:pPr>
      <w:r>
        <w:t>第四十九条　国は、高年齢者等（厚生労働省令で定める者を除く。以下この項において同じ。）の職業の安定その他福祉の増進を図るため、高年齢者等職業安定対策基本方針に従い、事業主、労働者</w:t>
      </w:r>
      <w:r>
        <w:t>その他の関係者に対し、次に掲げる措置その他の援助等の措置を講ずることができる。</w:t>
      </w:r>
    </w:p>
    <w:p w:rsidR="00A91DBA" w:rsidRDefault="003B60BA">
      <w:pPr>
        <w:pStyle w:val="jaf6"/>
      </w:pPr>
      <w:r>
        <w:t>一　定年の引上げ、継続雇用制度の導入、再就職の援助等高年齢者等の雇用の機会の増大に資する措置を講ずる事業主又はその事業主の団体に対して給付金を支給すること。</w:t>
      </w:r>
    </w:p>
    <w:p w:rsidR="00A91DBA" w:rsidRDefault="003B60BA">
      <w:pPr>
        <w:pStyle w:val="jaf6"/>
      </w:pPr>
      <w:r>
        <w:t>二　高年齢者等の雇用に関する技術的事項について、事業主その他の関係者に対して相談その他の援助を行うこと。</w:t>
      </w:r>
    </w:p>
    <w:p w:rsidR="00A91DBA" w:rsidRDefault="003B60BA">
      <w:pPr>
        <w:pStyle w:val="jaf6"/>
      </w:pPr>
      <w:r>
        <w:t>三　労働者がその高齢期における職業生活の設計を行うことを容易にするため、労働者に対して、必要な助言又は指導を行うこと。</w:t>
      </w:r>
    </w:p>
    <w:p w:rsidR="00A91DBA" w:rsidRDefault="003B60BA">
      <w:pPr>
        <w:pStyle w:val="jaf4"/>
      </w:pPr>
      <w:r>
        <w:t>２　厚生労働大臣は、前項各号に掲げる措置の実施に関する事務の全部又は一部を機構に行わせるものとする。</w:t>
      </w:r>
    </w:p>
    <w:p w:rsidR="00A91DBA" w:rsidRDefault="003B60BA">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A91DBA" w:rsidRDefault="00A91DBA"/>
    <w:p w:rsidR="00A91DBA" w:rsidRDefault="003B60BA">
      <w:pPr>
        <w:pStyle w:val="jaa"/>
      </w:pPr>
      <w:r>
        <w:t>（雇用管理の改善の研究等）</w:t>
      </w:r>
    </w:p>
    <w:p w:rsidR="00A91DBA" w:rsidRDefault="003B60BA">
      <w:pPr>
        <w:pStyle w:val="jaf3"/>
      </w:pPr>
      <w:r>
        <w:t>第五十条　国は、高年齢者の雇用の安定その他福祉の増進に資するため、高年齢者の職域の拡大その他の雇用管理の改善、職業能力の開発及び向上等の事項に関し必要な調査、研究及び資料の整備に努めるものとする。</w:t>
      </w:r>
    </w:p>
    <w:p w:rsidR="00A91DBA" w:rsidRDefault="00A91DBA"/>
    <w:p w:rsidR="00A91DBA" w:rsidRDefault="003B60BA">
      <w:pPr>
        <w:pStyle w:val="jaa"/>
      </w:pPr>
      <w:r>
        <w:t>（職業</w:t>
      </w:r>
      <w:r>
        <w:t>紹介等を行う施設の整備等）</w:t>
      </w:r>
    </w:p>
    <w:p w:rsidR="00A91DBA" w:rsidRDefault="003B60BA">
      <w:pPr>
        <w:pStyle w:val="jaf3"/>
      </w:pPr>
      <w:r>
        <w:t>第五十一条　国は、高年齢者に対する職業紹介等を効果的に行うために必要な施設の整備に努めるものとする。</w:t>
      </w:r>
    </w:p>
    <w:p w:rsidR="00A91DBA" w:rsidRDefault="003B60BA">
      <w:pPr>
        <w:pStyle w:val="jaf4"/>
      </w:pPr>
      <w:r>
        <w:t>２　国は、地方公共団体等が、高年齢者に対し職業に関する相談に応ずる業務を行う施設を設置する等高年齢者の雇用を促進するための措置を講ずる場合には、必要な援助を行うことができる。</w:t>
      </w:r>
    </w:p>
    <w:p w:rsidR="00A91DBA" w:rsidRDefault="00A91DBA"/>
    <w:p w:rsidR="00A91DBA" w:rsidRDefault="003B60BA">
      <w:pPr>
        <w:pStyle w:val="ja3"/>
      </w:pPr>
      <w:r>
        <w:t>第八章　雑則</w:t>
      </w:r>
    </w:p>
    <w:p w:rsidR="00A91DBA" w:rsidRDefault="00A91DBA"/>
    <w:p w:rsidR="00A91DBA" w:rsidRDefault="003B60BA">
      <w:pPr>
        <w:pStyle w:val="jaa"/>
      </w:pPr>
      <w:r>
        <w:t>（雇用状況の報告）</w:t>
      </w:r>
    </w:p>
    <w:p w:rsidR="00A91DBA" w:rsidRDefault="003B60BA">
      <w:pPr>
        <w:pStyle w:val="jaf3"/>
      </w:pPr>
      <w:r>
        <w:t>第五十二条　事業主は、毎年一回、厚生労働省令で定めるところにより、定年及び継続雇用制度の状況その他高年齢者の雇用に関する状況を厚生労働大臣に報告しなければならない。</w:t>
      </w:r>
    </w:p>
    <w:p w:rsidR="00A91DBA" w:rsidRDefault="003B60BA">
      <w:pPr>
        <w:pStyle w:val="jaf4"/>
      </w:pPr>
      <w:r>
        <w:t>２</w:t>
      </w:r>
      <w:r>
        <w:t xml:space="preserve">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A91DBA" w:rsidRDefault="00A91DBA"/>
    <w:p w:rsidR="00A91DBA" w:rsidRDefault="003B60BA">
      <w:pPr>
        <w:pStyle w:val="jaa"/>
      </w:pPr>
      <w:r>
        <w:t>（指定の条件）</w:t>
      </w:r>
    </w:p>
    <w:p w:rsidR="00A91DBA" w:rsidRDefault="003B60BA">
      <w:pPr>
        <w:pStyle w:val="jaf3"/>
      </w:pPr>
      <w:r>
        <w:t>第五十三条　この法律の規定による指定には、条件を付け、及びこれを変更することができる。</w:t>
      </w:r>
    </w:p>
    <w:p w:rsidR="00A91DBA" w:rsidRDefault="003B60BA">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A91DBA" w:rsidRDefault="00A91DBA"/>
    <w:p w:rsidR="00A91DBA" w:rsidRDefault="003B60BA">
      <w:pPr>
        <w:pStyle w:val="jaa"/>
      </w:pPr>
      <w:r>
        <w:t>（経過措置）</w:t>
      </w:r>
    </w:p>
    <w:p w:rsidR="00A91DBA" w:rsidRDefault="003B60BA">
      <w:pPr>
        <w:pStyle w:val="jaf3"/>
      </w:pPr>
      <w:r>
        <w:t>第五十三条の二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A91DBA" w:rsidRDefault="00A91DBA"/>
    <w:p w:rsidR="00A91DBA" w:rsidRDefault="003B60BA">
      <w:pPr>
        <w:pStyle w:val="jaa"/>
      </w:pPr>
      <w:r>
        <w:t>（権限の委任）</w:t>
      </w:r>
    </w:p>
    <w:p w:rsidR="00A91DBA" w:rsidRDefault="003B60BA">
      <w:pPr>
        <w:pStyle w:val="jaf3"/>
      </w:pPr>
      <w:r>
        <w:t>第五十四条　この法律に定める厚生労働大臣の権限は、</w:t>
      </w:r>
      <w:r>
        <w:t>厚生労働省令で定めるところにより、その一部を都道府県労働局長に委任することができる。</w:t>
      </w:r>
    </w:p>
    <w:p w:rsidR="00A91DBA" w:rsidRDefault="003B60BA">
      <w:pPr>
        <w:pStyle w:val="jaf4"/>
      </w:pPr>
      <w:r>
        <w:t>２　前項の規定により都道府県労働局長に委任された権限は、厚生労働省令で定めるところにより、公共職業安定所長に委任することができる。</w:t>
      </w:r>
    </w:p>
    <w:p w:rsidR="00A91DBA" w:rsidRDefault="00A91DBA"/>
    <w:p w:rsidR="00A91DBA" w:rsidRDefault="003B60BA">
      <w:pPr>
        <w:pStyle w:val="ja3"/>
      </w:pPr>
      <w:r>
        <w:t>第九章　罰則</w:t>
      </w:r>
    </w:p>
    <w:p w:rsidR="00A91DBA" w:rsidRDefault="00A91DBA"/>
    <w:p w:rsidR="00A91DBA" w:rsidRDefault="003B60BA">
      <w:pPr>
        <w:pStyle w:val="jaf3"/>
      </w:pPr>
      <w:r>
        <w:t>第五十五条　第四十九条第三項の規定による報告をせず、又は虚偽の報告をした者は、五十万円以下の罰金に処する。</w:t>
      </w:r>
    </w:p>
    <w:p w:rsidR="00A91DBA" w:rsidRDefault="00A91DBA"/>
    <w:p w:rsidR="00A91DBA" w:rsidRDefault="003B60BA">
      <w:pPr>
        <w:pStyle w:val="jaf3"/>
      </w:pPr>
      <w:r>
        <w:t>第五十六条　法人の代表者又は法人若しくは人の代理人、使用人その他の従業者が、その法人又は人の業務に関して前条の違反行為をしたときは、行為者を罰するほか、その法人又は人</w:t>
      </w:r>
      <w:r>
        <w:t>に対しても、同条の刑を科する。</w:t>
      </w:r>
    </w:p>
    <w:p w:rsidR="00A91DBA" w:rsidRDefault="00A91DBA"/>
    <w:p w:rsidR="00A91DBA" w:rsidRDefault="003B60BA">
      <w:pPr>
        <w:pStyle w:val="jaf3"/>
      </w:pPr>
      <w:r>
        <w:t>第五十七条　第十六条第一項の規定による届出をせず、又は虚偽の届出をした者（法人であるときは、その代表者）は、十万円以下の過料に処する。</w:t>
      </w:r>
    </w:p>
    <w:p w:rsidR="00A91DBA" w:rsidRDefault="00A91DBA"/>
    <w:p w:rsidR="00A91DBA" w:rsidRDefault="003B60BA">
      <w:pPr>
        <w:pStyle w:val="ja2"/>
      </w:pPr>
      <w:r>
        <w:t>附　則　〔抄〕</w:t>
      </w:r>
    </w:p>
    <w:p w:rsidR="00A91DBA" w:rsidRDefault="00A91DBA"/>
    <w:p w:rsidR="00A91DBA" w:rsidRDefault="003B60BA">
      <w:pPr>
        <w:pStyle w:val="jaa"/>
      </w:pPr>
      <w:r>
        <w:t>（施行期日）</w:t>
      </w:r>
    </w:p>
    <w:p w:rsidR="00A91DBA" w:rsidRDefault="003B60BA">
      <w:pPr>
        <w:pStyle w:val="jaf3"/>
      </w:pPr>
      <w:r>
        <w:t>第一条　この法律は、昭和四十六年十月一日から施行する。</w:t>
      </w:r>
    </w:p>
    <w:p w:rsidR="00A91DBA" w:rsidRDefault="00A91DBA"/>
    <w:p w:rsidR="00A91DBA" w:rsidRDefault="003B60BA">
      <w:pPr>
        <w:pStyle w:val="jaa"/>
      </w:pPr>
      <w:r>
        <w:t>（削除）</w:t>
      </w:r>
    </w:p>
    <w:p w:rsidR="00A91DBA" w:rsidRDefault="003B60BA">
      <w:pPr>
        <w:pStyle w:val="jaf3"/>
      </w:pPr>
      <w:r>
        <w:t>第二条　削除</w:t>
      </w:r>
    </w:p>
    <w:p w:rsidR="00A91DBA" w:rsidRDefault="00A91DBA"/>
    <w:p w:rsidR="00A91DBA" w:rsidRDefault="003B60BA">
      <w:pPr>
        <w:pStyle w:val="jaa"/>
      </w:pPr>
      <w:r>
        <w:t>（国、地方公共団体等における中高年齢者の雇用に関する暫定措置）</w:t>
      </w:r>
    </w:p>
    <w:p w:rsidR="00A91DBA" w:rsidRDefault="003B60BA">
      <w:pPr>
        <w:pStyle w:val="jaf3"/>
      </w:pPr>
      <w:r>
        <w:t>第三条　国及び地方公共団体並びに法律により直接に設立された法人、特別の法律により特別の設立行為をもつて設立された法人又は特別の法律により地方公共団体が設立者とな</w:t>
      </w:r>
      <w:r>
        <w:t>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律第三十六号）第二条の規定による改正前の第七条から第九条までの規定</w:t>
      </w:r>
      <w:r>
        <w:t>の例による。この場合において、同法第二条の規定による改正前の第七条第一項及び第九条中「労働大臣」とあるのは、「厚生労働大臣」とする。</w:t>
      </w:r>
    </w:p>
    <w:p w:rsidR="00A91DBA" w:rsidRDefault="00A91DBA"/>
    <w:p w:rsidR="00A91DBA" w:rsidRDefault="003B60BA">
      <w:pPr>
        <w:pStyle w:val="ja2"/>
      </w:pPr>
      <w:r>
        <w:t>附　則　〔平成二十四年九月五日法律第七十八号〕</w:t>
      </w:r>
    </w:p>
    <w:p w:rsidR="00A91DBA" w:rsidRDefault="00A91DBA"/>
    <w:p w:rsidR="00A91DBA" w:rsidRDefault="003B60BA">
      <w:pPr>
        <w:pStyle w:val="jaa"/>
      </w:pPr>
      <w:r>
        <w:t>（施行期日）</w:t>
      </w:r>
    </w:p>
    <w:p w:rsidR="00A91DBA" w:rsidRDefault="003B60BA">
      <w:pPr>
        <w:pStyle w:val="jaf4"/>
      </w:pPr>
      <w:r>
        <w:t>１　この法律は、平成二十五年四月一日から施行する。ただし、次項の規定は、公布の日から施行する。</w:t>
      </w:r>
    </w:p>
    <w:p w:rsidR="00A91DBA" w:rsidRDefault="00A91DBA"/>
    <w:p w:rsidR="00A91DBA" w:rsidRDefault="003B60BA">
      <w:pPr>
        <w:pStyle w:val="jaa"/>
      </w:pPr>
      <w:r>
        <w:t>（準備行為）</w:t>
      </w:r>
    </w:p>
    <w:p w:rsidR="00A91DBA" w:rsidRDefault="003B60BA">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A91DBA" w:rsidRDefault="00A91DBA"/>
    <w:p w:rsidR="00A91DBA" w:rsidRDefault="003B60BA">
      <w:pPr>
        <w:pStyle w:val="jaa"/>
      </w:pPr>
      <w:r>
        <w:t>（経過措置）</w:t>
      </w:r>
    </w:p>
    <w:p w:rsidR="00A91DBA" w:rsidRDefault="003B60BA">
      <w:pPr>
        <w:pStyle w:val="jaf4"/>
      </w:pPr>
      <w:r>
        <w:t>３　この法律の施行の際現にこの法律による改正前の第九条第二項の規定により同条第一項第二号に掲げる措置を講じたものとみなされている事業主については、同条第二項の規定は、平成三十七年三月三十一日までの間は、なおその効力を有する。この場合において、同項中「係る基準」とあるのは、この法律の施行の日から平成二十八年三月三十一</w:t>
      </w:r>
      <w:r>
        <w:t>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平成三十四年三月三十一日までの間については「係る基準（六十三歳以上の者を対象とするものに限る。）」と、同年四月一日から平成三十七年三月三十一日までの間については「係る基準（六十四歳以上の者を対象とするものに限る。）」とする。</w:t>
      </w:r>
    </w:p>
    <w:sectPr w:rsidR="00A91DBA" w:rsidSect="00A91D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DBA" w:rsidRDefault="00A91DBA" w:rsidP="00A91DBA">
      <w:r>
        <w:separator/>
      </w:r>
    </w:p>
  </w:endnote>
  <w:endnote w:type="continuationSeparator" w:id="0">
    <w:p w:rsidR="00A91DBA" w:rsidRDefault="00A91DBA" w:rsidP="00A9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DBA" w:rsidRDefault="00A91DBA">
    <w:pPr>
      <w:pStyle w:val="a3"/>
    </w:pPr>
    <w:r>
      <w:fldChar w:fldCharType="begin"/>
    </w:r>
    <w:r>
      <w:instrText xml:space="preserve"> PAGE  \* MERGEFORMAT </w:instrText>
    </w:r>
    <w:r>
      <w:fldChar w:fldCharType="separate"/>
    </w:r>
    <w:r w:rsidR="003B60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DBA" w:rsidRDefault="00A91DBA" w:rsidP="00A91DBA">
      <w:r>
        <w:separator/>
      </w:r>
    </w:p>
  </w:footnote>
  <w:footnote w:type="continuationSeparator" w:id="0">
    <w:p w:rsidR="00A91DBA" w:rsidRDefault="00A91DBA" w:rsidP="00A9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33C"/>
    <w:multiLevelType w:val="multilevel"/>
    <w:tmpl w:val="C36A34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2C3033"/>
    <w:multiLevelType w:val="multilevel"/>
    <w:tmpl w:val="BC189F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030351"/>
    <w:multiLevelType w:val="multilevel"/>
    <w:tmpl w:val="D7BCF1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50216"/>
    <w:multiLevelType w:val="multilevel"/>
    <w:tmpl w:val="89F28F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392D5F"/>
    <w:multiLevelType w:val="multilevel"/>
    <w:tmpl w:val="9E4E8E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AD74B3"/>
    <w:multiLevelType w:val="multilevel"/>
    <w:tmpl w:val="B462B9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D143A8"/>
    <w:multiLevelType w:val="multilevel"/>
    <w:tmpl w:val="A35A44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F5C28"/>
    <w:multiLevelType w:val="multilevel"/>
    <w:tmpl w:val="32DC99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F743C6"/>
    <w:multiLevelType w:val="multilevel"/>
    <w:tmpl w:val="754697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866F33"/>
    <w:multiLevelType w:val="multilevel"/>
    <w:tmpl w:val="A2B6A2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83ACB"/>
    <w:multiLevelType w:val="multilevel"/>
    <w:tmpl w:val="93D0F5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CC3CD3"/>
    <w:multiLevelType w:val="multilevel"/>
    <w:tmpl w:val="48CACC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0C6425"/>
    <w:multiLevelType w:val="multilevel"/>
    <w:tmpl w:val="45BA68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6"/>
  </w:num>
  <w:num w:numId="4">
    <w:abstractNumId w:val="12"/>
  </w:num>
  <w:num w:numId="5">
    <w:abstractNumId w:val="8"/>
  </w:num>
  <w:num w:numId="6">
    <w:abstractNumId w:val="0"/>
  </w:num>
  <w:num w:numId="7">
    <w:abstractNumId w:val="5"/>
  </w:num>
  <w:num w:numId="8">
    <w:abstractNumId w:val="9"/>
  </w:num>
  <w:num w:numId="9">
    <w:abstractNumId w:val="3"/>
  </w:num>
  <w:num w:numId="10">
    <w:abstractNumId w:val="4"/>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1DBA"/>
    <w:rsid w:val="003B60BA"/>
    <w:rsid w:val="00A91D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1D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1DBA"/>
    <w:rPr>
      <w:rFonts w:ascii="Century" w:eastAsia="Century" w:hAnsi="Century"/>
    </w:rPr>
  </w:style>
  <w:style w:type="paragraph" w:customStyle="1" w:styleId="ja0">
    <w:name w:val="款（ja）"/>
    <w:basedOn w:val="a"/>
    <w:rsid w:val="00A91DBA"/>
    <w:pPr>
      <w:widowControl w:val="0"/>
      <w:ind w:left="1321" w:hanging="221"/>
    </w:pPr>
    <w:rPr>
      <w:rFonts w:ascii="ＭＳ 明朝" w:eastAsia="ＭＳ 明朝" w:hAnsi="ＭＳ 明朝" w:cs="ＭＳ 明朝"/>
      <w:b/>
    </w:rPr>
  </w:style>
  <w:style w:type="paragraph" w:customStyle="1" w:styleId="en0">
    <w:name w:val="款（en）"/>
    <w:basedOn w:val="ja0"/>
    <w:rsid w:val="00A91DBA"/>
    <w:rPr>
      <w:rFonts w:ascii="Century" w:eastAsia="Century" w:hAnsi="Century" w:cs="Century"/>
    </w:rPr>
  </w:style>
  <w:style w:type="paragraph" w:customStyle="1" w:styleId="ja1">
    <w:name w:val="前文（ja）"/>
    <w:basedOn w:val="a"/>
    <w:rsid w:val="00A91DBA"/>
    <w:pPr>
      <w:widowControl w:val="0"/>
      <w:ind w:firstLine="219"/>
    </w:pPr>
    <w:rPr>
      <w:rFonts w:ascii="ＭＳ 明朝" w:eastAsia="ＭＳ 明朝" w:hAnsi="ＭＳ 明朝" w:cs="ＭＳ 明朝"/>
    </w:rPr>
  </w:style>
  <w:style w:type="paragraph" w:customStyle="1" w:styleId="en1">
    <w:name w:val="前文（en）"/>
    <w:basedOn w:val="ja1"/>
    <w:rsid w:val="00A91DBA"/>
    <w:rPr>
      <w:rFonts w:ascii="Century" w:eastAsia="Century" w:hAnsi="Century" w:cs="Century"/>
    </w:rPr>
  </w:style>
  <w:style w:type="paragraph" w:customStyle="1" w:styleId="ja2">
    <w:name w:val="附則（ja）"/>
    <w:basedOn w:val="a"/>
    <w:rsid w:val="00A91DBA"/>
    <w:pPr>
      <w:widowControl w:val="0"/>
      <w:ind w:left="881" w:hanging="221"/>
    </w:pPr>
    <w:rPr>
      <w:rFonts w:ascii="ＭＳ 明朝" w:eastAsia="ＭＳ 明朝" w:hAnsi="ＭＳ 明朝" w:cs="ＭＳ 明朝"/>
      <w:b/>
    </w:rPr>
  </w:style>
  <w:style w:type="paragraph" w:customStyle="1" w:styleId="en2">
    <w:name w:val="附則（en）"/>
    <w:basedOn w:val="ja2"/>
    <w:rsid w:val="00A91DBA"/>
    <w:rPr>
      <w:rFonts w:ascii="Century" w:hAnsi="Century" w:cs="Century"/>
    </w:rPr>
  </w:style>
  <w:style w:type="paragraph" w:customStyle="1" w:styleId="ja3">
    <w:name w:val="章（ja）"/>
    <w:basedOn w:val="a"/>
    <w:rsid w:val="00A91DBA"/>
    <w:pPr>
      <w:widowControl w:val="0"/>
      <w:ind w:left="881" w:hanging="221"/>
    </w:pPr>
    <w:rPr>
      <w:rFonts w:ascii="ＭＳ 明朝" w:eastAsia="ＭＳ 明朝" w:hAnsi="ＭＳ 明朝" w:cs="ＭＳ 明朝"/>
      <w:b/>
    </w:rPr>
  </w:style>
  <w:style w:type="paragraph" w:customStyle="1" w:styleId="en3">
    <w:name w:val="章（en）"/>
    <w:basedOn w:val="ja3"/>
    <w:rsid w:val="00A91DBA"/>
    <w:rPr>
      <w:rFonts w:ascii="Century" w:eastAsia="Century" w:hAnsi="Century" w:cs="Century"/>
    </w:rPr>
  </w:style>
  <w:style w:type="paragraph" w:customStyle="1" w:styleId="ja4">
    <w:name w:val="目次編（ja）"/>
    <w:basedOn w:val="a"/>
    <w:rsid w:val="00A91DBA"/>
    <w:pPr>
      <w:widowControl w:val="0"/>
      <w:ind w:left="219" w:hanging="219"/>
    </w:pPr>
    <w:rPr>
      <w:rFonts w:ascii="ＭＳ 明朝" w:eastAsia="ＭＳ 明朝" w:hAnsi="ＭＳ 明朝"/>
    </w:rPr>
  </w:style>
  <w:style w:type="paragraph" w:customStyle="1" w:styleId="en4">
    <w:name w:val="目次編（en）"/>
    <w:basedOn w:val="ja4"/>
    <w:rsid w:val="00A91DBA"/>
    <w:rPr>
      <w:rFonts w:ascii="Century" w:eastAsia="Century" w:hAnsi="Century"/>
    </w:rPr>
  </w:style>
  <w:style w:type="paragraph" w:customStyle="1" w:styleId="ja5">
    <w:name w:val="目次章（ja）"/>
    <w:basedOn w:val="a"/>
    <w:rsid w:val="00A91DBA"/>
    <w:pPr>
      <w:widowControl w:val="0"/>
      <w:ind w:left="439" w:hanging="219"/>
    </w:pPr>
    <w:rPr>
      <w:rFonts w:ascii="ＭＳ 明朝" w:eastAsia="ＭＳ 明朝" w:hAnsi="ＭＳ 明朝"/>
    </w:rPr>
  </w:style>
  <w:style w:type="paragraph" w:customStyle="1" w:styleId="en5">
    <w:name w:val="目次章（en）"/>
    <w:basedOn w:val="ja5"/>
    <w:rsid w:val="00A91DBA"/>
    <w:rPr>
      <w:rFonts w:ascii="Century" w:eastAsia="Century" w:hAnsi="Century"/>
    </w:rPr>
  </w:style>
  <w:style w:type="paragraph" w:customStyle="1" w:styleId="ja6">
    <w:name w:val="目次節（ja）"/>
    <w:basedOn w:val="a"/>
    <w:rsid w:val="00A91DBA"/>
    <w:pPr>
      <w:widowControl w:val="0"/>
      <w:ind w:left="659" w:hanging="219"/>
    </w:pPr>
    <w:rPr>
      <w:rFonts w:ascii="ＭＳ 明朝" w:eastAsia="ＭＳ 明朝" w:hAnsi="ＭＳ 明朝"/>
    </w:rPr>
  </w:style>
  <w:style w:type="paragraph" w:customStyle="1" w:styleId="en6">
    <w:name w:val="目次節（en）"/>
    <w:basedOn w:val="ja6"/>
    <w:rsid w:val="00A91DBA"/>
    <w:rPr>
      <w:rFonts w:ascii="Century" w:eastAsia="Century" w:hAnsi="Century"/>
    </w:rPr>
  </w:style>
  <w:style w:type="paragraph" w:customStyle="1" w:styleId="ja7">
    <w:name w:val="目次款（ja）"/>
    <w:basedOn w:val="a"/>
    <w:rsid w:val="00A91DBA"/>
    <w:pPr>
      <w:widowControl w:val="0"/>
      <w:ind w:left="879" w:hanging="219"/>
    </w:pPr>
    <w:rPr>
      <w:rFonts w:ascii="ＭＳ 明朝" w:eastAsia="ＭＳ 明朝" w:hAnsi="ＭＳ 明朝" w:cs="Kochi Mincho"/>
    </w:rPr>
  </w:style>
  <w:style w:type="paragraph" w:customStyle="1" w:styleId="en7">
    <w:name w:val="目次款（en）"/>
    <w:basedOn w:val="ja7"/>
    <w:rsid w:val="00A91DBA"/>
    <w:rPr>
      <w:rFonts w:ascii="Century" w:eastAsia="Century" w:hAnsi="Century"/>
    </w:rPr>
  </w:style>
  <w:style w:type="paragraph" w:customStyle="1" w:styleId="ja8">
    <w:name w:val="別表名（ja）"/>
    <w:basedOn w:val="a"/>
    <w:rsid w:val="00A91D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1DBA"/>
    <w:rPr>
      <w:rFonts w:ascii="Century" w:eastAsia="Century" w:hAnsi="Century" w:cs="Century"/>
    </w:rPr>
  </w:style>
  <w:style w:type="paragraph" w:customStyle="1" w:styleId="ja9">
    <w:name w:val="目（ja）"/>
    <w:basedOn w:val="a"/>
    <w:rsid w:val="00A91DBA"/>
    <w:pPr>
      <w:widowControl w:val="0"/>
      <w:ind w:left="1541" w:hanging="221"/>
    </w:pPr>
    <w:rPr>
      <w:rFonts w:ascii="ＭＳ 明朝" w:eastAsia="ＭＳ 明朝" w:hAnsi="ＭＳ 明朝" w:cs="ＭＳ 明朝"/>
      <w:b/>
    </w:rPr>
  </w:style>
  <w:style w:type="paragraph" w:customStyle="1" w:styleId="en9">
    <w:name w:val="目（en）"/>
    <w:basedOn w:val="ja9"/>
    <w:rsid w:val="00A91DBA"/>
    <w:rPr>
      <w:rFonts w:ascii="Century" w:eastAsia="Century" w:hAnsi="Century" w:cs="Century"/>
    </w:rPr>
  </w:style>
  <w:style w:type="paragraph" w:customStyle="1" w:styleId="jaa">
    <w:name w:val="見出し（ja）"/>
    <w:basedOn w:val="a"/>
    <w:rsid w:val="00A91DBA"/>
    <w:pPr>
      <w:widowControl w:val="0"/>
      <w:ind w:left="439" w:hanging="219"/>
    </w:pPr>
    <w:rPr>
      <w:rFonts w:ascii="ＭＳ 明朝" w:eastAsia="ＭＳ 明朝" w:hAnsi="ＭＳ 明朝" w:cs="ＭＳ 明朝"/>
    </w:rPr>
  </w:style>
  <w:style w:type="paragraph" w:customStyle="1" w:styleId="ena">
    <w:name w:val="見出し（en）"/>
    <w:basedOn w:val="jaa"/>
    <w:rsid w:val="00A91DBA"/>
    <w:rPr>
      <w:rFonts w:ascii="Century" w:eastAsia="Century" w:hAnsi="Century" w:cs="Century"/>
    </w:rPr>
  </w:style>
  <w:style w:type="paragraph" w:styleId="a3">
    <w:name w:val="footer"/>
    <w:basedOn w:val="a"/>
    <w:rsid w:val="00A91D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1DBA"/>
    <w:pPr>
      <w:widowControl w:val="0"/>
      <w:ind w:left="1099" w:hanging="219"/>
    </w:pPr>
    <w:rPr>
      <w:rFonts w:ascii="ＭＳ 明朝" w:eastAsia="ＭＳ 明朝" w:hAnsi="ＭＳ 明朝" w:cs="Kochi Mincho"/>
    </w:rPr>
  </w:style>
  <w:style w:type="paragraph" w:customStyle="1" w:styleId="enb">
    <w:name w:val="目次目（en）"/>
    <w:basedOn w:val="jab"/>
    <w:rsid w:val="00A91DBA"/>
    <w:rPr>
      <w:rFonts w:ascii="Century" w:eastAsia="Century" w:hAnsi="Century"/>
    </w:rPr>
  </w:style>
  <w:style w:type="paragraph" w:customStyle="1" w:styleId="jac">
    <w:name w:val="目次附則（ja）"/>
    <w:basedOn w:val="a"/>
    <w:rsid w:val="00A91DBA"/>
    <w:pPr>
      <w:widowControl w:val="0"/>
      <w:ind w:left="439" w:hanging="219"/>
    </w:pPr>
    <w:rPr>
      <w:rFonts w:ascii="ＭＳ 明朝" w:eastAsia="ＭＳ 明朝" w:hAnsi="ＭＳ 明朝" w:cs="Kochi Mincho"/>
    </w:rPr>
  </w:style>
  <w:style w:type="paragraph" w:customStyle="1" w:styleId="enc">
    <w:name w:val="目次附則（en）"/>
    <w:basedOn w:val="jac"/>
    <w:rsid w:val="00A91DBA"/>
    <w:rPr>
      <w:rFonts w:ascii="Century" w:eastAsia="Century" w:hAnsi="Century" w:cs="Century"/>
    </w:rPr>
  </w:style>
  <w:style w:type="paragraph" w:customStyle="1" w:styleId="jad">
    <w:name w:val="目次前文（ja）"/>
    <w:basedOn w:val="jac"/>
    <w:rsid w:val="00A91DBA"/>
  </w:style>
  <w:style w:type="paragraph" w:customStyle="1" w:styleId="end">
    <w:name w:val="目次前文（en）"/>
    <w:basedOn w:val="enc"/>
    <w:rsid w:val="00A91DBA"/>
  </w:style>
  <w:style w:type="paragraph" w:customStyle="1" w:styleId="jae">
    <w:name w:val="制定文（ja）"/>
    <w:basedOn w:val="a"/>
    <w:rsid w:val="00A91DBA"/>
    <w:pPr>
      <w:widowControl w:val="0"/>
      <w:ind w:firstLine="219"/>
    </w:pPr>
    <w:rPr>
      <w:rFonts w:ascii="ＭＳ 明朝" w:eastAsia="ＭＳ 明朝" w:hAnsi="ＭＳ 明朝" w:cs="ＭＳ 明朝"/>
    </w:rPr>
  </w:style>
  <w:style w:type="paragraph" w:customStyle="1" w:styleId="ene">
    <w:name w:val="制定文（en）"/>
    <w:basedOn w:val="jae"/>
    <w:rsid w:val="00A91DBA"/>
    <w:rPr>
      <w:rFonts w:ascii="Century" w:eastAsia="Century" w:hAnsi="Century" w:cs="Century"/>
    </w:rPr>
  </w:style>
  <w:style w:type="paragraph" w:customStyle="1" w:styleId="jaf">
    <w:name w:val="法令番号（ja）"/>
    <w:basedOn w:val="a"/>
    <w:rsid w:val="00A91DBA"/>
    <w:pPr>
      <w:widowControl w:val="0"/>
      <w:jc w:val="right"/>
    </w:pPr>
    <w:rPr>
      <w:rFonts w:ascii="ＭＳ 明朝" w:eastAsia="ＭＳ 明朝" w:hAnsi="ＭＳ 明朝" w:cs="Kochi Mincho"/>
    </w:rPr>
  </w:style>
  <w:style w:type="paragraph" w:customStyle="1" w:styleId="enf">
    <w:name w:val="法令番号（en）"/>
    <w:basedOn w:val="jaf"/>
    <w:rsid w:val="00A91DBA"/>
    <w:rPr>
      <w:rFonts w:ascii="Century" w:eastAsia="Century" w:hAnsi="Century" w:cs="Century"/>
    </w:rPr>
  </w:style>
  <w:style w:type="paragraph" w:customStyle="1" w:styleId="jaf0">
    <w:name w:val="目次（ja）"/>
    <w:basedOn w:val="a"/>
    <w:rsid w:val="00A91DBA"/>
    <w:rPr>
      <w:rFonts w:ascii="ＭＳ 明朝" w:eastAsia="ＭＳ 明朝" w:hAnsi="ＭＳ 明朝"/>
    </w:rPr>
  </w:style>
  <w:style w:type="paragraph" w:customStyle="1" w:styleId="enf0">
    <w:name w:val="目次（en）"/>
    <w:basedOn w:val="jaf0"/>
    <w:rsid w:val="00A91DBA"/>
    <w:rPr>
      <w:rFonts w:ascii="Century" w:eastAsia="Century" w:hAnsi="Century"/>
    </w:rPr>
  </w:style>
  <w:style w:type="paragraph" w:customStyle="1" w:styleId="jaf1">
    <w:name w:val="編（ja）"/>
    <w:basedOn w:val="a"/>
    <w:rsid w:val="00A91DBA"/>
    <w:pPr>
      <w:widowControl w:val="0"/>
      <w:ind w:left="661" w:hanging="221"/>
    </w:pPr>
    <w:rPr>
      <w:rFonts w:ascii="ＭＳ 明朝" w:eastAsia="ＭＳ 明朝" w:hAnsi="ＭＳ 明朝" w:cs="ＭＳ 明朝"/>
      <w:b/>
    </w:rPr>
  </w:style>
  <w:style w:type="paragraph" w:customStyle="1" w:styleId="enf1">
    <w:name w:val="編（en）"/>
    <w:basedOn w:val="jaf1"/>
    <w:rsid w:val="00A91DBA"/>
    <w:rPr>
      <w:rFonts w:ascii="Century" w:eastAsia="Century" w:hAnsi="Century" w:cs="Century"/>
    </w:rPr>
  </w:style>
  <w:style w:type="paragraph" w:customStyle="1" w:styleId="jaf2">
    <w:name w:val="節（ja）"/>
    <w:basedOn w:val="a"/>
    <w:rsid w:val="00A91DBA"/>
    <w:pPr>
      <w:widowControl w:val="0"/>
      <w:ind w:left="1101" w:hanging="221"/>
    </w:pPr>
    <w:rPr>
      <w:rFonts w:ascii="ＭＳ 明朝" w:eastAsia="ＭＳ 明朝" w:hAnsi="ＭＳ 明朝" w:cs="ＭＳ 明朝"/>
      <w:b/>
    </w:rPr>
  </w:style>
  <w:style w:type="paragraph" w:customStyle="1" w:styleId="enf2">
    <w:name w:val="節（en）"/>
    <w:basedOn w:val="jaf2"/>
    <w:rsid w:val="00A91DBA"/>
    <w:rPr>
      <w:rFonts w:ascii="Century" w:eastAsia="Century" w:hAnsi="Century" w:cs="Century"/>
    </w:rPr>
  </w:style>
  <w:style w:type="paragraph" w:customStyle="1" w:styleId="jaf3">
    <w:name w:val="条（ja）"/>
    <w:basedOn w:val="a"/>
    <w:rsid w:val="00A91DBA"/>
    <w:pPr>
      <w:widowControl w:val="0"/>
      <w:ind w:left="219" w:hanging="219"/>
    </w:pPr>
    <w:rPr>
      <w:rFonts w:ascii="ＭＳ 明朝" w:eastAsia="ＭＳ 明朝" w:hAnsi="ＭＳ 明朝" w:cs="ＭＳ 明朝"/>
    </w:rPr>
  </w:style>
  <w:style w:type="paragraph" w:customStyle="1" w:styleId="enf3">
    <w:name w:val="条（en）"/>
    <w:basedOn w:val="jaf3"/>
    <w:rsid w:val="00A91DBA"/>
    <w:rPr>
      <w:rFonts w:ascii="Century" w:eastAsia="Century" w:hAnsi="Century" w:cs="Century"/>
    </w:rPr>
  </w:style>
  <w:style w:type="paragraph" w:customStyle="1" w:styleId="jaf4">
    <w:name w:val="項（ja）"/>
    <w:basedOn w:val="a"/>
    <w:rsid w:val="00A91DBA"/>
    <w:pPr>
      <w:widowControl w:val="0"/>
      <w:ind w:left="219" w:hanging="219"/>
    </w:pPr>
    <w:rPr>
      <w:rFonts w:ascii="ＭＳ 明朝" w:eastAsia="ＭＳ 明朝" w:hAnsi="ＭＳ 明朝" w:cs="ＭＳ 明朝"/>
    </w:rPr>
  </w:style>
  <w:style w:type="paragraph" w:customStyle="1" w:styleId="enf4">
    <w:name w:val="項（en）"/>
    <w:basedOn w:val="jaf4"/>
    <w:rsid w:val="00A91DBA"/>
    <w:rPr>
      <w:rFonts w:ascii="Century" w:eastAsia="Century" w:hAnsi="Century" w:cs="Century"/>
    </w:rPr>
  </w:style>
  <w:style w:type="paragraph" w:customStyle="1" w:styleId="jaf5">
    <w:name w:val="項　番号なし（ja）"/>
    <w:basedOn w:val="a"/>
    <w:rsid w:val="00A91DBA"/>
    <w:pPr>
      <w:widowControl w:val="0"/>
      <w:ind w:firstLine="221"/>
    </w:pPr>
    <w:rPr>
      <w:rFonts w:ascii="ＭＳ 明朝" w:eastAsia="ＭＳ 明朝" w:hAnsi="ＭＳ 明朝" w:cs="ＭＳ 明朝"/>
    </w:rPr>
  </w:style>
  <w:style w:type="paragraph" w:customStyle="1" w:styleId="enf5">
    <w:name w:val="項　番号なし（en）"/>
    <w:basedOn w:val="jaf5"/>
    <w:rsid w:val="00A91DBA"/>
    <w:rPr>
      <w:rFonts w:ascii="Century" w:eastAsia="Century" w:hAnsi="Century" w:cs="Century"/>
    </w:rPr>
  </w:style>
  <w:style w:type="paragraph" w:customStyle="1" w:styleId="jaf6">
    <w:name w:val="号（ja）"/>
    <w:basedOn w:val="a"/>
    <w:rsid w:val="00A91DBA"/>
    <w:pPr>
      <w:widowControl w:val="0"/>
      <w:ind w:left="439" w:hanging="219"/>
    </w:pPr>
    <w:rPr>
      <w:rFonts w:ascii="ＭＳ 明朝" w:eastAsia="ＭＳ 明朝" w:hAnsi="ＭＳ 明朝" w:cs="ＭＳ 明朝"/>
    </w:rPr>
  </w:style>
  <w:style w:type="paragraph" w:customStyle="1" w:styleId="enf6">
    <w:name w:val="号（en）"/>
    <w:basedOn w:val="jaf6"/>
    <w:rsid w:val="00A91DBA"/>
    <w:rPr>
      <w:rFonts w:ascii="Century" w:eastAsia="Century" w:hAnsi="Century" w:cs="Century"/>
    </w:rPr>
  </w:style>
  <w:style w:type="paragraph" w:customStyle="1" w:styleId="jaf7">
    <w:name w:val="号　番号なし（ja）"/>
    <w:basedOn w:val="a"/>
    <w:rsid w:val="00A91DBA"/>
    <w:pPr>
      <w:widowControl w:val="0"/>
      <w:ind w:left="221" w:firstLine="221"/>
    </w:pPr>
    <w:rPr>
      <w:rFonts w:ascii="ＭＳ 明朝" w:eastAsia="ＭＳ 明朝" w:hAnsi="ＭＳ 明朝" w:cs="ＭＳ 明朝"/>
    </w:rPr>
  </w:style>
  <w:style w:type="paragraph" w:customStyle="1" w:styleId="enf7">
    <w:name w:val="号　番号なし（en）"/>
    <w:basedOn w:val="jaf7"/>
    <w:rsid w:val="00A91DBA"/>
    <w:rPr>
      <w:rFonts w:ascii="Century" w:eastAsia="Century" w:hAnsi="Century" w:cs="Century"/>
    </w:rPr>
  </w:style>
  <w:style w:type="paragraph" w:customStyle="1" w:styleId="jaf8">
    <w:name w:val="備考号（ja）"/>
    <w:basedOn w:val="a"/>
    <w:rsid w:val="00A91DBA"/>
    <w:pPr>
      <w:widowControl w:val="0"/>
      <w:ind w:left="659" w:hanging="219"/>
    </w:pPr>
    <w:rPr>
      <w:rFonts w:ascii="ＭＳ 明朝" w:eastAsia="ＭＳ 明朝" w:hAnsi="ＭＳ 明朝" w:cs="ＭＳ 明朝"/>
    </w:rPr>
  </w:style>
  <w:style w:type="paragraph" w:customStyle="1" w:styleId="enf8">
    <w:name w:val="備考号（en）"/>
    <w:basedOn w:val="jaf8"/>
    <w:rsid w:val="00A91DBA"/>
    <w:rPr>
      <w:rFonts w:ascii="Century" w:eastAsia="Century" w:hAnsi="Century" w:cs="Century"/>
    </w:rPr>
  </w:style>
  <w:style w:type="paragraph" w:customStyle="1" w:styleId="jaf9">
    <w:name w:val="号細分（ja）"/>
    <w:basedOn w:val="a"/>
    <w:rsid w:val="00A91DBA"/>
    <w:pPr>
      <w:widowControl w:val="0"/>
      <w:ind w:left="659" w:hanging="219"/>
    </w:pPr>
    <w:rPr>
      <w:rFonts w:ascii="ＭＳ 明朝" w:eastAsia="ＭＳ 明朝" w:hAnsi="ＭＳ 明朝" w:cs="ＭＳ 明朝"/>
    </w:rPr>
  </w:style>
  <w:style w:type="paragraph" w:customStyle="1" w:styleId="enf9">
    <w:name w:val="号細分（en）"/>
    <w:basedOn w:val="jaf9"/>
    <w:rsid w:val="00A91DBA"/>
    <w:rPr>
      <w:rFonts w:ascii="Century" w:eastAsia="Century" w:hAnsi="Century" w:cs="Century"/>
    </w:rPr>
  </w:style>
  <w:style w:type="paragraph" w:customStyle="1" w:styleId="jafa">
    <w:name w:val="号細分　番号なし（ja）"/>
    <w:basedOn w:val="a"/>
    <w:rsid w:val="00A91DBA"/>
    <w:pPr>
      <w:widowControl w:val="0"/>
      <w:ind w:left="439"/>
    </w:pPr>
    <w:rPr>
      <w:rFonts w:ascii="ＭＳ 明朝" w:eastAsia="ＭＳ 明朝" w:hAnsi="ＭＳ 明朝" w:cs="ＭＳ 明朝"/>
    </w:rPr>
  </w:style>
  <w:style w:type="paragraph" w:customStyle="1" w:styleId="enfa">
    <w:name w:val="号細分　番号なし（en）"/>
    <w:basedOn w:val="jafa"/>
    <w:rsid w:val="00A91DBA"/>
    <w:rPr>
      <w:rFonts w:ascii="Century" w:eastAsia="Century" w:hAnsi="Century" w:cs="Century"/>
    </w:rPr>
  </w:style>
  <w:style w:type="paragraph" w:customStyle="1" w:styleId="jafb">
    <w:name w:val="備考号細分（ja）"/>
    <w:basedOn w:val="a"/>
    <w:rsid w:val="00A91DBA"/>
    <w:pPr>
      <w:widowControl w:val="0"/>
      <w:ind w:left="1099" w:hanging="439"/>
    </w:pPr>
    <w:rPr>
      <w:rFonts w:ascii="ＭＳ 明朝" w:eastAsia="ＭＳ 明朝" w:hAnsi="ＭＳ 明朝" w:cs="ＭＳ 明朝"/>
    </w:rPr>
  </w:style>
  <w:style w:type="paragraph" w:customStyle="1" w:styleId="enfb">
    <w:name w:val="備考号細分（en）"/>
    <w:basedOn w:val="jafb"/>
    <w:rsid w:val="00A91DBA"/>
    <w:rPr>
      <w:rFonts w:ascii="Century" w:eastAsia="Century" w:hAnsi="Century" w:cs="Century"/>
    </w:rPr>
  </w:style>
  <w:style w:type="paragraph" w:customStyle="1" w:styleId="jafc">
    <w:name w:val="号細細分（ja）"/>
    <w:basedOn w:val="a"/>
    <w:rsid w:val="00A91DBA"/>
    <w:pPr>
      <w:widowControl w:val="0"/>
      <w:ind w:left="1099" w:hanging="439"/>
    </w:pPr>
    <w:rPr>
      <w:rFonts w:ascii="ＭＳ 明朝" w:eastAsia="ＭＳ 明朝" w:hAnsi="ＭＳ 明朝" w:cs="ＭＳ 明朝"/>
    </w:rPr>
  </w:style>
  <w:style w:type="paragraph" w:customStyle="1" w:styleId="enfc">
    <w:name w:val="号細細分（en）"/>
    <w:basedOn w:val="jafc"/>
    <w:rsid w:val="00A91DBA"/>
    <w:rPr>
      <w:rFonts w:ascii="Century" w:eastAsia="Century" w:hAnsi="Century" w:cs="Century"/>
    </w:rPr>
  </w:style>
  <w:style w:type="paragraph" w:customStyle="1" w:styleId="jafd">
    <w:name w:val="号細細分　番号なし（ja）"/>
    <w:basedOn w:val="a"/>
    <w:rsid w:val="00A91DBA"/>
    <w:pPr>
      <w:widowControl w:val="0"/>
      <w:ind w:left="659"/>
    </w:pPr>
    <w:rPr>
      <w:rFonts w:ascii="ＭＳ 明朝" w:eastAsia="ＭＳ 明朝" w:hAnsi="ＭＳ 明朝" w:cs="ＭＳ 明朝"/>
    </w:rPr>
  </w:style>
  <w:style w:type="paragraph" w:customStyle="1" w:styleId="enfd">
    <w:name w:val="号細細分　番号なし（en）"/>
    <w:basedOn w:val="jafd"/>
    <w:rsid w:val="00A91DBA"/>
    <w:rPr>
      <w:rFonts w:ascii="Century" w:eastAsia="Century" w:hAnsi="Century" w:cs="Century"/>
    </w:rPr>
  </w:style>
  <w:style w:type="paragraph" w:customStyle="1" w:styleId="jafe">
    <w:name w:val="備考号細細分（ja）"/>
    <w:basedOn w:val="a"/>
    <w:rsid w:val="00A91DBA"/>
    <w:pPr>
      <w:widowControl w:val="0"/>
      <w:ind w:left="1319" w:hanging="439"/>
    </w:pPr>
    <w:rPr>
      <w:rFonts w:ascii="ＭＳ 明朝" w:eastAsia="ＭＳ 明朝" w:hAnsi="ＭＳ 明朝" w:cs="ＭＳ 明朝"/>
    </w:rPr>
  </w:style>
  <w:style w:type="paragraph" w:customStyle="1" w:styleId="enfe">
    <w:name w:val="備考号細細分（en）"/>
    <w:basedOn w:val="jafe"/>
    <w:rsid w:val="00A91DBA"/>
    <w:rPr>
      <w:rFonts w:ascii="Century" w:eastAsia="Century" w:hAnsi="Century" w:cs="Century"/>
    </w:rPr>
  </w:style>
  <w:style w:type="paragraph" w:customStyle="1" w:styleId="jaff">
    <w:name w:val="号細細細分（ja）"/>
    <w:basedOn w:val="a"/>
    <w:rsid w:val="00A91DBA"/>
    <w:pPr>
      <w:widowControl w:val="0"/>
      <w:ind w:left="1319" w:hanging="439"/>
    </w:pPr>
    <w:rPr>
      <w:rFonts w:ascii="ＭＳ 明朝" w:eastAsia="ＭＳ 明朝" w:hAnsi="ＭＳ 明朝" w:cs="ＭＳ 明朝"/>
    </w:rPr>
  </w:style>
  <w:style w:type="paragraph" w:customStyle="1" w:styleId="enff">
    <w:name w:val="号細細細分（en）"/>
    <w:basedOn w:val="jaff"/>
    <w:rsid w:val="00A91DBA"/>
    <w:rPr>
      <w:rFonts w:ascii="Century" w:eastAsia="Century" w:hAnsi="Century" w:cs="Century"/>
    </w:rPr>
  </w:style>
  <w:style w:type="paragraph" w:customStyle="1" w:styleId="jaff0">
    <w:name w:val="号細細細分　番号なし（ja）"/>
    <w:basedOn w:val="a"/>
    <w:rsid w:val="00A91DBA"/>
    <w:pPr>
      <w:widowControl w:val="0"/>
      <w:ind w:left="879"/>
    </w:pPr>
    <w:rPr>
      <w:rFonts w:ascii="ＭＳ 明朝" w:eastAsia="ＭＳ 明朝" w:hAnsi="ＭＳ 明朝" w:cs="ＭＳ 明朝"/>
    </w:rPr>
  </w:style>
  <w:style w:type="paragraph" w:customStyle="1" w:styleId="enff0">
    <w:name w:val="号細細細分　番号なし（en）"/>
    <w:basedOn w:val="jaff0"/>
    <w:rsid w:val="00A91DBA"/>
    <w:rPr>
      <w:rFonts w:ascii="Century" w:eastAsia="Century" w:hAnsi="Century" w:cs="Century"/>
    </w:rPr>
  </w:style>
  <w:style w:type="paragraph" w:customStyle="1" w:styleId="jaff1">
    <w:name w:val="備考号細細細分（ja）"/>
    <w:basedOn w:val="a"/>
    <w:rsid w:val="00A91D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1DBA"/>
    <w:rPr>
      <w:rFonts w:ascii="Century" w:eastAsia="Century" w:hAnsi="Century" w:cs="Century"/>
    </w:rPr>
  </w:style>
  <w:style w:type="paragraph" w:customStyle="1" w:styleId="jaff2">
    <w:name w:val="類（ja）"/>
    <w:basedOn w:val="a"/>
    <w:rsid w:val="00A91DBA"/>
    <w:pPr>
      <w:widowControl w:val="0"/>
      <w:ind w:left="439" w:hanging="219"/>
    </w:pPr>
    <w:rPr>
      <w:rFonts w:ascii="ＭＳ 明朝" w:eastAsia="ＭＳ 明朝" w:hAnsi="ＭＳ 明朝" w:cs="ＭＳ 明朝"/>
    </w:rPr>
  </w:style>
  <w:style w:type="paragraph" w:customStyle="1" w:styleId="enff2">
    <w:name w:val="類（en）"/>
    <w:basedOn w:val="jaff2"/>
    <w:rsid w:val="00A91DBA"/>
    <w:rPr>
      <w:rFonts w:ascii="Century" w:eastAsia="Century" w:hAnsi="Century" w:cs="Century"/>
    </w:rPr>
  </w:style>
  <w:style w:type="paragraph" w:customStyle="1" w:styleId="jaff3">
    <w:name w:val="公布文（ja）"/>
    <w:basedOn w:val="a"/>
    <w:rsid w:val="00A91DBA"/>
    <w:pPr>
      <w:widowControl w:val="0"/>
      <w:ind w:firstLine="219"/>
    </w:pPr>
    <w:rPr>
      <w:rFonts w:ascii="ＭＳ 明朝" w:eastAsia="ＭＳ 明朝" w:hAnsi="ＭＳ 明朝" w:cs="ＭＳ 明朝"/>
    </w:rPr>
  </w:style>
  <w:style w:type="paragraph" w:customStyle="1" w:styleId="enff3">
    <w:name w:val="公布文（en）"/>
    <w:basedOn w:val="jaff3"/>
    <w:rsid w:val="00A91DBA"/>
    <w:rPr>
      <w:rFonts w:ascii="Century" w:eastAsia="Century" w:hAnsi="Century" w:cs="Century"/>
    </w:rPr>
  </w:style>
  <w:style w:type="paragraph" w:customStyle="1" w:styleId="jaen">
    <w:name w:val="表（ja：en）"/>
    <w:basedOn w:val="a"/>
    <w:rsid w:val="00A91DBA"/>
    <w:pPr>
      <w:widowControl w:val="0"/>
      <w:snapToGrid w:val="0"/>
    </w:pPr>
    <w:rPr>
      <w:rFonts w:ascii="Century" w:eastAsia="ＭＳ 明朝" w:hAnsi="Century"/>
    </w:rPr>
  </w:style>
  <w:style w:type="paragraph" w:customStyle="1" w:styleId="jaff4">
    <w:name w:val="備考（ja）"/>
    <w:basedOn w:val="a"/>
    <w:rsid w:val="00A91DBA"/>
    <w:pPr>
      <w:widowControl w:val="0"/>
      <w:ind w:left="439" w:hanging="219"/>
    </w:pPr>
    <w:rPr>
      <w:rFonts w:ascii="ＭＳ 明朝" w:eastAsia="ＭＳ 明朝" w:hAnsi="ＭＳ 明朝" w:cs="ＭＳ 明朝"/>
    </w:rPr>
  </w:style>
  <w:style w:type="paragraph" w:customStyle="1" w:styleId="enff4">
    <w:name w:val="備考（en）"/>
    <w:basedOn w:val="jaff4"/>
    <w:rsid w:val="00A91DBA"/>
    <w:rPr>
      <w:rFonts w:ascii="Century" w:eastAsia="Century" w:hAnsi="Century" w:cs="Century"/>
    </w:rPr>
  </w:style>
  <w:style w:type="paragraph" w:customStyle="1" w:styleId="jaff5">
    <w:name w:val="表タイトル（ja）"/>
    <w:basedOn w:val="a"/>
    <w:rsid w:val="00A91DBA"/>
    <w:pPr>
      <w:widowControl w:val="0"/>
      <w:ind w:left="219"/>
    </w:pPr>
    <w:rPr>
      <w:rFonts w:ascii="ＭＳ 明朝" w:eastAsia="ＭＳ 明朝" w:hAnsi="ＭＳ 明朝" w:cs="ＭＳ 明朝"/>
    </w:rPr>
  </w:style>
  <w:style w:type="paragraph" w:customStyle="1" w:styleId="enff5">
    <w:name w:val="表タイトル（en）"/>
    <w:basedOn w:val="jaff5"/>
    <w:rsid w:val="00A91DBA"/>
    <w:rPr>
      <w:rFonts w:ascii="Century" w:eastAsia="Century" w:hAnsi="Century" w:cs="Century"/>
    </w:rPr>
  </w:style>
  <w:style w:type="paragraph" w:customStyle="1" w:styleId="jaff6">
    <w:name w:val="改正規定文（ja）"/>
    <w:basedOn w:val="a"/>
    <w:rsid w:val="00A91DBA"/>
    <w:pPr>
      <w:widowControl w:val="0"/>
      <w:ind w:left="219" w:firstLine="219"/>
    </w:pPr>
    <w:rPr>
      <w:rFonts w:ascii="ＭＳ 明朝" w:eastAsia="ＭＳ 明朝" w:hAnsi="ＭＳ 明朝" w:cs="ＭＳ 明朝"/>
    </w:rPr>
  </w:style>
  <w:style w:type="paragraph" w:customStyle="1" w:styleId="enff6">
    <w:name w:val="改正規定文（en）"/>
    <w:basedOn w:val="jaff6"/>
    <w:rsid w:val="00A91DBA"/>
    <w:rPr>
      <w:rFonts w:ascii="Century" w:eastAsia="Century" w:hAnsi="Century" w:cs="Century"/>
    </w:rPr>
  </w:style>
  <w:style w:type="paragraph" w:customStyle="1" w:styleId="jaff7">
    <w:name w:val="付記（ja）"/>
    <w:basedOn w:val="a"/>
    <w:rsid w:val="00A91DBA"/>
    <w:pPr>
      <w:widowControl w:val="0"/>
      <w:ind w:left="219" w:firstLine="219"/>
    </w:pPr>
    <w:rPr>
      <w:rFonts w:ascii="ＭＳ 明朝" w:eastAsia="ＭＳ 明朝" w:hAnsi="ＭＳ 明朝" w:cs="ＭＳ 明朝"/>
    </w:rPr>
  </w:style>
  <w:style w:type="paragraph" w:customStyle="1" w:styleId="enff7">
    <w:name w:val="付記（en）"/>
    <w:basedOn w:val="jaff7"/>
    <w:rsid w:val="00A91DBA"/>
    <w:rPr>
      <w:rFonts w:ascii="Century" w:eastAsia="Century" w:hAnsi="Century" w:cs="Century"/>
    </w:rPr>
  </w:style>
  <w:style w:type="paragraph" w:customStyle="1" w:styleId="jaff8">
    <w:name w:val="様式名（ja）"/>
    <w:basedOn w:val="a"/>
    <w:rsid w:val="00A91DBA"/>
    <w:pPr>
      <w:widowControl w:val="0"/>
      <w:ind w:left="439" w:hanging="219"/>
    </w:pPr>
    <w:rPr>
      <w:rFonts w:ascii="ＭＳ 明朝" w:eastAsia="ＭＳ 明朝" w:hAnsi="ＭＳ 明朝" w:cs="ＭＳ 明朝"/>
    </w:rPr>
  </w:style>
  <w:style w:type="paragraph" w:customStyle="1" w:styleId="enff8">
    <w:name w:val="様式名（en）"/>
    <w:basedOn w:val="jaff8"/>
    <w:rsid w:val="00A91DBA"/>
    <w:rPr>
      <w:rFonts w:ascii="Century" w:eastAsia="Century" w:hAnsi="Century" w:cs="Century"/>
    </w:rPr>
  </w:style>
  <w:style w:type="paragraph" w:customStyle="1" w:styleId="jaff9">
    <w:name w:val="様式項目（ja）"/>
    <w:basedOn w:val="a"/>
    <w:rsid w:val="00A91DBA"/>
    <w:pPr>
      <w:widowControl w:val="0"/>
      <w:ind w:left="221" w:firstLine="221"/>
    </w:pPr>
    <w:rPr>
      <w:rFonts w:ascii="ＭＳ 明朝" w:eastAsia="ＭＳ 明朝" w:hAnsi="ＭＳ 明朝" w:cs="ＭＳ 明朝"/>
    </w:rPr>
  </w:style>
  <w:style w:type="paragraph" w:customStyle="1" w:styleId="enff9">
    <w:name w:val="様式項目（en）"/>
    <w:basedOn w:val="jaff9"/>
    <w:rsid w:val="00A91DBA"/>
    <w:rPr>
      <w:rFonts w:ascii="Century" w:eastAsia="Century" w:hAnsi="Century" w:cs="Century"/>
    </w:rPr>
  </w:style>
  <w:style w:type="table" w:customStyle="1" w:styleId="1">
    <w:name w:val="表1"/>
    <w:rsid w:val="00A91DBA"/>
    <w:tblPr>
      <w:tblInd w:w="340" w:type="dxa"/>
      <w:tblCellMar>
        <w:top w:w="0" w:type="dxa"/>
        <w:left w:w="0" w:type="dxa"/>
        <w:bottom w:w="0" w:type="dxa"/>
        <w:right w:w="0" w:type="dxa"/>
      </w:tblCellMar>
    </w:tblPr>
  </w:style>
  <w:style w:type="numbering" w:customStyle="1" w:styleId="WW8Num1">
    <w:name w:val="WW8Num1"/>
    <w:rsid w:val="00A91DBA"/>
    <w:pPr>
      <w:numPr>
        <w:numId w:val="2"/>
      </w:numPr>
    </w:pPr>
  </w:style>
  <w:style w:type="numbering" w:customStyle="1" w:styleId="WW8Num2">
    <w:name w:val="WW8Num2"/>
    <w:rsid w:val="00A91DBA"/>
    <w:pPr>
      <w:numPr>
        <w:numId w:val="3"/>
      </w:numPr>
    </w:pPr>
  </w:style>
  <w:style w:type="numbering" w:customStyle="1" w:styleId="WW8Num3">
    <w:name w:val="WW8Num3"/>
    <w:rsid w:val="00A91DBA"/>
    <w:pPr>
      <w:numPr>
        <w:numId w:val="4"/>
      </w:numPr>
    </w:pPr>
  </w:style>
  <w:style w:type="numbering" w:customStyle="1" w:styleId="WW8Num4">
    <w:name w:val="WW8Num4"/>
    <w:rsid w:val="00A91DBA"/>
    <w:pPr>
      <w:numPr>
        <w:numId w:val="5"/>
      </w:numPr>
    </w:pPr>
  </w:style>
  <w:style w:type="numbering" w:customStyle="1" w:styleId="WW8Num5">
    <w:name w:val="WW8Num5"/>
    <w:rsid w:val="00A91DBA"/>
    <w:pPr>
      <w:numPr>
        <w:numId w:val="6"/>
      </w:numPr>
    </w:pPr>
  </w:style>
  <w:style w:type="numbering" w:customStyle="1" w:styleId="WW8Num6">
    <w:name w:val="WW8Num6"/>
    <w:rsid w:val="00A91DBA"/>
    <w:pPr>
      <w:numPr>
        <w:numId w:val="7"/>
      </w:numPr>
    </w:pPr>
  </w:style>
  <w:style w:type="numbering" w:customStyle="1" w:styleId="WW8Num7">
    <w:name w:val="WW8Num7"/>
    <w:rsid w:val="00A91DBA"/>
    <w:pPr>
      <w:numPr>
        <w:numId w:val="8"/>
      </w:numPr>
    </w:pPr>
  </w:style>
  <w:style w:type="numbering" w:customStyle="1" w:styleId="WW8Num8">
    <w:name w:val="WW8Num8"/>
    <w:rsid w:val="00A91DBA"/>
    <w:pPr>
      <w:numPr>
        <w:numId w:val="9"/>
      </w:numPr>
    </w:pPr>
  </w:style>
  <w:style w:type="numbering" w:customStyle="1" w:styleId="WW8Num9">
    <w:name w:val="WW8Num9"/>
    <w:rsid w:val="00A91DBA"/>
    <w:pPr>
      <w:numPr>
        <w:numId w:val="10"/>
      </w:numPr>
    </w:pPr>
  </w:style>
  <w:style w:type="numbering" w:customStyle="1" w:styleId="WW8Num10">
    <w:name w:val="WW8Num10"/>
    <w:rsid w:val="00A91DBA"/>
    <w:pPr>
      <w:numPr>
        <w:numId w:val="11"/>
      </w:numPr>
    </w:pPr>
  </w:style>
  <w:style w:type="numbering" w:customStyle="1" w:styleId="WW8Num11">
    <w:name w:val="WW8Num11"/>
    <w:rsid w:val="00A91DBA"/>
    <w:pPr>
      <w:numPr>
        <w:numId w:val="12"/>
      </w:numPr>
    </w:pPr>
  </w:style>
  <w:style w:type="numbering" w:customStyle="1" w:styleId="WW8Num12">
    <w:name w:val="WW8Num12"/>
    <w:rsid w:val="00A91DBA"/>
    <w:pPr>
      <w:numPr>
        <w:numId w:val="13"/>
      </w:numPr>
    </w:pPr>
  </w:style>
  <w:style w:type="paragraph" w:styleId="a4">
    <w:name w:val="header"/>
    <w:basedOn w:val="a"/>
    <w:link w:val="a5"/>
    <w:uiPriority w:val="99"/>
    <w:unhideWhenUsed/>
    <w:rsid w:val="003B60BA"/>
    <w:pPr>
      <w:tabs>
        <w:tab w:val="center" w:pos="4252"/>
        <w:tab w:val="right" w:pos="8504"/>
      </w:tabs>
      <w:snapToGrid w:val="0"/>
    </w:pPr>
  </w:style>
  <w:style w:type="character" w:customStyle="1" w:styleId="a5">
    <w:name w:val="ヘッダー (文字)"/>
    <w:basedOn w:val="a0"/>
    <w:link w:val="a4"/>
    <w:uiPriority w:val="99"/>
    <w:rsid w:val="003B60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