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414" w:rsidRDefault="00C62CCA">
      <w:pPr>
        <w:pStyle w:val="en"/>
      </w:pPr>
      <w:r>
        <w:t>Civil Conciliation Act</w:t>
      </w:r>
    </w:p>
    <w:p w:rsidR="004C6414" w:rsidRDefault="004C6414"/>
    <w:p w:rsidR="004C6414" w:rsidRDefault="00C62CCA">
      <w:pPr>
        <w:pStyle w:val="enf"/>
      </w:pPr>
      <w:r>
        <w:t>(Act No. 222 of June 9, 1951)</w:t>
      </w:r>
    </w:p>
    <w:p w:rsidR="004C6414" w:rsidRDefault="004C6414"/>
    <w:p w:rsidR="004C6414" w:rsidRDefault="00C62CCA">
      <w:pPr>
        <w:pStyle w:val="en5"/>
      </w:pPr>
      <w:r>
        <w:t>Chapter I General Provisions</w:t>
      </w:r>
    </w:p>
    <w:p w:rsidR="004C6414" w:rsidRDefault="00C62CCA">
      <w:pPr>
        <w:pStyle w:val="en6"/>
      </w:pPr>
      <w:r>
        <w:t>Section 1 General Rules (Articles 1 to 23)</w:t>
      </w:r>
    </w:p>
    <w:p w:rsidR="004C6414" w:rsidRDefault="00C62CCA">
      <w:pPr>
        <w:pStyle w:val="en6"/>
      </w:pPr>
      <w:r>
        <w:t>Section 2 Civil Conciliator (Articles 23-2 to 23-4)</w:t>
      </w:r>
    </w:p>
    <w:p w:rsidR="004C6414" w:rsidRDefault="00C62CCA">
      <w:pPr>
        <w:pStyle w:val="en5"/>
      </w:pPr>
      <w:r>
        <w:t>Chapter II Special Provisions</w:t>
      </w:r>
    </w:p>
    <w:p w:rsidR="004C6414" w:rsidRDefault="00C62CCA">
      <w:pPr>
        <w:pStyle w:val="en6"/>
      </w:pPr>
      <w:r>
        <w:t xml:space="preserve">Section 1 Real Estate Conciliation </w:t>
      </w:r>
      <w:r>
        <w:t>(Articles 24 to 24-3)</w:t>
      </w:r>
    </w:p>
    <w:p w:rsidR="004C6414" w:rsidRDefault="00C62CCA">
      <w:pPr>
        <w:pStyle w:val="en6"/>
      </w:pPr>
      <w:r>
        <w:t>Section 2 Agricultural Conciliation (Articles 25 to 30)</w:t>
      </w:r>
    </w:p>
    <w:p w:rsidR="004C6414" w:rsidRDefault="00C62CCA">
      <w:pPr>
        <w:pStyle w:val="en6"/>
      </w:pPr>
      <w:r>
        <w:t>Section 3 Commercial Conciliation (Article 31)</w:t>
      </w:r>
    </w:p>
    <w:p w:rsidR="004C6414" w:rsidRDefault="00C62CCA">
      <w:pPr>
        <w:pStyle w:val="en6"/>
      </w:pPr>
      <w:r>
        <w:t>Section 4 Mining Pollution Conciliation (Articles 32 and 33)</w:t>
      </w:r>
    </w:p>
    <w:p w:rsidR="004C6414" w:rsidRDefault="00C62CCA">
      <w:pPr>
        <w:pStyle w:val="en6"/>
      </w:pPr>
      <w:r>
        <w:t>Section 5 Traffic Accident Conciliation (Article 33-2)</w:t>
      </w:r>
    </w:p>
    <w:p w:rsidR="004C6414" w:rsidRDefault="00C62CCA">
      <w:pPr>
        <w:pStyle w:val="en6"/>
      </w:pPr>
      <w:r>
        <w:t>Section 6 Pollu</w:t>
      </w:r>
      <w:r>
        <w:t>tion Conciliation (Article 33-3)</w:t>
      </w:r>
    </w:p>
    <w:p w:rsidR="004C6414" w:rsidRDefault="00C62CCA">
      <w:pPr>
        <w:pStyle w:val="en5"/>
      </w:pPr>
      <w:r>
        <w:t>Chapter III Penal Provisions (Articles 34 to 38)</w:t>
      </w:r>
    </w:p>
    <w:p w:rsidR="004C6414" w:rsidRDefault="00C62CCA">
      <w:pPr>
        <w:pStyle w:val="enc"/>
      </w:pPr>
      <w:r>
        <w:t>Supplementary Provisions</w:t>
      </w:r>
    </w:p>
    <w:p w:rsidR="004C6414" w:rsidRDefault="004C6414"/>
    <w:p w:rsidR="004C6414" w:rsidRDefault="00C62CCA">
      <w:pPr>
        <w:pStyle w:val="en3"/>
      </w:pPr>
      <w:r>
        <w:t>Chapter I General Provisions</w:t>
      </w:r>
    </w:p>
    <w:p w:rsidR="004C6414" w:rsidRDefault="00C62CCA">
      <w:pPr>
        <w:pStyle w:val="enf2"/>
      </w:pPr>
      <w:r>
        <w:t>Section 1 General Rules</w:t>
      </w:r>
    </w:p>
    <w:p w:rsidR="004C6414" w:rsidRDefault="004C6414"/>
    <w:p w:rsidR="004C6414" w:rsidRDefault="00C62CCA">
      <w:pPr>
        <w:pStyle w:val="ena"/>
      </w:pPr>
      <w:r>
        <w:t>(Purpose of This Act)</w:t>
      </w:r>
    </w:p>
    <w:p w:rsidR="004C6414" w:rsidRDefault="00C62CCA">
      <w:pPr>
        <w:pStyle w:val="enf3"/>
      </w:pPr>
      <w:r>
        <w:t>Article 1  The purpose of this Act is to achieve resolution of civil dis</w:t>
      </w:r>
      <w:r>
        <w:t>putes based on compromise between the parties and in accordance with reason and the circumstances of the disputes.</w:t>
      </w:r>
    </w:p>
    <w:p w:rsidR="004C6414" w:rsidRDefault="004C6414"/>
    <w:p w:rsidR="004C6414" w:rsidRDefault="00C62CCA">
      <w:pPr>
        <w:pStyle w:val="ena"/>
      </w:pPr>
      <w:r>
        <w:t>(Conciliation Case)</w:t>
      </w:r>
    </w:p>
    <w:p w:rsidR="004C6414" w:rsidRDefault="00C62CCA">
      <w:pPr>
        <w:pStyle w:val="enf3"/>
      </w:pPr>
      <w:r>
        <w:t>Article 2  When a civil dispute arises, a party may file a petition for conciliation with a court.</w:t>
      </w:r>
    </w:p>
    <w:p w:rsidR="004C6414" w:rsidRDefault="004C6414"/>
    <w:p w:rsidR="004C6414" w:rsidRDefault="00C62CCA">
      <w:pPr>
        <w:pStyle w:val="ena"/>
      </w:pPr>
      <w:r>
        <w:t>(Jurisdiction)</w:t>
      </w:r>
    </w:p>
    <w:p w:rsidR="004C6414" w:rsidRDefault="00C62CCA">
      <w:pPr>
        <w:pStyle w:val="enf3"/>
      </w:pPr>
      <w:r>
        <w:t>Article 3  Except as otherwise provided, a conciliation case shall be under the jurisdiction of the summary court that has jurisdiction over the location of the domicile, residence, business office, or any other office of the respondent, or the district co</w:t>
      </w:r>
      <w:r>
        <w:t>urt or summary court agreed to by the parties.</w:t>
      </w:r>
    </w:p>
    <w:p w:rsidR="004C6414" w:rsidRDefault="004C6414"/>
    <w:p w:rsidR="004C6414" w:rsidRDefault="00C62CCA">
      <w:pPr>
        <w:pStyle w:val="ena"/>
      </w:pPr>
      <w:r>
        <w:t>(Transfer, etc.)</w:t>
      </w:r>
    </w:p>
    <w:p w:rsidR="004C6414" w:rsidRDefault="00C62CCA">
      <w:pPr>
        <w:pStyle w:val="enf3"/>
      </w:pPr>
      <w:r>
        <w:t>Article 4  (1) If the court receives a petition for a case that is not under its jurisdiction, it must transfer such case to the district court, family court, or summary court that has jurisd</w:t>
      </w:r>
      <w:r>
        <w:t xml:space="preserve">iction; provided, however, that when the court finds it particularly necessary to the processing of the case, the court may </w:t>
      </w:r>
      <w:r>
        <w:lastRenderedPageBreak/>
        <w:t>transfer all or part of the case to another court with jurisdiction or process the case by itself, notwithstanding the provisions on</w:t>
      </w:r>
      <w:r>
        <w:t xml:space="preserve"> territorial jurisdiction.</w:t>
      </w:r>
    </w:p>
    <w:p w:rsidR="004C6414" w:rsidRDefault="00C62CCA">
      <w:pPr>
        <w:pStyle w:val="enf4"/>
      </w:pPr>
      <w:r>
        <w:t>(2) Even if the court receives a petition for a case that is under its jurisdiction, when the court finds it appropriate to the processing of the case, it may transfer all or part of the case to another court with jurisdiction, n</w:t>
      </w:r>
      <w:r>
        <w:t>otwithstanding the provisions on territorial jurisdiction.</w:t>
      </w:r>
    </w:p>
    <w:p w:rsidR="004C6414" w:rsidRDefault="004C6414"/>
    <w:p w:rsidR="004C6414" w:rsidRDefault="00C62CCA">
      <w:pPr>
        <w:pStyle w:val="ena"/>
      </w:pPr>
      <w:r>
        <w:t>(Conciliation Body)</w:t>
      </w:r>
    </w:p>
    <w:p w:rsidR="004C6414" w:rsidRDefault="00C62CCA">
      <w:pPr>
        <w:pStyle w:val="enf3"/>
      </w:pPr>
      <w:r>
        <w:t>Article 5  (1) The court shall carry out the conciliation using a conciliation committee; provided, however, that when the court finds it appropriate, conciliation may be carri</w:t>
      </w:r>
      <w:r>
        <w:t>ed out by a judge alone.</w:t>
      </w:r>
    </w:p>
    <w:p w:rsidR="004C6414" w:rsidRDefault="00C62CCA">
      <w:pPr>
        <w:pStyle w:val="enf4"/>
      </w:pPr>
      <w:r>
        <w:t>(2) The court shall, upon the petition of a party, carry out the conciliation using a conciliation committee, notwithstanding the provision of the proviso to the preceding paragraph.</w:t>
      </w:r>
    </w:p>
    <w:p w:rsidR="004C6414" w:rsidRDefault="004C6414"/>
    <w:p w:rsidR="004C6414" w:rsidRDefault="00C62CCA">
      <w:pPr>
        <w:pStyle w:val="ena"/>
      </w:pPr>
      <w:r>
        <w:t>(Composition of the Conciliation Committee)</w:t>
      </w:r>
    </w:p>
    <w:p w:rsidR="004C6414" w:rsidRDefault="00C62CCA">
      <w:pPr>
        <w:pStyle w:val="enf3"/>
      </w:pPr>
      <w:r>
        <w:t>Art</w:t>
      </w:r>
      <w:r>
        <w:t>icle 6  A conciliation committee shall be composed of a chief conciliator and two or more civil conciliation commissioners.</w:t>
      </w:r>
    </w:p>
    <w:p w:rsidR="004C6414" w:rsidRDefault="004C6414"/>
    <w:p w:rsidR="004C6414" w:rsidRDefault="00C62CCA">
      <w:pPr>
        <w:pStyle w:val="ena"/>
      </w:pPr>
      <w:r>
        <w:t>(Designation of Chief Conciliator, etc.)</w:t>
      </w:r>
    </w:p>
    <w:p w:rsidR="004C6414" w:rsidRDefault="00C62CCA">
      <w:pPr>
        <w:pStyle w:val="enf3"/>
      </w:pPr>
      <w:r>
        <w:t>Article 7  (1) The chief conciliator shall be a judge designated by a district court.</w:t>
      </w:r>
    </w:p>
    <w:p w:rsidR="004C6414" w:rsidRDefault="00C62CCA">
      <w:pPr>
        <w:pStyle w:val="enf4"/>
      </w:pPr>
      <w:r>
        <w:t xml:space="preserve">(2) </w:t>
      </w:r>
      <w:r>
        <w:t>Civil conciliation commissioners who is a member of a conciliation committee shall be designated by the court for each case.</w:t>
      </w:r>
    </w:p>
    <w:p w:rsidR="004C6414" w:rsidRDefault="004C6414"/>
    <w:p w:rsidR="004C6414" w:rsidRDefault="00C62CCA">
      <w:pPr>
        <w:pStyle w:val="ena"/>
      </w:pPr>
      <w:r>
        <w:t>(Civil Conciliation Commissioners)</w:t>
      </w:r>
    </w:p>
    <w:p w:rsidR="004C6414" w:rsidRDefault="00C62CCA">
      <w:pPr>
        <w:pStyle w:val="enf3"/>
      </w:pPr>
      <w:r>
        <w:t>Article 8  (1) Civil conciliation commissioners shall participate in the conciliation carried o</w:t>
      </w:r>
      <w:r>
        <w:t>ut by the conciliation committee, and shall, as ordered by the court, with regard to other conciliation cases, state their opinions based on their expert knowledge and experience, hear opinions from the persons concerned with the case in order to resolve t</w:t>
      </w:r>
      <w:r>
        <w:t>he dispute as commissioned, and perform other necessary affairs as specified by the Supreme Court in order to process conciliation cases.</w:t>
      </w:r>
    </w:p>
    <w:p w:rsidR="004C6414" w:rsidRDefault="00C62CCA">
      <w:pPr>
        <w:pStyle w:val="enf4"/>
      </w:pPr>
      <w:r>
        <w:t>(2) Civil conciliation commissioners shall serve part-time, and necessary matters concerning their appointment and dis</w:t>
      </w:r>
      <w:r>
        <w:t>missal shall be specified by the Supreme Court.</w:t>
      </w:r>
    </w:p>
    <w:p w:rsidR="004C6414" w:rsidRDefault="004C6414"/>
    <w:p w:rsidR="004C6414" w:rsidRDefault="00C62CCA">
      <w:pPr>
        <w:pStyle w:val="ena"/>
      </w:pPr>
      <w:r>
        <w:t>(Allowance, etc.)</w:t>
      </w:r>
    </w:p>
    <w:p w:rsidR="004C6414" w:rsidRDefault="00C62CCA">
      <w:pPr>
        <w:pStyle w:val="enf3"/>
      </w:pPr>
      <w:r>
        <w:t>Article 9  Civil conciliation commissioners shall be paid an allowance as separately provided by law, and shall also be paid travel expenses, a daily allowance ,and accommodation expenses a</w:t>
      </w:r>
      <w:r>
        <w:t>s specified by the Supreme Court.</w:t>
      </w:r>
    </w:p>
    <w:p w:rsidR="004C6414" w:rsidRDefault="004C6414"/>
    <w:p w:rsidR="004C6414" w:rsidRDefault="00C62CCA">
      <w:pPr>
        <w:pStyle w:val="enf3"/>
      </w:pPr>
      <w:r>
        <w:lastRenderedPageBreak/>
        <w:t>Article 10  Deleted</w:t>
      </w:r>
    </w:p>
    <w:p w:rsidR="004C6414" w:rsidRDefault="004C6414"/>
    <w:p w:rsidR="004C6414" w:rsidRDefault="00C62CCA">
      <w:pPr>
        <w:pStyle w:val="ena"/>
      </w:pPr>
      <w:r>
        <w:t>(Participation by Interested Persons)</w:t>
      </w:r>
    </w:p>
    <w:p w:rsidR="004C6414" w:rsidRDefault="00C62CCA">
      <w:pPr>
        <w:pStyle w:val="enf3"/>
      </w:pPr>
      <w:r>
        <w:t>Article 11  (1) A person with an interest in the outcome of conciliation may participate in conciliation proceedings, with the permission of the conciliation comm</w:t>
      </w:r>
      <w:r>
        <w:t>ittee.</w:t>
      </w:r>
    </w:p>
    <w:p w:rsidR="004C6414" w:rsidRDefault="00C62CCA">
      <w:pPr>
        <w:pStyle w:val="enf4"/>
      </w:pPr>
      <w:r>
        <w:t>(2) The conciliation committee, when it finds it appropriate, may have any person with an interest in the outcome of conciliation participate in conciliation proceedings.</w:t>
      </w:r>
    </w:p>
    <w:p w:rsidR="004C6414" w:rsidRDefault="004C6414"/>
    <w:p w:rsidR="004C6414" w:rsidRDefault="00C62CCA">
      <w:pPr>
        <w:pStyle w:val="ena"/>
      </w:pPr>
      <w:r>
        <w:t>(Measures Prior to Conciliation)</w:t>
      </w:r>
    </w:p>
    <w:p w:rsidR="004C6414" w:rsidRDefault="00C62CCA">
      <w:pPr>
        <w:pStyle w:val="enf3"/>
      </w:pPr>
      <w:r>
        <w:t xml:space="preserve">Article 12  (1) When the </w:t>
      </w:r>
      <w:r>
        <w:t>conciliation committee finds it particularly necessary for conciliation, as a pre-conciliation measure, the conciliation committee may, upon the petition of a party, order to prohibit the respondent or any other person concerned with the case from changing</w:t>
      </w:r>
      <w:r>
        <w:t xml:space="preserve"> the existing state of or disposing of any property, or order them to cease and desist from any act that would make it impossible or extremely difficult to achieve the subject matter of the conciliation.</w:t>
      </w:r>
    </w:p>
    <w:p w:rsidR="004C6414" w:rsidRDefault="00C62CCA">
      <w:pPr>
        <w:pStyle w:val="enf4"/>
      </w:pPr>
      <w:r>
        <w:t>(2) The measure set forth in the preceding paragraph</w:t>
      </w:r>
      <w:r>
        <w:t xml:space="preserve"> shall not be enforceable.</w:t>
      </w:r>
    </w:p>
    <w:p w:rsidR="004C6414" w:rsidRDefault="004C6414"/>
    <w:p w:rsidR="004C6414" w:rsidRDefault="00C62CCA">
      <w:pPr>
        <w:pStyle w:val="ena"/>
      </w:pPr>
      <w:r>
        <w:t>(When Not to Conduct Conciliation)</w:t>
      </w:r>
    </w:p>
    <w:p w:rsidR="004C6414" w:rsidRDefault="00C62CCA">
      <w:pPr>
        <w:pStyle w:val="enf3"/>
      </w:pPr>
      <w:r>
        <w:t>Article 13  When the conciliation committee finds that a case is unsuitable for conciliation due to its nature, or finds that a party has filed a petition for conciliation for an unjust purpose</w:t>
      </w:r>
      <w:r>
        <w:t xml:space="preserve"> and without due cause, the conciliation committee may decide not to carry out the conciliation and close the case,.</w:t>
      </w:r>
    </w:p>
    <w:p w:rsidR="004C6414" w:rsidRDefault="004C6414"/>
    <w:p w:rsidR="004C6414" w:rsidRDefault="00C62CCA">
      <w:pPr>
        <w:pStyle w:val="ena"/>
      </w:pPr>
      <w:r>
        <w:t>(Unsuccessful Conciliation)</w:t>
      </w:r>
    </w:p>
    <w:p w:rsidR="004C6414" w:rsidRDefault="00C62CCA">
      <w:pPr>
        <w:pStyle w:val="enf3"/>
      </w:pPr>
      <w:r>
        <w:t>Article 14  If there is no likelihood of the parties reaching any agreement or if the conciliation committee f</w:t>
      </w:r>
      <w:r>
        <w:t>inds that the agreement reached is inappropriate, and the court does not issue an order set forth in Article 17, the conciliation committee may decide the conciliation to be unsuccessful and close the case.</w:t>
      </w:r>
    </w:p>
    <w:p w:rsidR="004C6414" w:rsidRDefault="004C6414"/>
    <w:p w:rsidR="004C6414" w:rsidRDefault="00C62CCA">
      <w:pPr>
        <w:pStyle w:val="ena"/>
      </w:pPr>
      <w:r>
        <w:t>(Application Mutatis Mutandis to Conciliation by</w:t>
      </w:r>
      <w:r>
        <w:t xml:space="preserve"> Judge Alone)</w:t>
      </w:r>
    </w:p>
    <w:p w:rsidR="004C6414" w:rsidRDefault="00C62CCA">
      <w:pPr>
        <w:pStyle w:val="enf3"/>
      </w:pPr>
      <w:r>
        <w:t>Article 15  The provisions Article 11 to the preceding Article inclusive shall apply mutatis mutandis to cases where conciliation is carried out by a judge alone.</w:t>
      </w:r>
    </w:p>
    <w:p w:rsidR="004C6414" w:rsidRDefault="004C6414"/>
    <w:p w:rsidR="004C6414" w:rsidRDefault="00C62CCA">
      <w:pPr>
        <w:pStyle w:val="ena"/>
      </w:pPr>
      <w:r>
        <w:t>(Successful Conciliation and Effect Thereof)</w:t>
      </w:r>
    </w:p>
    <w:p w:rsidR="004C6414" w:rsidRDefault="00C62CCA">
      <w:pPr>
        <w:pStyle w:val="enf3"/>
      </w:pPr>
      <w:r>
        <w:t xml:space="preserve">Article 16  When an </w:t>
      </w:r>
      <w:r>
        <w:t>agreement is reached between the parties during conciliation and it is entered in a record, the conciliation is deemed successful, and such entry shall have the same effect as a judicial settlement.</w:t>
      </w:r>
    </w:p>
    <w:p w:rsidR="004C6414" w:rsidRDefault="004C6414"/>
    <w:p w:rsidR="004C6414" w:rsidRDefault="00C62CCA">
      <w:pPr>
        <w:pStyle w:val="ena"/>
      </w:pPr>
      <w:r>
        <w:t>(Order in Lieu of Conciliation)</w:t>
      </w:r>
    </w:p>
    <w:p w:rsidR="004C6414" w:rsidRDefault="00C62CCA">
      <w:pPr>
        <w:pStyle w:val="enf3"/>
      </w:pPr>
      <w:r>
        <w:t>Article 17  If conciliat</w:t>
      </w:r>
      <w:r>
        <w:t xml:space="preserve">ion being carried out by a conciliation committee is unlikely to be successful, and the court finds it appropriate, it may, by its own authority and to an extent that does not contradict the objectives of the parties' petitions, issue a necessary order to </w:t>
      </w:r>
      <w:r>
        <w:t>resolve the case after hearing the opinions of the civil conciliation commissioners composing said conciliation committee, giving consideration to the equitable treatment of the interests of both parties, and taking into account all relevant circumstances.</w:t>
      </w:r>
      <w:r>
        <w:t xml:space="preserve"> Through said order, the court may order the payment of money, delivery of an object, or any other provision of economic benefit.</w:t>
      </w:r>
    </w:p>
    <w:p w:rsidR="004C6414" w:rsidRDefault="004C6414"/>
    <w:p w:rsidR="004C6414" w:rsidRDefault="00C62CCA">
      <w:pPr>
        <w:pStyle w:val="ena"/>
      </w:pPr>
      <w:r>
        <w:t>(Objection)</w:t>
      </w:r>
    </w:p>
    <w:p w:rsidR="004C6414" w:rsidRDefault="00C62CCA">
      <w:pPr>
        <w:pStyle w:val="enf3"/>
      </w:pPr>
      <w:r>
        <w:t>Article 18  (1) A party or any interested person may raise an objection to an order set forth in the preceding Ar</w:t>
      </w:r>
      <w:r>
        <w:t>ticle. The period for raising such an objection shall be two weeks from the day on which the party receives notice of the order.</w:t>
      </w:r>
    </w:p>
    <w:p w:rsidR="004C6414" w:rsidRDefault="00C62CCA">
      <w:pPr>
        <w:pStyle w:val="enf4"/>
      </w:pPr>
      <w:r>
        <w:t xml:space="preserve">(2) If an objection to an order is raised within the period set forth in the preceding paragraph, such order shall cease to be </w:t>
      </w:r>
      <w:r>
        <w:t>effective.</w:t>
      </w:r>
    </w:p>
    <w:p w:rsidR="004C6414" w:rsidRDefault="00C62CCA">
      <w:pPr>
        <w:pStyle w:val="enf4"/>
      </w:pPr>
      <w:r>
        <w:t>(3) If no objection is raised within the period set forth in paragraph (1), the order set forth in said paragraph shall have the same effect as a judicial settlement.</w:t>
      </w:r>
    </w:p>
    <w:p w:rsidR="004C6414" w:rsidRDefault="004C6414"/>
    <w:p w:rsidR="004C6414" w:rsidRDefault="00C62CCA">
      <w:pPr>
        <w:pStyle w:val="ena"/>
      </w:pPr>
      <w:r>
        <w:t>(Filing of Actions in Cases of Unsuccessful Conciliation, etc.)</w:t>
      </w:r>
    </w:p>
    <w:p w:rsidR="004C6414" w:rsidRDefault="00C62CCA">
      <w:pPr>
        <w:pStyle w:val="enf3"/>
      </w:pPr>
      <w:r>
        <w:t>Article 19  I</w:t>
      </w:r>
      <w:r>
        <w:t>f a case is closed pursuant to the provision of Article 14 (including cases where applied mutatis mutandis pursuant to Article 15) or if an order ceases to be effective pursuant to the provision of paragraph (2) of the preceding Article, and the petitioner</w:t>
      </w:r>
      <w:r>
        <w:t xml:space="preserve"> then files an action with regard to the claim for which conciliation was sought within two weeks from the day on which he/she receives notice to that effect, such action shall be deemed to have been filed at the time of the filing of the petition for conc</w:t>
      </w:r>
      <w:r>
        <w:t>iliation.</w:t>
      </w:r>
    </w:p>
    <w:p w:rsidR="004C6414" w:rsidRDefault="004C6414"/>
    <w:p w:rsidR="004C6414" w:rsidRDefault="00C62CCA">
      <w:pPr>
        <w:pStyle w:val="ena"/>
      </w:pPr>
      <w:r>
        <w:t>(Conciliation by Court in Charge of the Case)</w:t>
      </w:r>
    </w:p>
    <w:p w:rsidR="004C6414" w:rsidRDefault="00C62CCA">
      <w:pPr>
        <w:pStyle w:val="enf3"/>
      </w:pPr>
      <w:r>
        <w:t xml:space="preserve">Article 20  (1) When the court in charge of the case finds it appropriate, it may, by its own authority, refer the case to conciliation and process the case itself or have the case processed by a </w:t>
      </w:r>
      <w:r>
        <w:t>court with jurisdiction; provided, however, that this shall not apply to cases if the parties do not agree thereto after the completion of proceedings to arrange the issues and evidence of the case.</w:t>
      </w:r>
    </w:p>
    <w:p w:rsidR="004C6414" w:rsidRDefault="00C62CCA">
      <w:pPr>
        <w:pStyle w:val="enf4"/>
      </w:pPr>
      <w:r>
        <w:t>(2) If the case is referred to conciliation pursuant to t</w:t>
      </w:r>
      <w:r>
        <w:t>he provision of the preceding paragraph, and the conciliation is successful or an order set forth in Article 17 becomes final and binding, the action shall be deemed withdrawn.</w:t>
      </w:r>
    </w:p>
    <w:p w:rsidR="004C6414" w:rsidRDefault="00C62CCA">
      <w:pPr>
        <w:pStyle w:val="enf4"/>
      </w:pPr>
      <w:r>
        <w:t>(3) If the court in charge of a case carries out the conciliation process itsel</w:t>
      </w:r>
      <w:r>
        <w:t>f pursuant to the provision of paragraph (1), notwithstanding the provision of Article 7, paragraph (1), the chief conciliator shall be designated by the court in charge of the case from among the judges assigned thereto.</w:t>
      </w:r>
    </w:p>
    <w:p w:rsidR="004C6414" w:rsidRDefault="004C6414"/>
    <w:p w:rsidR="004C6414" w:rsidRDefault="00C62CCA">
      <w:pPr>
        <w:pStyle w:val="ena"/>
      </w:pPr>
      <w:r>
        <w:t>(Immediate Appeal)</w:t>
      </w:r>
    </w:p>
    <w:p w:rsidR="004C6414" w:rsidRDefault="00C62CCA">
      <w:pPr>
        <w:pStyle w:val="enf3"/>
      </w:pPr>
      <w:r>
        <w:t>Article 21  An</w:t>
      </w:r>
      <w:r>
        <w:t xml:space="preserve"> immediate appeal may be filed against an order made in conciliation proceedings, as specified for by the Rules of the Supreme Court. The period for filing such an appeal shall be two weeks.</w:t>
      </w:r>
    </w:p>
    <w:p w:rsidR="004C6414" w:rsidRDefault="004C6414"/>
    <w:p w:rsidR="004C6414" w:rsidRDefault="00C62CCA">
      <w:pPr>
        <w:pStyle w:val="ena"/>
      </w:pPr>
      <w:r>
        <w:t>(Application Mutatis Mutandis of the Non-Contentious Cases Proce</w:t>
      </w:r>
      <w:r>
        <w:t>dures Act)</w:t>
      </w:r>
    </w:p>
    <w:p w:rsidR="004C6414" w:rsidRDefault="00C62CCA">
      <w:pPr>
        <w:pStyle w:val="enf3"/>
      </w:pPr>
      <w:r>
        <w:t xml:space="preserve">Article 22  Except as otherwise provided, the provisions of Part I of the Non-Contentious Cases Procedures Act (Act No. 14 of 1898) shall apply mutatis mutandis to conciliation, unless contrary to the nature thereof; provided, however, that the </w:t>
      </w:r>
      <w:r>
        <w:t>provision of Article 15 of said Act shall be excluded.</w:t>
      </w:r>
    </w:p>
    <w:p w:rsidR="004C6414" w:rsidRDefault="004C6414"/>
    <w:p w:rsidR="004C6414" w:rsidRDefault="00C62CCA">
      <w:pPr>
        <w:pStyle w:val="ena"/>
      </w:pPr>
      <w:r>
        <w:t>(Matters Not Provided for in This Act)</w:t>
      </w:r>
    </w:p>
    <w:p w:rsidR="004C6414" w:rsidRDefault="00C62CCA">
      <w:pPr>
        <w:pStyle w:val="enf3"/>
      </w:pPr>
      <w:r>
        <w:t>Article 23  In addition to what is provided for in this Act, necessary matters concerning conciliation shall be specified by the Supreme Court.</w:t>
      </w:r>
    </w:p>
    <w:p w:rsidR="004C6414" w:rsidRDefault="004C6414"/>
    <w:p w:rsidR="004C6414" w:rsidRDefault="00C62CCA">
      <w:pPr>
        <w:pStyle w:val="enf2"/>
      </w:pPr>
      <w:r>
        <w:t xml:space="preserve">Section 2 Civil </w:t>
      </w:r>
      <w:r>
        <w:t>Conciliator</w:t>
      </w:r>
    </w:p>
    <w:p w:rsidR="004C6414" w:rsidRDefault="004C6414"/>
    <w:p w:rsidR="004C6414" w:rsidRDefault="00C62CCA">
      <w:pPr>
        <w:pStyle w:val="ena"/>
      </w:pPr>
      <w:r>
        <w:t>(Appointment, etc. of Civil Conciliator)</w:t>
      </w:r>
    </w:p>
    <w:p w:rsidR="004C6414" w:rsidRDefault="00C62CCA">
      <w:pPr>
        <w:pStyle w:val="enf3"/>
      </w:pPr>
      <w:r>
        <w:t>Article 23-2  (1) A civil conciliator shall be appointed by the Supreme Court from among attorneys who have served in the capacity thereof for not less than five years.</w:t>
      </w:r>
    </w:p>
    <w:p w:rsidR="004C6414" w:rsidRDefault="00C62CCA">
      <w:pPr>
        <w:pStyle w:val="enf4"/>
      </w:pPr>
      <w:r>
        <w:t>(2) A civil conciliator shall per</w:t>
      </w:r>
      <w:r>
        <w:t>form the duties necessary for processing conciliation cases, as provided for by this Act.</w:t>
      </w:r>
    </w:p>
    <w:p w:rsidR="004C6414" w:rsidRDefault="00C62CCA">
      <w:pPr>
        <w:pStyle w:val="enf4"/>
      </w:pPr>
      <w:r>
        <w:t>(3) A civil conciliator shall hold office for two years, and may be reappointed.</w:t>
      </w:r>
    </w:p>
    <w:p w:rsidR="004C6414" w:rsidRDefault="00C62CCA">
      <w:pPr>
        <w:pStyle w:val="enf4"/>
      </w:pPr>
      <w:r>
        <w:t>(4) A civil conciliator shall serve part-time.</w:t>
      </w:r>
    </w:p>
    <w:p w:rsidR="004C6414" w:rsidRDefault="00C62CCA">
      <w:pPr>
        <w:pStyle w:val="enf4"/>
      </w:pPr>
      <w:r>
        <w:t>(5) A civil conciliator shall not be d</w:t>
      </w:r>
      <w:r>
        <w:t>ismissed during his/her term of office, except in any of the cases listed in the following items:</w:t>
      </w:r>
    </w:p>
    <w:p w:rsidR="004C6414" w:rsidRDefault="00C62CCA">
      <w:pPr>
        <w:pStyle w:val="enf6"/>
      </w:pPr>
      <w:r>
        <w:t>(i) where the civil conciliator comes to fall under any of the items of Article 7 of the Attorney Act (Act No. 205 of 1949);</w:t>
      </w:r>
    </w:p>
    <w:p w:rsidR="004C6414" w:rsidRDefault="00C62CCA">
      <w:pPr>
        <w:pStyle w:val="enf6"/>
      </w:pPr>
      <w:r>
        <w:t xml:space="preserve">(ii) where the civil conciliator </w:t>
      </w:r>
      <w:r>
        <w:t>is found to be mentally or physical incompetent to perform his/her duties; or</w:t>
      </w:r>
    </w:p>
    <w:p w:rsidR="004C6414" w:rsidRDefault="00C62CCA">
      <w:pPr>
        <w:pStyle w:val="enf6"/>
      </w:pPr>
      <w:r>
        <w:t xml:space="preserve">(iii) where the civil conciliator is found to have breached his/her obligation in the course of his/her duties or committed any other misconduct so as to render him/her unfit to </w:t>
      </w:r>
      <w:r>
        <w:t>serve as a civil conciliator.</w:t>
      </w:r>
    </w:p>
    <w:p w:rsidR="004C6414" w:rsidRDefault="00C62CCA">
      <w:pPr>
        <w:pStyle w:val="enf4"/>
      </w:pPr>
      <w:r>
        <w:t>(6) In addition to what is provided for in this Act, necessary matters concerning the appointment and dismissal of civil conciliators shall be specified by the Rules of the Supreme Court.</w:t>
      </w:r>
    </w:p>
    <w:p w:rsidR="004C6414" w:rsidRDefault="004C6414"/>
    <w:p w:rsidR="004C6414" w:rsidRDefault="00C62CCA">
      <w:pPr>
        <w:pStyle w:val="ena"/>
      </w:pPr>
      <w:r>
        <w:t xml:space="preserve">(Competence of Civil </w:t>
      </w:r>
      <w:r>
        <w:t>Conciliator, etc.)</w:t>
      </w:r>
    </w:p>
    <w:p w:rsidR="004C6414" w:rsidRDefault="00C62CCA">
      <w:pPr>
        <w:pStyle w:val="enf3"/>
      </w:pPr>
      <w:r>
        <w:t>Article 23-3  (1) A civil conciliator shall handle conciliation cases, as designated by the court.</w:t>
      </w:r>
    </w:p>
    <w:p w:rsidR="004C6414" w:rsidRDefault="00C62CCA">
      <w:pPr>
        <w:pStyle w:val="enf4"/>
      </w:pPr>
      <w:r>
        <w:t xml:space="preserve">(2) A civil conciliator may, in the course of processing conciliation cases that he/she handles, exercise the powers in relation to civil </w:t>
      </w:r>
      <w:r>
        <w:t>conciliation or special conciliation (including the powers vested in the chief conciliator) provided as those to be exercised by a judge under the provisions of this Act (including the provisions of the Non-Contentious Cases Procedures Act as applied mutat</w:t>
      </w:r>
      <w:r>
        <w:t>is mutandis pursuant to Article 22) and the provisions of the Act on Special Conciliation Proceedings for Expediting Arrangement of Specified Debts, (Act No. 158 of 1999), and may also exercise the following powers:</w:t>
      </w:r>
    </w:p>
    <w:p w:rsidR="004C6414" w:rsidRDefault="00C62CCA">
      <w:pPr>
        <w:pStyle w:val="enf6"/>
      </w:pPr>
      <w:r>
        <w:t>(i) the powers in relation to civil conc</w:t>
      </w:r>
      <w:r>
        <w:t xml:space="preserve">iliation provided as those to be exercised by a court under the provisions of Article 4, the proviso to Article 5, paragraph (1), Article 7, paragraph (2), Article 8, paragraph (1), Article 17, Article 28 as applied mutatis mutandis pursuant to Article 30 </w:t>
      </w:r>
      <w:r>
        <w:t>(including cases where applied mutatis mutandis pursuant to Article 33), Article 34, and Article 35;</w:t>
      </w:r>
    </w:p>
    <w:p w:rsidR="004C6414" w:rsidRDefault="00C62CCA">
      <w:pPr>
        <w:pStyle w:val="enf6"/>
      </w:pPr>
      <w:r>
        <w:t>(ii) the powers provided as those to be exercised by the court under the provisions of the Non-Contentious Cases Procedures Act as applied mutatis mutandis</w:t>
      </w:r>
      <w:r>
        <w:t xml:space="preserve"> pursuant to Article 22 (excluding the provision of Article 5 of said Act), which relate to civil conciliation; and</w:t>
      </w:r>
    </w:p>
    <w:p w:rsidR="004C6414" w:rsidRDefault="00C62CCA">
      <w:pPr>
        <w:pStyle w:val="enf6"/>
      </w:pPr>
      <w:r>
        <w:t>(iii) the powers in relation to special conciliation prescribed as those to be exercised by the court in the provisions of the Act on Specia</w:t>
      </w:r>
      <w:r>
        <w:t>l Conciliation Proceedings for Expediting Arrangement of Specified Debts, etc.</w:t>
      </w:r>
    </w:p>
    <w:p w:rsidR="004C6414" w:rsidRDefault="00C62CCA">
      <w:pPr>
        <w:pStyle w:val="enf4"/>
      </w:pPr>
      <w:r>
        <w:t>(3) A civil conciliator shall perform his/her duties independently.</w:t>
      </w:r>
    </w:p>
    <w:p w:rsidR="004C6414" w:rsidRDefault="00C62CCA">
      <w:pPr>
        <w:pStyle w:val="enf4"/>
      </w:pPr>
      <w:r>
        <w:t>(4) A civil conciliator may, when exercising his/her powers, give a necessary order concerning his/her duties</w:t>
      </w:r>
      <w:r>
        <w:t xml:space="preserve"> to a court clerk. In this case, the provision of Article 60, paragraph (5) of the Court Act (Act No. 59 of 1947) shall apply mutatis mutandis to a court clerk who receives an order from a civil conciliator.</w:t>
      </w:r>
    </w:p>
    <w:p w:rsidR="004C6414" w:rsidRDefault="004C6414"/>
    <w:p w:rsidR="004C6414" w:rsidRDefault="00C62CCA">
      <w:pPr>
        <w:pStyle w:val="ena"/>
      </w:pPr>
      <w:r>
        <w:t>(Allowance, etc. for Civil Conciliators)</w:t>
      </w:r>
    </w:p>
    <w:p w:rsidR="004C6414" w:rsidRDefault="00C62CCA">
      <w:pPr>
        <w:pStyle w:val="enf3"/>
      </w:pPr>
      <w:r>
        <w:t>Articl</w:t>
      </w:r>
      <w:r>
        <w:t>e 23-4  A civil conciliator shall be paid an allowance as separately provided for by law and also be paid travel expenses, a daily allowance and accommodation charges as specified by the Supreme Court.</w:t>
      </w:r>
    </w:p>
    <w:p w:rsidR="004C6414" w:rsidRDefault="004C6414"/>
    <w:p w:rsidR="004C6414" w:rsidRDefault="00C62CCA">
      <w:pPr>
        <w:pStyle w:val="en3"/>
      </w:pPr>
      <w:r>
        <w:t>Chapter II Special Provisions</w:t>
      </w:r>
    </w:p>
    <w:p w:rsidR="004C6414" w:rsidRDefault="00C62CCA">
      <w:pPr>
        <w:pStyle w:val="enf2"/>
      </w:pPr>
      <w:r>
        <w:t>Section 1 Real Estate C</w:t>
      </w:r>
      <w:r>
        <w:t>onciliation</w:t>
      </w:r>
    </w:p>
    <w:p w:rsidR="004C6414" w:rsidRDefault="004C6414"/>
    <w:p w:rsidR="004C6414" w:rsidRDefault="00C62CCA">
      <w:pPr>
        <w:pStyle w:val="ena"/>
      </w:pPr>
      <w:r>
        <w:t>(Real Estate Conciliation Cases and Relevant Jurisdiction)</w:t>
      </w:r>
    </w:p>
    <w:p w:rsidR="004C6414" w:rsidRDefault="00C62CCA">
      <w:pPr>
        <w:pStyle w:val="enf3"/>
      </w:pPr>
      <w:r>
        <w:t>Article 24  A conciliation case involving a dispute over a lease or other relationship related to the use of a building lot or a building shall be under the jurisdiction of the summary</w:t>
      </w:r>
      <w:r>
        <w:t xml:space="preserve"> court that has jurisdiction over the location of the building lot or the building in dispute, or the district court that has jurisdiction over said location as determined by agreement of the parties.</w:t>
      </w:r>
    </w:p>
    <w:p w:rsidR="004C6414" w:rsidRDefault="004C6414"/>
    <w:p w:rsidR="004C6414" w:rsidRDefault="00C62CCA">
      <w:pPr>
        <w:pStyle w:val="ena"/>
      </w:pPr>
      <w:r>
        <w:t>(Conciliation Prior to Litigation in Cases in which an</w:t>
      </w:r>
      <w:r>
        <w:t xml:space="preserve"> Increase or Decrease in Rent is Claimed)</w:t>
      </w:r>
    </w:p>
    <w:p w:rsidR="004C6414" w:rsidRDefault="00C62CCA">
      <w:pPr>
        <w:pStyle w:val="enf3"/>
      </w:pPr>
      <w:r>
        <w:t xml:space="preserve">Article 24-2  (1) A person who intends to file an action to claim an increase or decrease in the amount of rent for land as set forth in Article 11 of the Act on Land and Building Leases (Act No. 90 of 1991) or to </w:t>
      </w:r>
      <w:r>
        <w:t>claim an increase or decrease in the amount of rent for a building as set forth in Article 32 of said Act shall first file a petition for conciliation.</w:t>
      </w:r>
    </w:p>
    <w:p w:rsidR="004C6414" w:rsidRDefault="00C62CCA">
      <w:pPr>
        <w:pStyle w:val="enf4"/>
      </w:pPr>
      <w:r>
        <w:t>(2) If a person files an action in a case set forth in the preceding paragraph without first filing a pe</w:t>
      </w:r>
      <w:r>
        <w:t>tition for conciliation, the court in charge of the case must refer the case to conciliation; provided, however, that this shall not apply when the court in charge of the case finds it unsuitable to refer the case to conciliation.</w:t>
      </w:r>
    </w:p>
    <w:p w:rsidR="004C6414" w:rsidRDefault="004C6414"/>
    <w:p w:rsidR="004C6414" w:rsidRDefault="00C62CCA">
      <w:pPr>
        <w:pStyle w:val="ena"/>
      </w:pPr>
      <w:r>
        <w:t>(Terms of Conciliation D</w:t>
      </w:r>
      <w:r>
        <w:t>etermined by the Conciliation Committee in Cases in which an Increase or Decrease in Rent is Claimed)</w:t>
      </w:r>
    </w:p>
    <w:p w:rsidR="004C6414" w:rsidRDefault="00C62CCA">
      <w:pPr>
        <w:pStyle w:val="enf3"/>
      </w:pPr>
      <w:r>
        <w:t xml:space="preserve">Article 24-3  (1) In a conciliation case involving a claim set forth in paragraph (1) of the preceding Article, if there is no likelihood of any </w:t>
      </w:r>
      <w:r>
        <w:t>agreement being reached between the parties or if the conciliation committee finds that the agreement reached is inappropriate, and there is a written agreement between the parties to the effect that they would obey the terms of a conciliation determined b</w:t>
      </w:r>
      <w:r>
        <w:t>y a conciliation committee (limited to such an agreement reached after the petition for conciliation was filed with regard to the conciliation case), the conciliation committee may, upon petition, determine conciliation terms that are appropriate for resol</w:t>
      </w:r>
      <w:r>
        <w:t>ution of the case.</w:t>
      </w:r>
    </w:p>
    <w:p w:rsidR="004C6414" w:rsidRDefault="00C62CCA">
      <w:pPr>
        <w:pStyle w:val="enf4"/>
      </w:pPr>
      <w:r>
        <w:t>(2) When the terms of a conciliation set forth in the preceding paragraph are entered in a record, the conciliation is deemed successful, and such entry shall have the same effect as a judicial settlement.</w:t>
      </w:r>
    </w:p>
    <w:p w:rsidR="004C6414" w:rsidRDefault="004C6414"/>
    <w:p w:rsidR="004C6414" w:rsidRDefault="00C62CCA">
      <w:pPr>
        <w:pStyle w:val="enf2"/>
      </w:pPr>
      <w:r>
        <w:t>Section 2 Agricultural Concili</w:t>
      </w:r>
      <w:r>
        <w:t>ation</w:t>
      </w:r>
    </w:p>
    <w:p w:rsidR="004C6414" w:rsidRDefault="004C6414"/>
    <w:p w:rsidR="004C6414" w:rsidRDefault="00C62CCA">
      <w:pPr>
        <w:pStyle w:val="ena"/>
      </w:pPr>
      <w:r>
        <w:t>(Agricultural Conciliation Cases)</w:t>
      </w:r>
    </w:p>
    <w:p w:rsidR="004C6414" w:rsidRDefault="00C62CCA">
      <w:pPr>
        <w:pStyle w:val="enf3"/>
      </w:pPr>
      <w:r>
        <w:t xml:space="preserve">Article 25  A conciliation case involving a dispute over a lease or other relationship related to the use of farmland, or land, buildings or other agricultural assets incidental to farm management </w:t>
      </w:r>
      <w:r>
        <w:t>(hereinafter referred to as "farmland, etc.") shall be governed by the provisions of this Section, in addition to the provisions of the preceding Chapter.</w:t>
      </w:r>
    </w:p>
    <w:p w:rsidR="004C6414" w:rsidRDefault="004C6414"/>
    <w:p w:rsidR="004C6414" w:rsidRDefault="00C62CCA">
      <w:pPr>
        <w:pStyle w:val="ena"/>
      </w:pPr>
      <w:r>
        <w:t>(Jurisdiction)</w:t>
      </w:r>
    </w:p>
    <w:p w:rsidR="004C6414" w:rsidRDefault="00C62CCA">
      <w:pPr>
        <w:pStyle w:val="enf3"/>
      </w:pPr>
      <w:r>
        <w:t>Article 26  A conciliation case set forth in the preceding Article shall be under the</w:t>
      </w:r>
      <w:r>
        <w:t xml:space="preserve"> jurisdiction of the district court that has jurisdiction over the location of the farmland, etc. which is in dispute, or the summary court that has jurisdiction over said location as determined by agreement of the parties.</w:t>
      </w:r>
    </w:p>
    <w:p w:rsidR="004C6414" w:rsidRDefault="004C6414"/>
    <w:p w:rsidR="004C6414" w:rsidRDefault="00C62CCA">
      <w:pPr>
        <w:pStyle w:val="ena"/>
      </w:pPr>
      <w:r>
        <w:t>(Statement of Opinions by Minis</w:t>
      </w:r>
      <w:r>
        <w:t>terial Farmland Officials, etc.)</w:t>
      </w:r>
    </w:p>
    <w:p w:rsidR="004C6414" w:rsidRDefault="00C62CCA">
      <w:pPr>
        <w:pStyle w:val="enf3"/>
      </w:pPr>
      <w:r>
        <w:t>Article 27  A ministerial or prefectural farmland official may state his/her opinions to the conciliation committee on a fixed appearance date or on an occasion other than such an appearance date.</w:t>
      </w:r>
    </w:p>
    <w:p w:rsidR="004C6414" w:rsidRDefault="004C6414"/>
    <w:p w:rsidR="004C6414" w:rsidRDefault="00C62CCA">
      <w:pPr>
        <w:pStyle w:val="ena"/>
      </w:pPr>
      <w:r>
        <w:t>(Hearing of Opinions from</w:t>
      </w:r>
      <w:r>
        <w:t xml:space="preserve"> Ministerial Farmland Officials, etc.)</w:t>
      </w:r>
    </w:p>
    <w:p w:rsidR="004C6414" w:rsidRDefault="00C62CCA">
      <w:pPr>
        <w:pStyle w:val="enf3"/>
      </w:pPr>
      <w:r>
        <w:t>Article 28  When a conciliation committee intends to carry out conciliation, it shall hear the opinions of a ministerial or prefectural farmland official.</w:t>
      </w:r>
    </w:p>
    <w:p w:rsidR="004C6414" w:rsidRDefault="004C6414"/>
    <w:p w:rsidR="004C6414" w:rsidRDefault="00C62CCA">
      <w:pPr>
        <w:pStyle w:val="ena"/>
      </w:pPr>
      <w:r>
        <w:t>(Application Mutatis Mutandis to Conciliation by Judge Alone)</w:t>
      </w:r>
    </w:p>
    <w:p w:rsidR="004C6414" w:rsidRDefault="00C62CCA">
      <w:pPr>
        <w:pStyle w:val="enf3"/>
      </w:pPr>
      <w:r>
        <w:t>Article 29  The provisions of the preceding two Articles shall apply mutatis mutandis to cases where conciliation is carried out by a judge alone.</w:t>
      </w:r>
    </w:p>
    <w:p w:rsidR="004C6414" w:rsidRDefault="004C6414"/>
    <w:p w:rsidR="004C6414" w:rsidRDefault="00C62CCA">
      <w:pPr>
        <w:pStyle w:val="ena"/>
      </w:pPr>
      <w:r>
        <w:t>(Application Mutatis Mutandis to Transfer, etc.)</w:t>
      </w:r>
    </w:p>
    <w:p w:rsidR="004C6414" w:rsidRDefault="00C62CCA">
      <w:pPr>
        <w:pStyle w:val="enf3"/>
      </w:pPr>
      <w:r>
        <w:t>Article 30  The provision of Article 28 shall apply mutati</w:t>
      </w:r>
      <w:r>
        <w:t>s mutandis to cases where the court intends to transfer the case to another court or to process the case by itself pursuant to the provision of the proviso to Article 4, paragraph (1) or paragraph (2) of said Article, or if the court intends to issue an or</w:t>
      </w:r>
      <w:r>
        <w:t>der set forth in Article 17.</w:t>
      </w:r>
    </w:p>
    <w:p w:rsidR="004C6414" w:rsidRDefault="004C6414"/>
    <w:p w:rsidR="004C6414" w:rsidRDefault="00C62CCA">
      <w:pPr>
        <w:pStyle w:val="enf2"/>
      </w:pPr>
      <w:r>
        <w:t>Section 3 Commercial Conciliation</w:t>
      </w:r>
    </w:p>
    <w:p w:rsidR="004C6414" w:rsidRDefault="004C6414"/>
    <w:p w:rsidR="004C6414" w:rsidRDefault="00C62CCA">
      <w:pPr>
        <w:pStyle w:val="ena"/>
      </w:pPr>
      <w:r>
        <w:t>(Terms of Conciliation Determined by the Conciliation Committee in Commercial Conciliation Cases)</w:t>
      </w:r>
    </w:p>
    <w:p w:rsidR="004C6414" w:rsidRDefault="00C62CCA">
      <w:pPr>
        <w:pStyle w:val="enf3"/>
      </w:pPr>
      <w:r>
        <w:t>Article 31  The provisions of Article 24-3 shall apply mutatis mutandis to commercial concili</w:t>
      </w:r>
      <w:r>
        <w:t>ation cases.</w:t>
      </w:r>
    </w:p>
    <w:p w:rsidR="004C6414" w:rsidRDefault="004C6414"/>
    <w:p w:rsidR="004C6414" w:rsidRDefault="00C62CCA">
      <w:pPr>
        <w:pStyle w:val="enf2"/>
      </w:pPr>
      <w:r>
        <w:t>Section 4 Mining Pollution Conciliation</w:t>
      </w:r>
    </w:p>
    <w:p w:rsidR="004C6414" w:rsidRDefault="004C6414"/>
    <w:p w:rsidR="004C6414" w:rsidRDefault="00C62CCA">
      <w:pPr>
        <w:pStyle w:val="ena"/>
      </w:pPr>
      <w:r>
        <w:t>(Mining Pollution Conciliation Cases and Relevant Jurisdiction)</w:t>
      </w:r>
    </w:p>
    <w:p w:rsidR="004C6414" w:rsidRDefault="00C62CCA">
      <w:pPr>
        <w:pStyle w:val="enf3"/>
      </w:pPr>
      <w:r>
        <w:t xml:space="preserve">Article 32  A conciliation case involving a dispute over compensation for mining pollution as provided in the Mining Act (Act No. 289 of </w:t>
      </w:r>
      <w:r>
        <w:t>1950) shall be under the jurisdiction of the district court that has jurisdiction over the place where the damage occurred.</w:t>
      </w:r>
    </w:p>
    <w:p w:rsidR="004C6414" w:rsidRDefault="004C6414"/>
    <w:p w:rsidR="004C6414" w:rsidRDefault="00C62CCA">
      <w:pPr>
        <w:pStyle w:val="ena"/>
      </w:pPr>
      <w:r>
        <w:t>(Application Mutatis Mutandis of the Provisions on Agricultural Conciliation)</w:t>
      </w:r>
    </w:p>
    <w:p w:rsidR="004C6414" w:rsidRDefault="00C62CCA">
      <w:pPr>
        <w:pStyle w:val="enf3"/>
      </w:pPr>
      <w:r>
        <w:t xml:space="preserve">Article 33  The provisions of Article 24-3 and </w:t>
      </w:r>
      <w:r>
        <w:t>Articles 27 to 30 shall apply mutatis mutandis to conciliation cases set forth in the preceding Article. In such cases, the phrase "ministerial or prefectural farmland official" in Articles 27 and 28 shall be deemed to be replaced with "Director-General of</w:t>
      </w:r>
      <w:r>
        <w:t xml:space="preserve"> a Bureau of Economy, Trade and Industry."</w:t>
      </w:r>
    </w:p>
    <w:p w:rsidR="004C6414" w:rsidRDefault="004C6414"/>
    <w:p w:rsidR="004C6414" w:rsidRDefault="00C62CCA">
      <w:pPr>
        <w:pStyle w:val="enf2"/>
      </w:pPr>
      <w:r>
        <w:t>Section 5 Traffic Accident Conciliation</w:t>
      </w:r>
    </w:p>
    <w:p w:rsidR="004C6414" w:rsidRDefault="004C6414"/>
    <w:p w:rsidR="004C6414" w:rsidRDefault="00C62CCA">
      <w:pPr>
        <w:pStyle w:val="ena"/>
      </w:pPr>
      <w:r>
        <w:t>(Traffic Accident Conciliation Cases and Relevant Jurisdiction)</w:t>
      </w:r>
    </w:p>
    <w:p w:rsidR="004C6414" w:rsidRDefault="00C62CCA">
      <w:pPr>
        <w:pStyle w:val="enf3"/>
      </w:pPr>
      <w:r>
        <w:t>Article 33-2  A conciliation case involving a dispute over compensation for damages for the death or physic</w:t>
      </w:r>
      <w:r>
        <w:t>al injury of a person caused by the operation of an automobile shall be under the jurisdiction of the summary court that has jurisdiction over the location of the domicile or residence of the person claiming damages, in addition to the court as provided in</w:t>
      </w:r>
      <w:r>
        <w:t xml:space="preserve"> Article 3.</w:t>
      </w:r>
    </w:p>
    <w:p w:rsidR="004C6414" w:rsidRDefault="004C6414"/>
    <w:p w:rsidR="004C6414" w:rsidRDefault="00C62CCA">
      <w:pPr>
        <w:pStyle w:val="enf2"/>
      </w:pPr>
      <w:r>
        <w:t>Section 6 Pollution Conciliation</w:t>
      </w:r>
    </w:p>
    <w:p w:rsidR="004C6414" w:rsidRDefault="004C6414"/>
    <w:p w:rsidR="004C6414" w:rsidRDefault="00C62CCA">
      <w:pPr>
        <w:pStyle w:val="ena"/>
      </w:pPr>
      <w:r>
        <w:t>(Pollution Conciliation and Relevant Jurisdiction)</w:t>
      </w:r>
    </w:p>
    <w:p w:rsidR="004C6414" w:rsidRDefault="00C62CCA">
      <w:pPr>
        <w:pStyle w:val="enf3"/>
      </w:pPr>
      <w:r>
        <w:t>Article 33-3  A conciliation case involving a dispute over damages arising from pollution or infringement of a person's interest in enjoying sunlight, ventila</w:t>
      </w:r>
      <w:r>
        <w:t>tion or other life interest shall be under the jurisdiction of the summary court that has jurisdiction over the place where the damage occurred or is likely to occur, in addition to the court as provided in Article 3.</w:t>
      </w:r>
    </w:p>
    <w:p w:rsidR="004C6414" w:rsidRDefault="004C6414"/>
    <w:p w:rsidR="004C6414" w:rsidRDefault="00C62CCA">
      <w:pPr>
        <w:pStyle w:val="en3"/>
      </w:pPr>
      <w:r>
        <w:t>Chapter III Penal Provisions</w:t>
      </w:r>
    </w:p>
    <w:p w:rsidR="004C6414" w:rsidRDefault="004C6414"/>
    <w:p w:rsidR="004C6414" w:rsidRDefault="00C62CCA">
      <w:pPr>
        <w:pStyle w:val="ena"/>
      </w:pPr>
      <w:r>
        <w:t>(Sancti</w:t>
      </w:r>
      <w:r>
        <w:t>on for Nonappearance)</w:t>
      </w:r>
    </w:p>
    <w:p w:rsidR="004C6414" w:rsidRDefault="00C62CCA">
      <w:pPr>
        <w:pStyle w:val="enf3"/>
      </w:pPr>
      <w:r>
        <w:t>Article 34  If a person concerned with the case who is summoned to appear by the court or the conciliation committee fails to appear without justifiable grounds, the court shall punish him/her with a non-criminal fine of not more than</w:t>
      </w:r>
      <w:r>
        <w:t xml:space="preserve"> 50,000 yen.</w:t>
      </w:r>
    </w:p>
    <w:p w:rsidR="004C6414" w:rsidRDefault="004C6414"/>
    <w:p w:rsidR="004C6414" w:rsidRDefault="00C62CCA">
      <w:pPr>
        <w:pStyle w:val="ena"/>
      </w:pPr>
      <w:r>
        <w:t>(Sanction for Noncompliance with Measures)</w:t>
      </w:r>
    </w:p>
    <w:p w:rsidR="004C6414" w:rsidRDefault="00C62CCA">
      <w:pPr>
        <w:pStyle w:val="enf3"/>
      </w:pPr>
      <w:r>
        <w:t>Article 35  If a party or participant does not comply with the measure ordered under the provisions of Article 12 (including cases where applied mutatis mutandis pursuant to Article 15) without justi</w:t>
      </w:r>
      <w:r>
        <w:t>fiable grounds, the court shall punish him/her with a non-criminal fine of not more than 100,000 yen.</w:t>
      </w:r>
    </w:p>
    <w:p w:rsidR="004C6414" w:rsidRDefault="004C6414"/>
    <w:p w:rsidR="004C6414" w:rsidRDefault="00C62CCA">
      <w:pPr>
        <w:pStyle w:val="ena"/>
      </w:pPr>
      <w:r>
        <w:t>(Non-Criminal Fine Order)</w:t>
      </w:r>
    </w:p>
    <w:p w:rsidR="004C6414" w:rsidRDefault="00C62CCA">
      <w:pPr>
        <w:pStyle w:val="enf3"/>
      </w:pPr>
      <w:r>
        <w:t xml:space="preserve">Article 36  (1) An order of a non-criminal fine under the preceding two Articles shall be executed based on a direction issued </w:t>
      </w:r>
      <w:r>
        <w:t>by a judge. Such direction shall have the same effect as an enforceable title of obligation.</w:t>
      </w:r>
    </w:p>
    <w:p w:rsidR="004C6414" w:rsidRDefault="00C62CCA">
      <w:pPr>
        <w:pStyle w:val="enf4"/>
      </w:pPr>
      <w:r>
        <w:t>(2) An order of a non-criminal fine is executed according to the provisions of the Civil Execution Act (Act No. 4 of 1979) and other laws and regulations concernin</w:t>
      </w:r>
      <w:r>
        <w:t>g procedures for compulsory execution; provided, however, that it is not necessary to serve the order before executing it.</w:t>
      </w:r>
    </w:p>
    <w:p w:rsidR="004C6414" w:rsidRDefault="00C62CCA">
      <w:pPr>
        <w:pStyle w:val="enf4"/>
      </w:pPr>
      <w:r>
        <w:t>(3) In addition to what is provided for in the preceding two paragraphs, the provisions of Part V of the Non-Contentious Case Procedu</w:t>
      </w:r>
      <w:r>
        <w:t>res Act shall apply mutatis mutandis to an order of a non-criminal fine; provided, however, that the provisions of Articles 162 and 164 of said Act concerning a public prosecutor shall be excluded.</w:t>
      </w:r>
    </w:p>
    <w:p w:rsidR="004C6414" w:rsidRDefault="004C6414"/>
    <w:p w:rsidR="004C6414" w:rsidRDefault="00C62CCA">
      <w:pPr>
        <w:pStyle w:val="ena"/>
      </w:pPr>
      <w:r>
        <w:t>(Crime of Divulging Confidential Information on Proceedin</w:t>
      </w:r>
      <w:r>
        <w:t>gs of Deliberations)</w:t>
      </w:r>
    </w:p>
    <w:p w:rsidR="004C6414" w:rsidRDefault="00C62CCA">
      <w:pPr>
        <w:pStyle w:val="enf3"/>
      </w:pPr>
      <w:r>
        <w:t>Article 37  If a civil conciliation commissioner or a person who has held the post, divulges any particulars with respect to the proceedings of deliberations of the committee, or the opinions of the chief conciliator and civil concilia</w:t>
      </w:r>
      <w:r>
        <w:t>tion commissioner or the number of opinions constituting the majority and the minority, he/she shall be punished by a fine of up to 300,000 yen.</w:t>
      </w:r>
    </w:p>
    <w:p w:rsidR="004C6414" w:rsidRDefault="004C6414"/>
    <w:p w:rsidR="004C6414" w:rsidRDefault="00C62CCA">
      <w:pPr>
        <w:pStyle w:val="ena"/>
      </w:pPr>
      <w:r>
        <w:t>(Crime of Divulging Personal Confidential Information)</w:t>
      </w:r>
    </w:p>
    <w:p w:rsidR="004C6414" w:rsidRDefault="00C62CCA">
      <w:pPr>
        <w:pStyle w:val="enf3"/>
      </w:pPr>
      <w:r>
        <w:t xml:space="preserve">Article 38  If a civil conciliation </w:t>
      </w:r>
      <w:r>
        <w:t>commissioner or a person who has held the post, divulges any personal confidential information coming to the his/her knowledge in relation to the particulars handled thereby in the course of his/her duties without justifiable grounds, he/she shall be punis</w:t>
      </w:r>
      <w:r>
        <w:t>hed by imprisonment with work for up to one year or a fine of up to 500,000 yen.</w:t>
      </w:r>
    </w:p>
    <w:sectPr w:rsidR="004C6414" w:rsidSect="004C64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414" w:rsidRDefault="004C6414" w:rsidP="004C6414">
      <w:r>
        <w:separator/>
      </w:r>
    </w:p>
  </w:endnote>
  <w:endnote w:type="continuationSeparator" w:id="0">
    <w:p w:rsidR="004C6414" w:rsidRDefault="004C6414" w:rsidP="004C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414" w:rsidRDefault="004C6414">
    <w:pPr>
      <w:pStyle w:val="a3"/>
    </w:pPr>
    <w:r>
      <w:fldChar w:fldCharType="begin"/>
    </w:r>
    <w:r>
      <w:instrText xml:space="preserve"> PAGE  \* MERGEFORMAT </w:instrText>
    </w:r>
    <w:r>
      <w:fldChar w:fldCharType="separate"/>
    </w:r>
    <w:r w:rsidR="00C62C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414" w:rsidRDefault="004C6414" w:rsidP="004C6414">
      <w:r>
        <w:separator/>
      </w:r>
    </w:p>
  </w:footnote>
  <w:footnote w:type="continuationSeparator" w:id="0">
    <w:p w:rsidR="004C6414" w:rsidRDefault="004C6414" w:rsidP="004C6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69C"/>
    <w:multiLevelType w:val="multilevel"/>
    <w:tmpl w:val="3D4CF6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8E7E2E"/>
    <w:multiLevelType w:val="multilevel"/>
    <w:tmpl w:val="F2D0BA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91EB6"/>
    <w:multiLevelType w:val="multilevel"/>
    <w:tmpl w:val="EC3EA3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C03F5"/>
    <w:multiLevelType w:val="multilevel"/>
    <w:tmpl w:val="FB2ED5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BD3DB5"/>
    <w:multiLevelType w:val="multilevel"/>
    <w:tmpl w:val="297004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838AA"/>
    <w:multiLevelType w:val="multilevel"/>
    <w:tmpl w:val="210873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42985"/>
    <w:multiLevelType w:val="multilevel"/>
    <w:tmpl w:val="FD08C6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B2EDB"/>
    <w:multiLevelType w:val="multilevel"/>
    <w:tmpl w:val="8ABE30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1152F"/>
    <w:multiLevelType w:val="multilevel"/>
    <w:tmpl w:val="DD8E19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3D34F7"/>
    <w:multiLevelType w:val="multilevel"/>
    <w:tmpl w:val="4510C6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B1D26"/>
    <w:multiLevelType w:val="multilevel"/>
    <w:tmpl w:val="1F7E9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0838A2"/>
    <w:multiLevelType w:val="multilevel"/>
    <w:tmpl w:val="DB5015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948D9"/>
    <w:multiLevelType w:val="multilevel"/>
    <w:tmpl w:val="BBC04C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4"/>
  </w:num>
  <w:num w:numId="4">
    <w:abstractNumId w:val="6"/>
  </w:num>
  <w:num w:numId="5">
    <w:abstractNumId w:val="11"/>
  </w:num>
  <w:num w:numId="6">
    <w:abstractNumId w:val="9"/>
  </w:num>
  <w:num w:numId="7">
    <w:abstractNumId w:val="7"/>
  </w:num>
  <w:num w:numId="8">
    <w:abstractNumId w:val="8"/>
  </w:num>
  <w:num w:numId="9">
    <w:abstractNumId w:val="5"/>
  </w:num>
  <w:num w:numId="10">
    <w:abstractNumId w:val="3"/>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6414"/>
    <w:rsid w:val="004C6414"/>
    <w:rsid w:val="00C62C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4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64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6414"/>
    <w:rPr>
      <w:rFonts w:ascii="Century" w:eastAsia="Century" w:hAnsi="Century"/>
    </w:rPr>
  </w:style>
  <w:style w:type="paragraph" w:customStyle="1" w:styleId="ja0">
    <w:name w:val="款（ja）"/>
    <w:basedOn w:val="a"/>
    <w:rsid w:val="004C6414"/>
    <w:pPr>
      <w:widowControl w:val="0"/>
      <w:ind w:left="1321" w:hanging="221"/>
    </w:pPr>
    <w:rPr>
      <w:rFonts w:ascii="ＭＳ 明朝" w:eastAsia="ＭＳ 明朝" w:hAnsi="ＭＳ 明朝" w:cs="ＭＳ 明朝"/>
      <w:b/>
    </w:rPr>
  </w:style>
  <w:style w:type="paragraph" w:customStyle="1" w:styleId="en0">
    <w:name w:val="款（en）"/>
    <w:basedOn w:val="ja0"/>
    <w:rsid w:val="004C6414"/>
    <w:rPr>
      <w:rFonts w:ascii="Century" w:eastAsia="Century" w:hAnsi="Century" w:cs="Century"/>
    </w:rPr>
  </w:style>
  <w:style w:type="paragraph" w:customStyle="1" w:styleId="ja1">
    <w:name w:val="前文（ja）"/>
    <w:basedOn w:val="a"/>
    <w:rsid w:val="004C6414"/>
    <w:pPr>
      <w:widowControl w:val="0"/>
      <w:ind w:firstLine="219"/>
    </w:pPr>
    <w:rPr>
      <w:rFonts w:ascii="ＭＳ 明朝" w:eastAsia="ＭＳ 明朝" w:hAnsi="ＭＳ 明朝" w:cs="ＭＳ 明朝"/>
    </w:rPr>
  </w:style>
  <w:style w:type="paragraph" w:customStyle="1" w:styleId="en1">
    <w:name w:val="前文（en）"/>
    <w:basedOn w:val="ja1"/>
    <w:rsid w:val="004C6414"/>
    <w:rPr>
      <w:rFonts w:ascii="Century" w:eastAsia="Century" w:hAnsi="Century" w:cs="Century"/>
    </w:rPr>
  </w:style>
  <w:style w:type="paragraph" w:customStyle="1" w:styleId="ja2">
    <w:name w:val="附則（ja）"/>
    <w:basedOn w:val="a"/>
    <w:rsid w:val="004C6414"/>
    <w:pPr>
      <w:widowControl w:val="0"/>
      <w:ind w:left="881" w:hanging="221"/>
    </w:pPr>
    <w:rPr>
      <w:rFonts w:ascii="ＭＳ 明朝" w:eastAsia="ＭＳ 明朝" w:hAnsi="ＭＳ 明朝" w:cs="ＭＳ 明朝"/>
      <w:b/>
    </w:rPr>
  </w:style>
  <w:style w:type="paragraph" w:customStyle="1" w:styleId="en2">
    <w:name w:val="附則（en）"/>
    <w:basedOn w:val="ja2"/>
    <w:rsid w:val="004C6414"/>
    <w:rPr>
      <w:rFonts w:ascii="Century" w:hAnsi="Century" w:cs="Century"/>
    </w:rPr>
  </w:style>
  <w:style w:type="paragraph" w:customStyle="1" w:styleId="ja3">
    <w:name w:val="章（ja）"/>
    <w:basedOn w:val="a"/>
    <w:rsid w:val="004C6414"/>
    <w:pPr>
      <w:widowControl w:val="0"/>
      <w:ind w:left="881" w:hanging="221"/>
    </w:pPr>
    <w:rPr>
      <w:rFonts w:ascii="ＭＳ 明朝" w:eastAsia="ＭＳ 明朝" w:hAnsi="ＭＳ 明朝" w:cs="ＭＳ 明朝"/>
      <w:b/>
    </w:rPr>
  </w:style>
  <w:style w:type="paragraph" w:customStyle="1" w:styleId="en3">
    <w:name w:val="章（en）"/>
    <w:basedOn w:val="ja3"/>
    <w:rsid w:val="004C6414"/>
    <w:rPr>
      <w:rFonts w:ascii="Century" w:eastAsia="Century" w:hAnsi="Century" w:cs="Century"/>
    </w:rPr>
  </w:style>
  <w:style w:type="paragraph" w:customStyle="1" w:styleId="ja4">
    <w:name w:val="目次編（ja）"/>
    <w:basedOn w:val="a"/>
    <w:rsid w:val="004C6414"/>
    <w:pPr>
      <w:widowControl w:val="0"/>
      <w:ind w:left="219" w:hanging="219"/>
    </w:pPr>
    <w:rPr>
      <w:rFonts w:ascii="ＭＳ 明朝" w:eastAsia="ＭＳ 明朝" w:hAnsi="ＭＳ 明朝"/>
    </w:rPr>
  </w:style>
  <w:style w:type="paragraph" w:customStyle="1" w:styleId="en4">
    <w:name w:val="目次編（en）"/>
    <w:basedOn w:val="ja4"/>
    <w:rsid w:val="004C6414"/>
    <w:rPr>
      <w:rFonts w:ascii="Century" w:eastAsia="Century" w:hAnsi="Century"/>
    </w:rPr>
  </w:style>
  <w:style w:type="paragraph" w:customStyle="1" w:styleId="ja5">
    <w:name w:val="目次章（ja）"/>
    <w:basedOn w:val="a"/>
    <w:rsid w:val="004C6414"/>
    <w:pPr>
      <w:widowControl w:val="0"/>
      <w:ind w:left="439" w:hanging="219"/>
    </w:pPr>
    <w:rPr>
      <w:rFonts w:ascii="ＭＳ 明朝" w:eastAsia="ＭＳ 明朝" w:hAnsi="ＭＳ 明朝"/>
    </w:rPr>
  </w:style>
  <w:style w:type="paragraph" w:customStyle="1" w:styleId="en5">
    <w:name w:val="目次章（en）"/>
    <w:basedOn w:val="ja5"/>
    <w:rsid w:val="004C6414"/>
    <w:rPr>
      <w:rFonts w:ascii="Century" w:eastAsia="Century" w:hAnsi="Century"/>
    </w:rPr>
  </w:style>
  <w:style w:type="paragraph" w:customStyle="1" w:styleId="ja6">
    <w:name w:val="目次節（ja）"/>
    <w:basedOn w:val="a"/>
    <w:rsid w:val="004C6414"/>
    <w:pPr>
      <w:widowControl w:val="0"/>
      <w:ind w:left="659" w:hanging="219"/>
    </w:pPr>
    <w:rPr>
      <w:rFonts w:ascii="ＭＳ 明朝" w:eastAsia="ＭＳ 明朝" w:hAnsi="ＭＳ 明朝"/>
    </w:rPr>
  </w:style>
  <w:style w:type="paragraph" w:customStyle="1" w:styleId="en6">
    <w:name w:val="目次節（en）"/>
    <w:basedOn w:val="ja6"/>
    <w:rsid w:val="004C6414"/>
    <w:rPr>
      <w:rFonts w:ascii="Century" w:eastAsia="Century" w:hAnsi="Century"/>
    </w:rPr>
  </w:style>
  <w:style w:type="paragraph" w:customStyle="1" w:styleId="ja7">
    <w:name w:val="目次款（ja）"/>
    <w:basedOn w:val="a"/>
    <w:rsid w:val="004C6414"/>
    <w:pPr>
      <w:widowControl w:val="0"/>
      <w:ind w:left="879" w:hanging="219"/>
    </w:pPr>
    <w:rPr>
      <w:rFonts w:ascii="ＭＳ 明朝" w:eastAsia="ＭＳ 明朝" w:hAnsi="ＭＳ 明朝" w:cs="Kochi Mincho"/>
    </w:rPr>
  </w:style>
  <w:style w:type="paragraph" w:customStyle="1" w:styleId="en7">
    <w:name w:val="目次款（en）"/>
    <w:basedOn w:val="ja7"/>
    <w:rsid w:val="004C6414"/>
    <w:rPr>
      <w:rFonts w:ascii="Century" w:eastAsia="Century" w:hAnsi="Century"/>
    </w:rPr>
  </w:style>
  <w:style w:type="paragraph" w:customStyle="1" w:styleId="ja8">
    <w:name w:val="別表名（ja）"/>
    <w:basedOn w:val="a"/>
    <w:rsid w:val="004C64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6414"/>
    <w:rPr>
      <w:rFonts w:ascii="Century" w:eastAsia="Century" w:hAnsi="Century" w:cs="Century"/>
    </w:rPr>
  </w:style>
  <w:style w:type="paragraph" w:customStyle="1" w:styleId="ja9">
    <w:name w:val="目（ja）"/>
    <w:basedOn w:val="a"/>
    <w:rsid w:val="004C6414"/>
    <w:pPr>
      <w:widowControl w:val="0"/>
      <w:ind w:left="1541" w:hanging="221"/>
    </w:pPr>
    <w:rPr>
      <w:rFonts w:ascii="ＭＳ 明朝" w:eastAsia="ＭＳ 明朝" w:hAnsi="ＭＳ 明朝" w:cs="ＭＳ 明朝"/>
      <w:b/>
    </w:rPr>
  </w:style>
  <w:style w:type="paragraph" w:customStyle="1" w:styleId="en9">
    <w:name w:val="目（en）"/>
    <w:basedOn w:val="ja9"/>
    <w:rsid w:val="004C6414"/>
    <w:rPr>
      <w:rFonts w:ascii="Century" w:eastAsia="Century" w:hAnsi="Century" w:cs="Century"/>
    </w:rPr>
  </w:style>
  <w:style w:type="paragraph" w:customStyle="1" w:styleId="jaa">
    <w:name w:val="見出し（ja）"/>
    <w:basedOn w:val="a"/>
    <w:rsid w:val="004C6414"/>
    <w:pPr>
      <w:widowControl w:val="0"/>
      <w:ind w:left="439" w:hanging="219"/>
    </w:pPr>
    <w:rPr>
      <w:rFonts w:ascii="ＭＳ 明朝" w:eastAsia="ＭＳ 明朝" w:hAnsi="ＭＳ 明朝" w:cs="ＭＳ 明朝"/>
    </w:rPr>
  </w:style>
  <w:style w:type="paragraph" w:customStyle="1" w:styleId="ena">
    <w:name w:val="見出し（en）"/>
    <w:basedOn w:val="jaa"/>
    <w:rsid w:val="004C6414"/>
    <w:rPr>
      <w:rFonts w:ascii="Century" w:eastAsia="Century" w:hAnsi="Century" w:cs="Century"/>
    </w:rPr>
  </w:style>
  <w:style w:type="paragraph" w:styleId="a3">
    <w:name w:val="footer"/>
    <w:basedOn w:val="a"/>
    <w:rsid w:val="004C64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6414"/>
    <w:pPr>
      <w:widowControl w:val="0"/>
      <w:ind w:left="1099" w:hanging="219"/>
    </w:pPr>
    <w:rPr>
      <w:rFonts w:ascii="ＭＳ 明朝" w:eastAsia="ＭＳ 明朝" w:hAnsi="ＭＳ 明朝" w:cs="Kochi Mincho"/>
    </w:rPr>
  </w:style>
  <w:style w:type="paragraph" w:customStyle="1" w:styleId="enb">
    <w:name w:val="目次目（en）"/>
    <w:basedOn w:val="jab"/>
    <w:rsid w:val="004C6414"/>
    <w:rPr>
      <w:rFonts w:ascii="Century" w:eastAsia="Century" w:hAnsi="Century"/>
    </w:rPr>
  </w:style>
  <w:style w:type="paragraph" w:customStyle="1" w:styleId="jac">
    <w:name w:val="目次附則（ja）"/>
    <w:basedOn w:val="a"/>
    <w:rsid w:val="004C6414"/>
    <w:pPr>
      <w:widowControl w:val="0"/>
      <w:ind w:left="439" w:hanging="219"/>
    </w:pPr>
    <w:rPr>
      <w:rFonts w:ascii="ＭＳ 明朝" w:eastAsia="ＭＳ 明朝" w:hAnsi="ＭＳ 明朝" w:cs="Kochi Mincho"/>
    </w:rPr>
  </w:style>
  <w:style w:type="paragraph" w:customStyle="1" w:styleId="enc">
    <w:name w:val="目次附則（en）"/>
    <w:basedOn w:val="jac"/>
    <w:rsid w:val="004C6414"/>
    <w:rPr>
      <w:rFonts w:ascii="Century" w:eastAsia="Century" w:hAnsi="Century" w:cs="Century"/>
    </w:rPr>
  </w:style>
  <w:style w:type="paragraph" w:customStyle="1" w:styleId="jad">
    <w:name w:val="目次前文（ja）"/>
    <w:basedOn w:val="jac"/>
    <w:rsid w:val="004C6414"/>
  </w:style>
  <w:style w:type="paragraph" w:customStyle="1" w:styleId="end">
    <w:name w:val="目次前文（en）"/>
    <w:basedOn w:val="enc"/>
    <w:rsid w:val="004C6414"/>
  </w:style>
  <w:style w:type="paragraph" w:customStyle="1" w:styleId="jae">
    <w:name w:val="制定文（ja）"/>
    <w:basedOn w:val="a"/>
    <w:rsid w:val="004C6414"/>
    <w:pPr>
      <w:widowControl w:val="0"/>
      <w:ind w:firstLine="219"/>
    </w:pPr>
    <w:rPr>
      <w:rFonts w:ascii="ＭＳ 明朝" w:eastAsia="ＭＳ 明朝" w:hAnsi="ＭＳ 明朝" w:cs="ＭＳ 明朝"/>
    </w:rPr>
  </w:style>
  <w:style w:type="paragraph" w:customStyle="1" w:styleId="ene">
    <w:name w:val="制定文（en）"/>
    <w:basedOn w:val="jae"/>
    <w:rsid w:val="004C6414"/>
    <w:rPr>
      <w:rFonts w:ascii="Century" w:eastAsia="Century" w:hAnsi="Century" w:cs="Century"/>
    </w:rPr>
  </w:style>
  <w:style w:type="paragraph" w:customStyle="1" w:styleId="jaf">
    <w:name w:val="法令番号（ja）"/>
    <w:basedOn w:val="a"/>
    <w:rsid w:val="004C6414"/>
    <w:pPr>
      <w:widowControl w:val="0"/>
      <w:jc w:val="right"/>
    </w:pPr>
    <w:rPr>
      <w:rFonts w:ascii="ＭＳ 明朝" w:eastAsia="ＭＳ 明朝" w:hAnsi="ＭＳ 明朝" w:cs="Kochi Mincho"/>
    </w:rPr>
  </w:style>
  <w:style w:type="paragraph" w:customStyle="1" w:styleId="enf">
    <w:name w:val="法令番号（en）"/>
    <w:basedOn w:val="jaf"/>
    <w:rsid w:val="004C6414"/>
    <w:rPr>
      <w:rFonts w:ascii="Century" w:eastAsia="Century" w:hAnsi="Century" w:cs="Century"/>
    </w:rPr>
  </w:style>
  <w:style w:type="paragraph" w:customStyle="1" w:styleId="jaf0">
    <w:name w:val="目次（ja）"/>
    <w:basedOn w:val="a"/>
    <w:rsid w:val="004C6414"/>
    <w:rPr>
      <w:rFonts w:ascii="ＭＳ 明朝" w:eastAsia="ＭＳ 明朝" w:hAnsi="ＭＳ 明朝"/>
    </w:rPr>
  </w:style>
  <w:style w:type="paragraph" w:customStyle="1" w:styleId="enf0">
    <w:name w:val="目次（en）"/>
    <w:basedOn w:val="jaf0"/>
    <w:rsid w:val="004C6414"/>
    <w:rPr>
      <w:rFonts w:ascii="Century" w:eastAsia="Century" w:hAnsi="Century"/>
    </w:rPr>
  </w:style>
  <w:style w:type="paragraph" w:customStyle="1" w:styleId="jaf1">
    <w:name w:val="編（ja）"/>
    <w:basedOn w:val="a"/>
    <w:rsid w:val="004C6414"/>
    <w:pPr>
      <w:widowControl w:val="0"/>
      <w:ind w:left="661" w:hanging="221"/>
    </w:pPr>
    <w:rPr>
      <w:rFonts w:ascii="ＭＳ 明朝" w:eastAsia="ＭＳ 明朝" w:hAnsi="ＭＳ 明朝" w:cs="ＭＳ 明朝"/>
      <w:b/>
    </w:rPr>
  </w:style>
  <w:style w:type="paragraph" w:customStyle="1" w:styleId="enf1">
    <w:name w:val="編（en）"/>
    <w:basedOn w:val="jaf1"/>
    <w:rsid w:val="004C6414"/>
    <w:rPr>
      <w:rFonts w:ascii="Century" w:eastAsia="Century" w:hAnsi="Century" w:cs="Century"/>
    </w:rPr>
  </w:style>
  <w:style w:type="paragraph" w:customStyle="1" w:styleId="jaf2">
    <w:name w:val="節（ja）"/>
    <w:basedOn w:val="a"/>
    <w:rsid w:val="004C6414"/>
    <w:pPr>
      <w:widowControl w:val="0"/>
      <w:ind w:left="1101" w:hanging="221"/>
    </w:pPr>
    <w:rPr>
      <w:rFonts w:ascii="ＭＳ 明朝" w:eastAsia="ＭＳ 明朝" w:hAnsi="ＭＳ 明朝" w:cs="ＭＳ 明朝"/>
      <w:b/>
    </w:rPr>
  </w:style>
  <w:style w:type="paragraph" w:customStyle="1" w:styleId="enf2">
    <w:name w:val="節（en）"/>
    <w:basedOn w:val="jaf2"/>
    <w:rsid w:val="004C6414"/>
    <w:rPr>
      <w:rFonts w:ascii="Century" w:eastAsia="Century" w:hAnsi="Century" w:cs="Century"/>
    </w:rPr>
  </w:style>
  <w:style w:type="paragraph" w:customStyle="1" w:styleId="jaf3">
    <w:name w:val="条（ja）"/>
    <w:basedOn w:val="a"/>
    <w:rsid w:val="004C6414"/>
    <w:pPr>
      <w:widowControl w:val="0"/>
      <w:ind w:left="219" w:hanging="219"/>
    </w:pPr>
    <w:rPr>
      <w:rFonts w:ascii="ＭＳ 明朝" w:eastAsia="ＭＳ 明朝" w:hAnsi="ＭＳ 明朝" w:cs="ＭＳ 明朝"/>
    </w:rPr>
  </w:style>
  <w:style w:type="paragraph" w:customStyle="1" w:styleId="enf3">
    <w:name w:val="条（en）"/>
    <w:basedOn w:val="jaf3"/>
    <w:rsid w:val="004C6414"/>
    <w:rPr>
      <w:rFonts w:ascii="Century" w:eastAsia="Century" w:hAnsi="Century" w:cs="Century"/>
    </w:rPr>
  </w:style>
  <w:style w:type="paragraph" w:customStyle="1" w:styleId="jaf4">
    <w:name w:val="項（ja）"/>
    <w:basedOn w:val="a"/>
    <w:rsid w:val="004C6414"/>
    <w:pPr>
      <w:widowControl w:val="0"/>
      <w:ind w:left="219" w:hanging="219"/>
    </w:pPr>
    <w:rPr>
      <w:rFonts w:ascii="ＭＳ 明朝" w:eastAsia="ＭＳ 明朝" w:hAnsi="ＭＳ 明朝" w:cs="ＭＳ 明朝"/>
    </w:rPr>
  </w:style>
  <w:style w:type="paragraph" w:customStyle="1" w:styleId="enf4">
    <w:name w:val="項（en）"/>
    <w:basedOn w:val="jaf4"/>
    <w:rsid w:val="004C6414"/>
    <w:rPr>
      <w:rFonts w:ascii="Century" w:eastAsia="Century" w:hAnsi="Century" w:cs="Century"/>
    </w:rPr>
  </w:style>
  <w:style w:type="paragraph" w:customStyle="1" w:styleId="jaf5">
    <w:name w:val="項　番号なし（ja）"/>
    <w:basedOn w:val="a"/>
    <w:rsid w:val="004C6414"/>
    <w:pPr>
      <w:widowControl w:val="0"/>
      <w:ind w:firstLine="221"/>
    </w:pPr>
    <w:rPr>
      <w:rFonts w:ascii="ＭＳ 明朝" w:eastAsia="ＭＳ 明朝" w:hAnsi="ＭＳ 明朝" w:cs="ＭＳ 明朝"/>
    </w:rPr>
  </w:style>
  <w:style w:type="paragraph" w:customStyle="1" w:styleId="enf5">
    <w:name w:val="項　番号なし（en）"/>
    <w:basedOn w:val="jaf5"/>
    <w:rsid w:val="004C6414"/>
    <w:rPr>
      <w:rFonts w:ascii="Century" w:eastAsia="Century" w:hAnsi="Century" w:cs="Century"/>
    </w:rPr>
  </w:style>
  <w:style w:type="paragraph" w:customStyle="1" w:styleId="jaf6">
    <w:name w:val="号（ja）"/>
    <w:basedOn w:val="a"/>
    <w:rsid w:val="004C6414"/>
    <w:pPr>
      <w:widowControl w:val="0"/>
      <w:ind w:left="439" w:hanging="219"/>
    </w:pPr>
    <w:rPr>
      <w:rFonts w:ascii="ＭＳ 明朝" w:eastAsia="ＭＳ 明朝" w:hAnsi="ＭＳ 明朝" w:cs="ＭＳ 明朝"/>
    </w:rPr>
  </w:style>
  <w:style w:type="paragraph" w:customStyle="1" w:styleId="enf6">
    <w:name w:val="号（en）"/>
    <w:basedOn w:val="jaf6"/>
    <w:rsid w:val="004C6414"/>
    <w:rPr>
      <w:rFonts w:ascii="Century" w:eastAsia="Century" w:hAnsi="Century" w:cs="Century"/>
    </w:rPr>
  </w:style>
  <w:style w:type="paragraph" w:customStyle="1" w:styleId="jaf7">
    <w:name w:val="号　番号なし（ja）"/>
    <w:basedOn w:val="a"/>
    <w:rsid w:val="004C6414"/>
    <w:pPr>
      <w:widowControl w:val="0"/>
      <w:ind w:left="221" w:firstLine="221"/>
    </w:pPr>
    <w:rPr>
      <w:rFonts w:ascii="ＭＳ 明朝" w:eastAsia="ＭＳ 明朝" w:hAnsi="ＭＳ 明朝" w:cs="ＭＳ 明朝"/>
    </w:rPr>
  </w:style>
  <w:style w:type="paragraph" w:customStyle="1" w:styleId="enf7">
    <w:name w:val="号　番号なし（en）"/>
    <w:basedOn w:val="jaf7"/>
    <w:rsid w:val="004C6414"/>
    <w:rPr>
      <w:rFonts w:ascii="Century" w:eastAsia="Century" w:hAnsi="Century" w:cs="Century"/>
    </w:rPr>
  </w:style>
  <w:style w:type="paragraph" w:customStyle="1" w:styleId="jaf8">
    <w:name w:val="備考号（ja）"/>
    <w:basedOn w:val="a"/>
    <w:rsid w:val="004C6414"/>
    <w:pPr>
      <w:widowControl w:val="0"/>
      <w:ind w:left="659" w:hanging="219"/>
    </w:pPr>
    <w:rPr>
      <w:rFonts w:ascii="ＭＳ 明朝" w:eastAsia="ＭＳ 明朝" w:hAnsi="ＭＳ 明朝" w:cs="ＭＳ 明朝"/>
    </w:rPr>
  </w:style>
  <w:style w:type="paragraph" w:customStyle="1" w:styleId="enf8">
    <w:name w:val="備考号（en）"/>
    <w:basedOn w:val="jaf8"/>
    <w:rsid w:val="004C6414"/>
    <w:rPr>
      <w:rFonts w:ascii="Century" w:eastAsia="Century" w:hAnsi="Century" w:cs="Century"/>
    </w:rPr>
  </w:style>
  <w:style w:type="paragraph" w:customStyle="1" w:styleId="jaf9">
    <w:name w:val="号細分（ja）"/>
    <w:basedOn w:val="a"/>
    <w:rsid w:val="004C6414"/>
    <w:pPr>
      <w:widowControl w:val="0"/>
      <w:ind w:left="659" w:hanging="219"/>
    </w:pPr>
    <w:rPr>
      <w:rFonts w:ascii="ＭＳ 明朝" w:eastAsia="ＭＳ 明朝" w:hAnsi="ＭＳ 明朝" w:cs="ＭＳ 明朝"/>
    </w:rPr>
  </w:style>
  <w:style w:type="paragraph" w:customStyle="1" w:styleId="enf9">
    <w:name w:val="号細分（en）"/>
    <w:basedOn w:val="jaf9"/>
    <w:rsid w:val="004C6414"/>
    <w:rPr>
      <w:rFonts w:ascii="Century" w:eastAsia="Century" w:hAnsi="Century" w:cs="Century"/>
    </w:rPr>
  </w:style>
  <w:style w:type="paragraph" w:customStyle="1" w:styleId="jafa">
    <w:name w:val="号細分　番号なし（ja）"/>
    <w:basedOn w:val="a"/>
    <w:rsid w:val="004C6414"/>
    <w:pPr>
      <w:widowControl w:val="0"/>
      <w:ind w:left="439"/>
    </w:pPr>
    <w:rPr>
      <w:rFonts w:ascii="ＭＳ 明朝" w:eastAsia="ＭＳ 明朝" w:hAnsi="ＭＳ 明朝" w:cs="ＭＳ 明朝"/>
    </w:rPr>
  </w:style>
  <w:style w:type="paragraph" w:customStyle="1" w:styleId="enfa">
    <w:name w:val="号細分　番号なし（en）"/>
    <w:basedOn w:val="jafa"/>
    <w:rsid w:val="004C6414"/>
    <w:rPr>
      <w:rFonts w:ascii="Century" w:eastAsia="Century" w:hAnsi="Century" w:cs="Century"/>
    </w:rPr>
  </w:style>
  <w:style w:type="paragraph" w:customStyle="1" w:styleId="jafb">
    <w:name w:val="備考号細分（ja）"/>
    <w:basedOn w:val="a"/>
    <w:rsid w:val="004C6414"/>
    <w:pPr>
      <w:widowControl w:val="0"/>
      <w:ind w:left="1099" w:hanging="439"/>
    </w:pPr>
    <w:rPr>
      <w:rFonts w:ascii="ＭＳ 明朝" w:eastAsia="ＭＳ 明朝" w:hAnsi="ＭＳ 明朝" w:cs="ＭＳ 明朝"/>
    </w:rPr>
  </w:style>
  <w:style w:type="paragraph" w:customStyle="1" w:styleId="enfb">
    <w:name w:val="備考号細分（en）"/>
    <w:basedOn w:val="jafb"/>
    <w:rsid w:val="004C6414"/>
    <w:rPr>
      <w:rFonts w:ascii="Century" w:eastAsia="Century" w:hAnsi="Century" w:cs="Century"/>
    </w:rPr>
  </w:style>
  <w:style w:type="paragraph" w:customStyle="1" w:styleId="jafc">
    <w:name w:val="号細細分（ja）"/>
    <w:basedOn w:val="a"/>
    <w:rsid w:val="004C6414"/>
    <w:pPr>
      <w:widowControl w:val="0"/>
      <w:ind w:left="1099" w:hanging="439"/>
    </w:pPr>
    <w:rPr>
      <w:rFonts w:ascii="ＭＳ 明朝" w:eastAsia="ＭＳ 明朝" w:hAnsi="ＭＳ 明朝" w:cs="ＭＳ 明朝"/>
    </w:rPr>
  </w:style>
  <w:style w:type="paragraph" w:customStyle="1" w:styleId="enfc">
    <w:name w:val="号細細分（en）"/>
    <w:basedOn w:val="jafc"/>
    <w:rsid w:val="004C6414"/>
    <w:rPr>
      <w:rFonts w:ascii="Century" w:eastAsia="Century" w:hAnsi="Century" w:cs="Century"/>
    </w:rPr>
  </w:style>
  <w:style w:type="paragraph" w:customStyle="1" w:styleId="jafd">
    <w:name w:val="号細細分　番号なし（ja）"/>
    <w:basedOn w:val="a"/>
    <w:rsid w:val="004C6414"/>
    <w:pPr>
      <w:widowControl w:val="0"/>
      <w:ind w:left="659"/>
    </w:pPr>
    <w:rPr>
      <w:rFonts w:ascii="ＭＳ 明朝" w:eastAsia="ＭＳ 明朝" w:hAnsi="ＭＳ 明朝" w:cs="ＭＳ 明朝"/>
    </w:rPr>
  </w:style>
  <w:style w:type="paragraph" w:customStyle="1" w:styleId="enfd">
    <w:name w:val="号細細分　番号なし（en）"/>
    <w:basedOn w:val="jafd"/>
    <w:rsid w:val="004C6414"/>
    <w:rPr>
      <w:rFonts w:ascii="Century" w:eastAsia="Century" w:hAnsi="Century" w:cs="Century"/>
    </w:rPr>
  </w:style>
  <w:style w:type="paragraph" w:customStyle="1" w:styleId="jafe">
    <w:name w:val="備考号細細分（ja）"/>
    <w:basedOn w:val="a"/>
    <w:rsid w:val="004C6414"/>
    <w:pPr>
      <w:widowControl w:val="0"/>
      <w:ind w:left="1319" w:hanging="439"/>
    </w:pPr>
    <w:rPr>
      <w:rFonts w:ascii="ＭＳ 明朝" w:eastAsia="ＭＳ 明朝" w:hAnsi="ＭＳ 明朝" w:cs="ＭＳ 明朝"/>
    </w:rPr>
  </w:style>
  <w:style w:type="paragraph" w:customStyle="1" w:styleId="enfe">
    <w:name w:val="備考号細細分（en）"/>
    <w:basedOn w:val="jafe"/>
    <w:rsid w:val="004C6414"/>
    <w:rPr>
      <w:rFonts w:ascii="Century" w:eastAsia="Century" w:hAnsi="Century" w:cs="Century"/>
    </w:rPr>
  </w:style>
  <w:style w:type="paragraph" w:customStyle="1" w:styleId="jaff">
    <w:name w:val="号細細細分（ja）"/>
    <w:basedOn w:val="a"/>
    <w:rsid w:val="004C6414"/>
    <w:pPr>
      <w:widowControl w:val="0"/>
      <w:ind w:left="1319" w:hanging="439"/>
    </w:pPr>
    <w:rPr>
      <w:rFonts w:ascii="ＭＳ 明朝" w:eastAsia="ＭＳ 明朝" w:hAnsi="ＭＳ 明朝" w:cs="ＭＳ 明朝"/>
    </w:rPr>
  </w:style>
  <w:style w:type="paragraph" w:customStyle="1" w:styleId="enff">
    <w:name w:val="号細細細分（en）"/>
    <w:basedOn w:val="jaff"/>
    <w:rsid w:val="004C6414"/>
    <w:rPr>
      <w:rFonts w:ascii="Century" w:eastAsia="Century" w:hAnsi="Century" w:cs="Century"/>
    </w:rPr>
  </w:style>
  <w:style w:type="paragraph" w:customStyle="1" w:styleId="jaff0">
    <w:name w:val="号細細細分　番号なし（ja）"/>
    <w:basedOn w:val="a"/>
    <w:rsid w:val="004C6414"/>
    <w:pPr>
      <w:widowControl w:val="0"/>
      <w:ind w:left="879"/>
    </w:pPr>
    <w:rPr>
      <w:rFonts w:ascii="ＭＳ 明朝" w:eastAsia="ＭＳ 明朝" w:hAnsi="ＭＳ 明朝" w:cs="ＭＳ 明朝"/>
    </w:rPr>
  </w:style>
  <w:style w:type="paragraph" w:customStyle="1" w:styleId="enff0">
    <w:name w:val="号細細細分　番号なし（en）"/>
    <w:basedOn w:val="jaff0"/>
    <w:rsid w:val="004C6414"/>
    <w:rPr>
      <w:rFonts w:ascii="Century" w:eastAsia="Century" w:hAnsi="Century" w:cs="Century"/>
    </w:rPr>
  </w:style>
  <w:style w:type="paragraph" w:customStyle="1" w:styleId="jaff1">
    <w:name w:val="備考号細細細分（ja）"/>
    <w:basedOn w:val="a"/>
    <w:rsid w:val="004C64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6414"/>
    <w:rPr>
      <w:rFonts w:ascii="Century" w:eastAsia="Century" w:hAnsi="Century" w:cs="Century"/>
    </w:rPr>
  </w:style>
  <w:style w:type="paragraph" w:customStyle="1" w:styleId="jaff2">
    <w:name w:val="類（ja）"/>
    <w:basedOn w:val="a"/>
    <w:rsid w:val="004C6414"/>
    <w:pPr>
      <w:widowControl w:val="0"/>
      <w:ind w:left="439" w:hanging="219"/>
    </w:pPr>
    <w:rPr>
      <w:rFonts w:ascii="ＭＳ 明朝" w:eastAsia="ＭＳ 明朝" w:hAnsi="ＭＳ 明朝" w:cs="ＭＳ 明朝"/>
    </w:rPr>
  </w:style>
  <w:style w:type="paragraph" w:customStyle="1" w:styleId="enff2">
    <w:name w:val="類（en）"/>
    <w:basedOn w:val="jaff2"/>
    <w:rsid w:val="004C6414"/>
    <w:rPr>
      <w:rFonts w:ascii="Century" w:eastAsia="Century" w:hAnsi="Century" w:cs="Century"/>
    </w:rPr>
  </w:style>
  <w:style w:type="paragraph" w:customStyle="1" w:styleId="jaff3">
    <w:name w:val="公布文（ja）"/>
    <w:basedOn w:val="a"/>
    <w:rsid w:val="004C6414"/>
    <w:pPr>
      <w:widowControl w:val="0"/>
      <w:ind w:firstLine="219"/>
    </w:pPr>
    <w:rPr>
      <w:rFonts w:ascii="ＭＳ 明朝" w:eastAsia="ＭＳ 明朝" w:hAnsi="ＭＳ 明朝" w:cs="ＭＳ 明朝"/>
    </w:rPr>
  </w:style>
  <w:style w:type="paragraph" w:customStyle="1" w:styleId="enff3">
    <w:name w:val="公布文（en）"/>
    <w:basedOn w:val="jaff3"/>
    <w:rsid w:val="004C6414"/>
    <w:rPr>
      <w:rFonts w:ascii="Century" w:eastAsia="Century" w:hAnsi="Century" w:cs="Century"/>
    </w:rPr>
  </w:style>
  <w:style w:type="paragraph" w:customStyle="1" w:styleId="jaen">
    <w:name w:val="表（ja：en）"/>
    <w:basedOn w:val="a"/>
    <w:rsid w:val="004C6414"/>
    <w:pPr>
      <w:widowControl w:val="0"/>
      <w:snapToGrid w:val="0"/>
    </w:pPr>
    <w:rPr>
      <w:rFonts w:ascii="Century" w:eastAsia="ＭＳ 明朝" w:hAnsi="Century"/>
    </w:rPr>
  </w:style>
  <w:style w:type="paragraph" w:customStyle="1" w:styleId="jaff4">
    <w:name w:val="備考（ja）"/>
    <w:basedOn w:val="a"/>
    <w:rsid w:val="004C6414"/>
    <w:pPr>
      <w:widowControl w:val="0"/>
      <w:ind w:left="439" w:hanging="219"/>
    </w:pPr>
    <w:rPr>
      <w:rFonts w:ascii="ＭＳ 明朝" w:eastAsia="ＭＳ 明朝" w:hAnsi="ＭＳ 明朝" w:cs="ＭＳ 明朝"/>
    </w:rPr>
  </w:style>
  <w:style w:type="paragraph" w:customStyle="1" w:styleId="enff4">
    <w:name w:val="備考（en）"/>
    <w:basedOn w:val="jaff4"/>
    <w:rsid w:val="004C6414"/>
    <w:rPr>
      <w:rFonts w:ascii="Century" w:eastAsia="Century" w:hAnsi="Century" w:cs="Century"/>
    </w:rPr>
  </w:style>
  <w:style w:type="paragraph" w:customStyle="1" w:styleId="jaff5">
    <w:name w:val="表タイトル（ja）"/>
    <w:basedOn w:val="a"/>
    <w:rsid w:val="004C6414"/>
    <w:pPr>
      <w:widowControl w:val="0"/>
      <w:ind w:left="219"/>
    </w:pPr>
    <w:rPr>
      <w:rFonts w:ascii="ＭＳ 明朝" w:eastAsia="ＭＳ 明朝" w:hAnsi="ＭＳ 明朝" w:cs="ＭＳ 明朝"/>
    </w:rPr>
  </w:style>
  <w:style w:type="paragraph" w:customStyle="1" w:styleId="enff5">
    <w:name w:val="表タイトル（en）"/>
    <w:basedOn w:val="jaff5"/>
    <w:rsid w:val="004C6414"/>
    <w:rPr>
      <w:rFonts w:ascii="Century" w:eastAsia="Century" w:hAnsi="Century" w:cs="Century"/>
    </w:rPr>
  </w:style>
  <w:style w:type="paragraph" w:customStyle="1" w:styleId="jaff6">
    <w:name w:val="改正規定文（ja）"/>
    <w:basedOn w:val="a"/>
    <w:rsid w:val="004C6414"/>
    <w:pPr>
      <w:widowControl w:val="0"/>
      <w:ind w:left="219" w:firstLine="219"/>
    </w:pPr>
    <w:rPr>
      <w:rFonts w:ascii="ＭＳ 明朝" w:eastAsia="ＭＳ 明朝" w:hAnsi="ＭＳ 明朝" w:cs="ＭＳ 明朝"/>
    </w:rPr>
  </w:style>
  <w:style w:type="paragraph" w:customStyle="1" w:styleId="enff6">
    <w:name w:val="改正規定文（en）"/>
    <w:basedOn w:val="jaff6"/>
    <w:rsid w:val="004C6414"/>
    <w:rPr>
      <w:rFonts w:ascii="Century" w:eastAsia="Century" w:hAnsi="Century" w:cs="Century"/>
    </w:rPr>
  </w:style>
  <w:style w:type="paragraph" w:customStyle="1" w:styleId="jaff7">
    <w:name w:val="付記（ja）"/>
    <w:basedOn w:val="a"/>
    <w:rsid w:val="004C6414"/>
    <w:pPr>
      <w:widowControl w:val="0"/>
      <w:ind w:left="219" w:firstLine="219"/>
    </w:pPr>
    <w:rPr>
      <w:rFonts w:ascii="ＭＳ 明朝" w:eastAsia="ＭＳ 明朝" w:hAnsi="ＭＳ 明朝" w:cs="ＭＳ 明朝"/>
    </w:rPr>
  </w:style>
  <w:style w:type="paragraph" w:customStyle="1" w:styleId="enff7">
    <w:name w:val="付記（en）"/>
    <w:basedOn w:val="jaff7"/>
    <w:rsid w:val="004C6414"/>
    <w:rPr>
      <w:rFonts w:ascii="Century" w:eastAsia="Century" w:hAnsi="Century" w:cs="Century"/>
    </w:rPr>
  </w:style>
  <w:style w:type="paragraph" w:customStyle="1" w:styleId="jaff8">
    <w:name w:val="様式名（ja）"/>
    <w:basedOn w:val="a"/>
    <w:rsid w:val="004C6414"/>
    <w:pPr>
      <w:widowControl w:val="0"/>
      <w:ind w:left="439" w:hanging="219"/>
    </w:pPr>
    <w:rPr>
      <w:rFonts w:ascii="ＭＳ 明朝" w:eastAsia="ＭＳ 明朝" w:hAnsi="ＭＳ 明朝" w:cs="ＭＳ 明朝"/>
    </w:rPr>
  </w:style>
  <w:style w:type="paragraph" w:customStyle="1" w:styleId="enff8">
    <w:name w:val="様式名（en）"/>
    <w:basedOn w:val="jaff8"/>
    <w:rsid w:val="004C6414"/>
    <w:rPr>
      <w:rFonts w:ascii="Century" w:eastAsia="Century" w:hAnsi="Century" w:cs="Century"/>
    </w:rPr>
  </w:style>
  <w:style w:type="paragraph" w:customStyle="1" w:styleId="jaff9">
    <w:name w:val="様式項目（ja）"/>
    <w:basedOn w:val="a"/>
    <w:rsid w:val="004C6414"/>
    <w:pPr>
      <w:widowControl w:val="0"/>
      <w:ind w:left="221" w:firstLine="221"/>
    </w:pPr>
    <w:rPr>
      <w:rFonts w:ascii="ＭＳ 明朝" w:eastAsia="ＭＳ 明朝" w:hAnsi="ＭＳ 明朝" w:cs="ＭＳ 明朝"/>
    </w:rPr>
  </w:style>
  <w:style w:type="paragraph" w:customStyle="1" w:styleId="enff9">
    <w:name w:val="様式項目（en）"/>
    <w:basedOn w:val="jaff9"/>
    <w:rsid w:val="004C6414"/>
    <w:rPr>
      <w:rFonts w:ascii="Century" w:eastAsia="Century" w:hAnsi="Century" w:cs="Century"/>
    </w:rPr>
  </w:style>
  <w:style w:type="table" w:customStyle="1" w:styleId="1">
    <w:name w:val="表1"/>
    <w:rsid w:val="004C6414"/>
    <w:tblPr>
      <w:tblInd w:w="340" w:type="dxa"/>
      <w:tblCellMar>
        <w:top w:w="0" w:type="dxa"/>
        <w:left w:w="0" w:type="dxa"/>
        <w:bottom w:w="0" w:type="dxa"/>
        <w:right w:w="0" w:type="dxa"/>
      </w:tblCellMar>
    </w:tblPr>
  </w:style>
  <w:style w:type="numbering" w:customStyle="1" w:styleId="WW8Num1">
    <w:name w:val="WW8Num1"/>
    <w:rsid w:val="004C6414"/>
    <w:pPr>
      <w:numPr>
        <w:numId w:val="2"/>
      </w:numPr>
    </w:pPr>
  </w:style>
  <w:style w:type="numbering" w:customStyle="1" w:styleId="WW8Num2">
    <w:name w:val="WW8Num2"/>
    <w:rsid w:val="004C6414"/>
    <w:pPr>
      <w:numPr>
        <w:numId w:val="3"/>
      </w:numPr>
    </w:pPr>
  </w:style>
  <w:style w:type="numbering" w:customStyle="1" w:styleId="WW8Num3">
    <w:name w:val="WW8Num3"/>
    <w:rsid w:val="004C6414"/>
    <w:pPr>
      <w:numPr>
        <w:numId w:val="4"/>
      </w:numPr>
    </w:pPr>
  </w:style>
  <w:style w:type="numbering" w:customStyle="1" w:styleId="WW8Num4">
    <w:name w:val="WW8Num4"/>
    <w:rsid w:val="004C6414"/>
    <w:pPr>
      <w:numPr>
        <w:numId w:val="5"/>
      </w:numPr>
    </w:pPr>
  </w:style>
  <w:style w:type="numbering" w:customStyle="1" w:styleId="WW8Num5">
    <w:name w:val="WW8Num5"/>
    <w:rsid w:val="004C6414"/>
    <w:pPr>
      <w:numPr>
        <w:numId w:val="6"/>
      </w:numPr>
    </w:pPr>
  </w:style>
  <w:style w:type="numbering" w:customStyle="1" w:styleId="WW8Num6">
    <w:name w:val="WW8Num6"/>
    <w:rsid w:val="004C6414"/>
    <w:pPr>
      <w:numPr>
        <w:numId w:val="7"/>
      </w:numPr>
    </w:pPr>
  </w:style>
  <w:style w:type="numbering" w:customStyle="1" w:styleId="WW8Num7">
    <w:name w:val="WW8Num7"/>
    <w:rsid w:val="004C6414"/>
    <w:pPr>
      <w:numPr>
        <w:numId w:val="8"/>
      </w:numPr>
    </w:pPr>
  </w:style>
  <w:style w:type="numbering" w:customStyle="1" w:styleId="WW8Num8">
    <w:name w:val="WW8Num8"/>
    <w:rsid w:val="004C6414"/>
    <w:pPr>
      <w:numPr>
        <w:numId w:val="9"/>
      </w:numPr>
    </w:pPr>
  </w:style>
  <w:style w:type="numbering" w:customStyle="1" w:styleId="WW8Num9">
    <w:name w:val="WW8Num9"/>
    <w:rsid w:val="004C6414"/>
    <w:pPr>
      <w:numPr>
        <w:numId w:val="10"/>
      </w:numPr>
    </w:pPr>
  </w:style>
  <w:style w:type="numbering" w:customStyle="1" w:styleId="WW8Num10">
    <w:name w:val="WW8Num10"/>
    <w:rsid w:val="004C6414"/>
    <w:pPr>
      <w:numPr>
        <w:numId w:val="11"/>
      </w:numPr>
    </w:pPr>
  </w:style>
  <w:style w:type="numbering" w:customStyle="1" w:styleId="WW8Num11">
    <w:name w:val="WW8Num11"/>
    <w:rsid w:val="004C6414"/>
    <w:pPr>
      <w:numPr>
        <w:numId w:val="12"/>
      </w:numPr>
    </w:pPr>
  </w:style>
  <w:style w:type="numbering" w:customStyle="1" w:styleId="WW8Num12">
    <w:name w:val="WW8Num12"/>
    <w:rsid w:val="004C6414"/>
    <w:pPr>
      <w:numPr>
        <w:numId w:val="13"/>
      </w:numPr>
    </w:pPr>
  </w:style>
  <w:style w:type="paragraph" w:styleId="a4">
    <w:name w:val="header"/>
    <w:basedOn w:val="a"/>
    <w:link w:val="a5"/>
    <w:uiPriority w:val="99"/>
    <w:unhideWhenUsed/>
    <w:rsid w:val="00C62CCA"/>
    <w:pPr>
      <w:tabs>
        <w:tab w:val="center" w:pos="4252"/>
        <w:tab w:val="right" w:pos="8504"/>
      </w:tabs>
      <w:snapToGrid w:val="0"/>
    </w:pPr>
  </w:style>
  <w:style w:type="character" w:customStyle="1" w:styleId="a5">
    <w:name w:val="ヘッダー (文字)"/>
    <w:basedOn w:val="a0"/>
    <w:link w:val="a4"/>
    <w:uiPriority w:val="99"/>
    <w:rsid w:val="00C62C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3241</Words>
  <Characters>18480</Characters>
  <Application>Microsoft Office Word</Application>
  <DocSecurity>0</DocSecurity>
  <Lines>154</Lines>
  <Paragraphs>43</Paragraphs>
  <ScaleCrop>false</ScaleCrop>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