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28A" w:rsidRDefault="006C0926">
      <w:pPr>
        <w:pStyle w:val="en"/>
      </w:pPr>
      <w:r>
        <w:t>The Basic Act on Cybersecurity</w:t>
      </w:r>
    </w:p>
    <w:p w:rsidR="0037428A" w:rsidRDefault="0037428A"/>
    <w:p w:rsidR="0037428A" w:rsidRDefault="006C0926">
      <w:pPr>
        <w:pStyle w:val="enf"/>
      </w:pPr>
      <w:r>
        <w:t>(Act No. 104 of November 12, 2014)</w:t>
      </w:r>
    </w:p>
    <w:p w:rsidR="0037428A" w:rsidRDefault="0037428A"/>
    <w:p w:rsidR="0037428A" w:rsidRDefault="006C0926">
      <w:pPr>
        <w:pStyle w:val="enf0"/>
      </w:pPr>
      <w:r>
        <w:t>Table of Contents</w:t>
      </w:r>
    </w:p>
    <w:p w:rsidR="0037428A" w:rsidRDefault="006C0926">
      <w:pPr>
        <w:pStyle w:val="en5"/>
      </w:pPr>
      <w:r>
        <w:t>Chapter I General Provisions (Articles 1 to 11)</w:t>
      </w:r>
    </w:p>
    <w:p w:rsidR="0037428A" w:rsidRDefault="006C0926">
      <w:pPr>
        <w:pStyle w:val="en5"/>
      </w:pPr>
      <w:r>
        <w:t>Chapter II Cybersecurity Strategy (Article 12)</w:t>
      </w:r>
    </w:p>
    <w:p w:rsidR="0037428A" w:rsidRDefault="006C0926">
      <w:pPr>
        <w:pStyle w:val="en5"/>
      </w:pPr>
      <w:r>
        <w:t>Chapter III Basic Policy (Articles 13 to 23)</w:t>
      </w:r>
    </w:p>
    <w:p w:rsidR="0037428A" w:rsidRDefault="006C0926">
      <w:pPr>
        <w:pStyle w:val="en5"/>
      </w:pPr>
      <w:r>
        <w:t xml:space="preserve">Chapter IV </w:t>
      </w:r>
      <w:r>
        <w:t>Cybersecurity Strategic Headquarters (Articles 24 to 35)</w:t>
      </w:r>
    </w:p>
    <w:p w:rsidR="0037428A" w:rsidRDefault="006C0926">
      <w:pPr>
        <w:pStyle w:val="enc"/>
      </w:pPr>
      <w:r>
        <w:t>Supplementary Provisions</w:t>
      </w:r>
    </w:p>
    <w:p w:rsidR="0037428A" w:rsidRDefault="0037428A"/>
    <w:p w:rsidR="0037428A" w:rsidRDefault="006C0926">
      <w:pPr>
        <w:pStyle w:val="en3"/>
      </w:pPr>
      <w:r>
        <w:t>Chapter I General Provisions</w:t>
      </w:r>
    </w:p>
    <w:p w:rsidR="0037428A" w:rsidRDefault="0037428A"/>
    <w:p w:rsidR="0037428A" w:rsidRDefault="006C0926">
      <w:pPr>
        <w:pStyle w:val="ena"/>
      </w:pPr>
      <w:r>
        <w:t>(Purpose)</w:t>
      </w:r>
    </w:p>
    <w:p w:rsidR="0037428A" w:rsidRDefault="006C0926">
      <w:pPr>
        <w:pStyle w:val="enf3"/>
      </w:pPr>
      <w:r>
        <w:t>Article 1  Facing domestic and foreign changes such as the intensification of threats against cybersecurity on a worldwide scale, and</w:t>
      </w:r>
      <w:r>
        <w:t xml:space="preserve"> with the progression of the Internet and other advanced information and telecommunications networks, the use of information and telecommunications technologies, and the given situation of the urgent issue to ensure the free flow of information and the pro</w:t>
      </w:r>
      <w:r>
        <w:t>tection of cybersecurity simultaneously, the purpose of this Act is to comprehensively and effectively promote the cybersecurity policy by: stipulating basic principles of national the cybersecurity policy; clarifying the responsibilities of the national g</w:t>
      </w:r>
      <w:r>
        <w:t>overnment, local governments, and other concerned public parties; stipulating essential matters for cybersecurity-related policies such as the cybersecurity strategy formulation; and establishing the Cybersecurity Strategic Headquarters and so forth, toget</w:t>
      </w:r>
      <w:r>
        <w:t>her with the Basic Act on the Formation of an Advanced Information and Telecommunications Network Society (Act. No. 144 of 2000), and as a result, attempting to enhance economic and social vitality, sustainable development and realizing social conditions w</w:t>
      </w:r>
      <w:r>
        <w:t>here the people can live with a sense of safety and security, and contributing to the protection of international peace and security as well as national security.</w:t>
      </w:r>
    </w:p>
    <w:p w:rsidR="0037428A" w:rsidRDefault="0037428A"/>
    <w:p w:rsidR="0037428A" w:rsidRDefault="006C0926">
      <w:pPr>
        <w:pStyle w:val="ena"/>
      </w:pPr>
      <w:r>
        <w:t>(Definitions)</w:t>
      </w:r>
    </w:p>
    <w:p w:rsidR="0037428A" w:rsidRDefault="006C0926">
      <w:pPr>
        <w:pStyle w:val="enf3"/>
      </w:pPr>
      <w:r>
        <w:t>Article 2  For the purposes of this Act, the term "Cybersecurity" means the ne</w:t>
      </w:r>
      <w:r>
        <w:t>cessary measures that are needed to be taken to safely manage information, such as prevention against the leak, disappearance, or damage of information which is stored, sent, in transmission, or received by electronic, magnetic, or other means unrecognizab</w:t>
      </w:r>
      <w:r>
        <w:t xml:space="preserve">le by natural perceptive functions (hereinafter in this section referred to as "Electronic or Magnetic Means"); and to guarantee </w:t>
      </w:r>
      <w:r>
        <w:lastRenderedPageBreak/>
        <w:t>the safety and reliability of information systems and information and telecommunications networks (including necessary preventi</w:t>
      </w:r>
      <w:r>
        <w:t>ve measures against malicious activities toward electronic computers through information network or storage media for information created by electronic or magnetic means (hereinafter referred to as "Electronic or Magnetic Storage Media")), and that those s</w:t>
      </w:r>
      <w:r>
        <w:t>tates are appropriately maintained.</w:t>
      </w:r>
    </w:p>
    <w:p w:rsidR="0037428A" w:rsidRDefault="0037428A"/>
    <w:p w:rsidR="0037428A" w:rsidRDefault="006C0926">
      <w:pPr>
        <w:pStyle w:val="ena"/>
      </w:pPr>
      <w:r>
        <w:t>(Basic Principles)</w:t>
      </w:r>
    </w:p>
    <w:p w:rsidR="0037428A" w:rsidRDefault="006C0926">
      <w:pPr>
        <w:pStyle w:val="enf3"/>
      </w:pPr>
      <w:r>
        <w:t>Article 3  (1) Given that ensuring the free flow of information through maintaining the Internet and other advanced information and telecommunications networks, the utilization of information and tele</w:t>
      </w:r>
      <w:r>
        <w:t>communications technologies are critical to enjoying benefits through the freedom of expression, enabling the creation of innovation, improving economic and social vitality, and so forth, the promotion of the Cybersecurity policy must be carried out with t</w:t>
      </w:r>
      <w:r>
        <w:t xml:space="preserve">he intent to produce active responses to threats against Cybersecurity through coordination among multiple stakeholders, including the national government, local governments, and critical information infrastructure CII Operators (referring to operators of </w:t>
      </w:r>
      <w:r>
        <w:t>businesses that provide infrastructure which is the foundation of the people's living conditions and economic activities and the functional failure or deterioration of which would risk enormous impacts to them; hereinafter, the same is to apply).</w:t>
      </w:r>
    </w:p>
    <w:p w:rsidR="0037428A" w:rsidRDefault="006C0926">
      <w:pPr>
        <w:pStyle w:val="enf4"/>
      </w:pPr>
      <w:r>
        <w:t>(2) The p</w:t>
      </w:r>
      <w:r>
        <w:t>romotion of the Cybersecurity policy must be carried out with the intent to raise awareness to each member of the public about Cybersecurity and encourage each member of the public to take voluntary actions to prevent any damage caused by threats against C</w:t>
      </w:r>
      <w:r>
        <w:t>ybersecurity, and to positively promote actions to establish resilient systems which can quickly recover from damage or failure.</w:t>
      </w:r>
    </w:p>
    <w:p w:rsidR="0037428A" w:rsidRDefault="006C0926">
      <w:pPr>
        <w:pStyle w:val="enf4"/>
      </w:pPr>
      <w:r>
        <w:t>(3) The policy to promote Cybersecurity must proactively be carried out with the intent to implement on maintaining the Interne</w:t>
      </w:r>
      <w:r>
        <w:t>t and other advanced information, telecommunications networks and actions toward the establishment of a vital economy and society through the utilization of information and telecommunications technologies.</w:t>
      </w:r>
    </w:p>
    <w:p w:rsidR="0037428A" w:rsidRDefault="006C0926">
      <w:pPr>
        <w:pStyle w:val="enf4"/>
      </w:pPr>
      <w:r>
        <w:t>(4) Given the fact that combatting threats against</w:t>
      </w:r>
      <w:r>
        <w:t xml:space="preserve"> Cybersecurity is a common concern of the international community, and with recognition that Japan's economic and social activities are characterized by close international interdependence, the promotion of the Cybersecurity policy must be required to be c</w:t>
      </w:r>
      <w:r>
        <w:t>arried out with intent to play a leading role in an internationally-coordinated effort for the creation and development of an international normative framework for Cybersecurity.</w:t>
      </w:r>
    </w:p>
    <w:p w:rsidR="0037428A" w:rsidRDefault="006C0926">
      <w:pPr>
        <w:pStyle w:val="enf4"/>
      </w:pPr>
      <w:r>
        <w:t xml:space="preserve">(5) The promotion of the Cybersecurity policy must be required to be carried </w:t>
      </w:r>
      <w:r>
        <w:t xml:space="preserve">out in consideration of the basic principles of the Basic Act on the Formation of an </w:t>
      </w:r>
      <w:r>
        <w:lastRenderedPageBreak/>
        <w:t>Advanced Information and Telecommunications Network Society.</w:t>
      </w:r>
    </w:p>
    <w:p w:rsidR="0037428A" w:rsidRDefault="006C0926">
      <w:pPr>
        <w:pStyle w:val="enf4"/>
      </w:pPr>
      <w:r>
        <w:t>(6) The promotion of the Cybersecurity policy is required to be carried out with due consideration not to wron</w:t>
      </w:r>
      <w:r>
        <w:t>gfully impinge upon the peoples' rights.</w:t>
      </w:r>
    </w:p>
    <w:p w:rsidR="0037428A" w:rsidRDefault="0037428A"/>
    <w:p w:rsidR="0037428A" w:rsidRDefault="006C0926">
      <w:pPr>
        <w:pStyle w:val="ena"/>
      </w:pPr>
      <w:r>
        <w:t>(Responsibility of the Government)</w:t>
      </w:r>
    </w:p>
    <w:p w:rsidR="0037428A" w:rsidRDefault="006C0926">
      <w:pPr>
        <w:pStyle w:val="enf3"/>
      </w:pPr>
      <w:r>
        <w:t xml:space="preserve">Article 4  In accordance with the basic principles prescribed under the preceding article, (hereinafter referred to as the "Basic Principles"), the national government bears </w:t>
      </w:r>
      <w:r>
        <w:t>the responsibility to formulate and implement comprehensive Cybersecurity policies.</w:t>
      </w:r>
    </w:p>
    <w:p w:rsidR="0037428A" w:rsidRDefault="0037428A"/>
    <w:p w:rsidR="0037428A" w:rsidRDefault="006C0926">
      <w:pPr>
        <w:pStyle w:val="ena"/>
      </w:pPr>
      <w:r>
        <w:t>(Responsibility of Local Governments)</w:t>
      </w:r>
    </w:p>
    <w:p w:rsidR="0037428A" w:rsidRDefault="006C0926">
      <w:pPr>
        <w:pStyle w:val="enf3"/>
      </w:pPr>
      <w:r>
        <w:t xml:space="preserve">Article 5  In accordance with the Basic Principles, local governments bear the responsibility to formulate and implement independent </w:t>
      </w:r>
      <w:r>
        <w:t>Cybersecurity policies in consideration of the appropriate division of roles with the national government.</w:t>
      </w:r>
    </w:p>
    <w:p w:rsidR="0037428A" w:rsidRDefault="0037428A"/>
    <w:p w:rsidR="0037428A" w:rsidRDefault="006C0926">
      <w:pPr>
        <w:pStyle w:val="ena"/>
      </w:pPr>
      <w:r>
        <w:t>(Responsibility of CII Operators)</w:t>
      </w:r>
    </w:p>
    <w:p w:rsidR="0037428A" w:rsidRDefault="006C0926">
      <w:pPr>
        <w:pStyle w:val="enf3"/>
      </w:pPr>
      <w:r>
        <w:t>Article 6  In accordance with the Basic Principles and for the purpose of stable and appropriate provision of thei</w:t>
      </w:r>
      <w:r>
        <w:t>r services, CII Operators are to make an effort to: deepen their awareness and understanding of the critical value of Cybersecurity; ensure Cybersecurity voluntarily and proactively; and cooperate with the measures on Cybersecurity taken by the national go</w:t>
      </w:r>
      <w:r>
        <w:t>vernment or local governments.</w:t>
      </w:r>
    </w:p>
    <w:p w:rsidR="0037428A" w:rsidRDefault="0037428A"/>
    <w:p w:rsidR="0037428A" w:rsidRDefault="006C0926">
      <w:pPr>
        <w:pStyle w:val="ena"/>
      </w:pPr>
      <w:r>
        <w:t>(Responsibility of Cyberspace-Related Business Entities and Other Business Entities)</w:t>
      </w:r>
    </w:p>
    <w:p w:rsidR="0037428A" w:rsidRDefault="006C0926">
      <w:pPr>
        <w:pStyle w:val="enf3"/>
      </w:pPr>
      <w:r>
        <w:t xml:space="preserve">Article 7  In accordance with the Basic Principles, Cyberspace-Related Business Entities (referring to those engaged in business regarding </w:t>
      </w:r>
      <w:r>
        <w:t>the maintenance of the Internet and other advanced information and telecommunications networks, the utilization of information and telecommunications technologies, or involved in business related to Cybersecurity; hereinafter, the same is to apply) and oth</w:t>
      </w:r>
      <w:r>
        <w:t>er business entities are to make an effort to ensure Cybersecurity voluntarily and proactively in their businesses and to cooperate with the measures on Cybersecurity taken by the national government or local governments.</w:t>
      </w:r>
    </w:p>
    <w:p w:rsidR="0037428A" w:rsidRDefault="0037428A"/>
    <w:p w:rsidR="0037428A" w:rsidRDefault="006C0926">
      <w:pPr>
        <w:pStyle w:val="ena"/>
      </w:pPr>
      <w:r>
        <w:t>(Responsibility of Educational an</w:t>
      </w:r>
      <w:r>
        <w:t>d Research Organizations)</w:t>
      </w:r>
    </w:p>
    <w:p w:rsidR="0037428A" w:rsidRDefault="006C0926">
      <w:pPr>
        <w:pStyle w:val="enf3"/>
      </w:pPr>
      <w:r>
        <w:t>Article 8  In accordance with the basic principles, universities and other educational and research organizations are to make an effort to ensure Cybersecurity voluntarily and proactively, develop human resources specialized for C</w:t>
      </w:r>
      <w:r>
        <w:t>ybersecurity, disseminate research and the results of research on Cybersecurity, and cooperate with measures taken by the national government or local governments.</w:t>
      </w:r>
    </w:p>
    <w:p w:rsidR="0037428A" w:rsidRDefault="0037428A"/>
    <w:p w:rsidR="0037428A" w:rsidRDefault="006C0926">
      <w:pPr>
        <w:pStyle w:val="ena"/>
      </w:pPr>
      <w:r>
        <w:t>(The Efforts of the People)</w:t>
      </w:r>
    </w:p>
    <w:p w:rsidR="0037428A" w:rsidRDefault="006C0926">
      <w:pPr>
        <w:pStyle w:val="enf3"/>
      </w:pPr>
      <w:r>
        <w:t xml:space="preserve">Article 9  In accordance with the Basic Principles, the people </w:t>
      </w:r>
      <w:r>
        <w:t>are to make an effort to deepen their awareness and understanding of the critical value of Cybersecurity and pay necessary attention to ensuring Cybersecurity.</w:t>
      </w:r>
    </w:p>
    <w:p w:rsidR="0037428A" w:rsidRDefault="0037428A"/>
    <w:p w:rsidR="0037428A" w:rsidRDefault="006C0926">
      <w:pPr>
        <w:pStyle w:val="ena"/>
      </w:pPr>
      <w:r>
        <w:t>(Legislative and Other Measures)</w:t>
      </w:r>
    </w:p>
    <w:p w:rsidR="0037428A" w:rsidRDefault="006C0926">
      <w:pPr>
        <w:pStyle w:val="enf3"/>
      </w:pPr>
      <w:r>
        <w:t>Article 10  The national government must take necessary measur</w:t>
      </w:r>
      <w:r>
        <w:t>es for the implementation of Cybersecurity policies including legislative, financial, or taxation measures.</w:t>
      </w:r>
    </w:p>
    <w:p w:rsidR="0037428A" w:rsidRDefault="0037428A"/>
    <w:p w:rsidR="0037428A" w:rsidRDefault="006C0926">
      <w:pPr>
        <w:pStyle w:val="ena"/>
      </w:pPr>
      <w:r>
        <w:t>(Development of Administrative Organizations)</w:t>
      </w:r>
    </w:p>
    <w:p w:rsidR="0037428A" w:rsidRDefault="006C0926">
      <w:pPr>
        <w:pStyle w:val="enf3"/>
      </w:pPr>
      <w:r>
        <w:t>Article 11  In providing Cybersecurity policies, the national government is to make an effort to deve</w:t>
      </w:r>
      <w:r>
        <w:t>lop administrative organizations and to improve administrative management.</w:t>
      </w:r>
    </w:p>
    <w:p w:rsidR="0037428A" w:rsidRDefault="0037428A"/>
    <w:p w:rsidR="0037428A" w:rsidRDefault="006C0926">
      <w:pPr>
        <w:pStyle w:val="en3"/>
      </w:pPr>
      <w:r>
        <w:t>Chapter II The Cybersecurity Strategy</w:t>
      </w:r>
    </w:p>
    <w:p w:rsidR="0037428A" w:rsidRDefault="0037428A"/>
    <w:p w:rsidR="0037428A" w:rsidRDefault="006C0926">
      <w:pPr>
        <w:pStyle w:val="enf3"/>
      </w:pPr>
      <w:r>
        <w:t>Article 12  (1) The national government must establish a basic plan for Cybersecurity (hereinafter referred to as the "Cybersecurity Strategy</w:t>
      </w:r>
      <w:r>
        <w:t>") with the aim of the comprehensive and effective promotion of the Cybersecurity policy.</w:t>
      </w:r>
    </w:p>
    <w:p w:rsidR="0037428A" w:rsidRDefault="006C0926">
      <w:pPr>
        <w:pStyle w:val="enf4"/>
      </w:pPr>
      <w:r>
        <w:t>(2) The Cybersecurity Strategy addresses the following:</w:t>
      </w:r>
    </w:p>
    <w:p w:rsidR="0037428A" w:rsidRDefault="006C0926">
      <w:pPr>
        <w:pStyle w:val="enf6"/>
      </w:pPr>
      <w:r>
        <w:t>(i) basic objectives of Cybersecurity policies;</w:t>
      </w:r>
    </w:p>
    <w:p w:rsidR="0037428A" w:rsidRDefault="006C0926">
      <w:pPr>
        <w:pStyle w:val="enf6"/>
      </w:pPr>
      <w:r>
        <w:t xml:space="preserve">(ii) matters regarding the ensuring of </w:t>
      </w:r>
      <w:r>
        <w:t>Cybersecurity within national administrative organs and other related organs;</w:t>
      </w:r>
    </w:p>
    <w:p w:rsidR="0037428A" w:rsidRDefault="006C0926">
      <w:pPr>
        <w:pStyle w:val="enf6"/>
      </w:pPr>
      <w:r>
        <w:t>(iii) matters regarding the promotion of the ensuring of Cybersecurity CII Operators, their professional associations, and local governments (hereinafter referred to as "CII Oper</w:t>
      </w:r>
      <w:r>
        <w:t>ators and Other Related Entities"); and</w:t>
      </w:r>
    </w:p>
    <w:p w:rsidR="0037428A" w:rsidRDefault="006C0926">
      <w:pPr>
        <w:pStyle w:val="enf6"/>
      </w:pPr>
      <w:r>
        <w:t>(iv) beyond the matters listed in the preceding three items, other matters required for the comprehensive and effective promotion of Cybersecurity policies.</w:t>
      </w:r>
    </w:p>
    <w:p w:rsidR="0037428A" w:rsidRDefault="006C0926">
      <w:pPr>
        <w:pStyle w:val="enf4"/>
      </w:pPr>
      <w:r>
        <w:t>(3) The Prime Minister must request a cabinet decision on t</w:t>
      </w:r>
      <w:r>
        <w:t>he proposed Cybersecurity Strategy.</w:t>
      </w:r>
    </w:p>
    <w:p w:rsidR="0037428A" w:rsidRDefault="006C0926">
      <w:pPr>
        <w:pStyle w:val="enf4"/>
      </w:pPr>
      <w:r>
        <w:t>(4) When establishing the Cybersecurity Strategy, the national government must report it to the Diet without delay and to announce it publicly through the use of the Internet and other appropriate means.</w:t>
      </w:r>
    </w:p>
    <w:p w:rsidR="0037428A" w:rsidRDefault="006C0926">
      <w:pPr>
        <w:pStyle w:val="enf4"/>
      </w:pPr>
      <w:r>
        <w:t>(5) The provisio</w:t>
      </w:r>
      <w:r>
        <w:t>ns prescribed under the preceding two paragraphs apply in the case of amendments to the Cybersecurity Strategy.</w:t>
      </w:r>
    </w:p>
    <w:p w:rsidR="0037428A" w:rsidRDefault="006C0926">
      <w:pPr>
        <w:pStyle w:val="enf4"/>
      </w:pPr>
      <w:r>
        <w:t>(6) With the aim of ensuring necessary funds regarding the expenses to enable the implementation of the Cybersecurity Strategy, the national gov</w:t>
      </w:r>
      <w:r>
        <w:t>ernment must make an effort to provide necessary measures for the smooth implementation of the Cybersecurity Strategy, such as appropriating the necessary funds in its budget every fiscal year, to the extent permitted within national fiscal limitations.</w:t>
      </w:r>
    </w:p>
    <w:p w:rsidR="0037428A" w:rsidRDefault="0037428A"/>
    <w:p w:rsidR="0037428A" w:rsidRDefault="006C0926">
      <w:pPr>
        <w:pStyle w:val="en3"/>
      </w:pPr>
      <w:r>
        <w:t>C</w:t>
      </w:r>
      <w:r>
        <w:t>hapter III Basic Policy</w:t>
      </w:r>
    </w:p>
    <w:p w:rsidR="0037428A" w:rsidRDefault="0037428A"/>
    <w:p w:rsidR="0037428A" w:rsidRDefault="006C0926">
      <w:pPr>
        <w:pStyle w:val="ena"/>
      </w:pPr>
      <w:r>
        <w:t>(Ensuring of Cybersecurity at National Administrative Organs and Related Organs)</w:t>
      </w:r>
    </w:p>
    <w:p w:rsidR="0037428A" w:rsidRDefault="006C0926">
      <w:pPr>
        <w:pStyle w:val="enf3"/>
      </w:pPr>
      <w:r>
        <w:t>Article 13  With regard to Cybersecurity at national administrative organs, Incorporated Administrative Agencies (referring to Incorporated Administra</w:t>
      </w:r>
      <w:r>
        <w:t>tive Agencies prescribed under Article 2, paragraph (1) of the Act on General Rules for Incorporated Administrative Agencies (Act No. 103 of 1999); hereinafter, the same is to apply), Quasi-governmental Agencies; (referring to a corporation directly incorp</w:t>
      </w:r>
      <w:r>
        <w:t>orated by acts or a corporation incorporated by a special act pursuant to a special incorporation procedure and subject to the provision of Article 4 (xv) of the Act for Establishment of the Ministry of Internal Affairs and Communications (Act No. 91 of 19</w:t>
      </w:r>
      <w:r>
        <w:t>99); hereinafter, the same is to apply), and so forth, the national government is to provide necessary measures including: the formulation of common standards of Cybersecurity measures for national administrative organs and Incorporated Administrative Agen</w:t>
      </w:r>
      <w:r>
        <w:t>cies; the collaborative use of interoperable information systems among national administrative organs; monitoring and analysis of malicious activities against information systems of national administrative organs through information and communications netw</w:t>
      </w:r>
      <w:r>
        <w:t xml:space="preserve">orks or Electronic or Magnetic Storage Media; Cybersecurity exercises and training at national administrative organs; responses to Cybersecurity threats in cooperation, communication and coordination with relevant domestic and foreign parties; the sharing </w:t>
      </w:r>
      <w:r>
        <w:t>of information regarding Cybersecurity among national administrative organs, Incorporated Administrative Agencies, Special Corporations, and so forth.</w:t>
      </w:r>
    </w:p>
    <w:p w:rsidR="0037428A" w:rsidRDefault="0037428A"/>
    <w:p w:rsidR="0037428A" w:rsidRDefault="006C0926">
      <w:pPr>
        <w:pStyle w:val="ena"/>
      </w:pPr>
      <w:r>
        <w:t>(Ensuring of Cybersecurity at CII Operators and Other Related Entities)</w:t>
      </w:r>
    </w:p>
    <w:p w:rsidR="0037428A" w:rsidRDefault="006C0926">
      <w:pPr>
        <w:pStyle w:val="enf3"/>
      </w:pPr>
      <w:r>
        <w:t xml:space="preserve">Article 14  With regard to </w:t>
      </w:r>
      <w:r>
        <w:t>Cybersecurity at CII Operators and Other Related Entities, the national government is to provide necessary measures, including the formulation of standards, exercises and training, the promotion of information sharing, and other voluntary activities.</w:t>
      </w:r>
    </w:p>
    <w:p w:rsidR="0037428A" w:rsidRDefault="0037428A"/>
    <w:p w:rsidR="0037428A" w:rsidRDefault="006C0926">
      <w:pPr>
        <w:pStyle w:val="ena"/>
      </w:pPr>
      <w:r>
        <w:t>(Fac</w:t>
      </w:r>
      <w:r>
        <w:t>ilitation of Voluntary Activities of Private Enterprises, Educational, Research, and Other Organizations)</w:t>
      </w:r>
    </w:p>
    <w:p w:rsidR="0037428A" w:rsidRDefault="006C0926">
      <w:pPr>
        <w:pStyle w:val="enf3"/>
      </w:pPr>
      <w:r>
        <w:t>Article 15  (1) Given the fact that information on intellectual property owned by private enterprises such as small and medium-sized enterprises, educ</w:t>
      </w:r>
      <w:r>
        <w:t>ational and research organizations such as universities are critical for the enhancement of Japan's international competitiveness, and in order to promote their voluntary activities for Cybersecurity, the national government is to provide necessary measure</w:t>
      </w:r>
      <w:r>
        <w:t>s, including increasing awareness and understanding about the critical value of Cybersecurity, offering consultation on Cybersecurity, and providing necessary information and advice.</w:t>
      </w:r>
    </w:p>
    <w:p w:rsidR="0037428A" w:rsidRDefault="006C0926">
      <w:pPr>
        <w:pStyle w:val="enf4"/>
      </w:pPr>
      <w:r>
        <w:t>(2) Given the fact that it is important for each member of public to make</w:t>
      </w:r>
      <w:r>
        <w:t xml:space="preserve"> an effort to voluntarily ensure Cybersecurity, the national government is to provide necessary measures, including offering consultation on Cybersecurity and providing necessary information and advice on actions such as, appropriate choices about products</w:t>
      </w:r>
      <w:r>
        <w:t xml:space="preserve"> and services in the daily use of electronic computers or the Internet and other advanced information and telecommunications networks.</w:t>
      </w:r>
    </w:p>
    <w:p w:rsidR="0037428A" w:rsidRDefault="0037428A"/>
    <w:p w:rsidR="0037428A" w:rsidRDefault="006C0926">
      <w:pPr>
        <w:pStyle w:val="ena"/>
      </w:pPr>
      <w:r>
        <w:t>(Coordination with Multiple Stakeholders)</w:t>
      </w:r>
    </w:p>
    <w:p w:rsidR="0037428A" w:rsidRDefault="006C0926">
      <w:pPr>
        <w:pStyle w:val="enf3"/>
      </w:pPr>
      <w:r>
        <w:t>Article 16  The national government is to aim at the enhancement of coordinati</w:t>
      </w:r>
      <w:r>
        <w:t>on among relevant ministries and is to provide necessary measures to enable multiple stakeholders, such as the national government, local governments, CII Operators, and Cyberspace-related Business Entities, to work on Cybersecurity policies in mutual coor</w:t>
      </w:r>
      <w:r>
        <w:t>dination.</w:t>
      </w:r>
    </w:p>
    <w:p w:rsidR="0037428A" w:rsidRDefault="0037428A"/>
    <w:p w:rsidR="0037428A" w:rsidRDefault="006C0926">
      <w:pPr>
        <w:pStyle w:val="ena"/>
      </w:pPr>
      <w:r>
        <w:t>(Crackdown on Cybercrime and Prevention of Damage)</w:t>
      </w:r>
    </w:p>
    <w:p w:rsidR="0037428A" w:rsidRDefault="006C0926">
      <w:pPr>
        <w:pStyle w:val="enf3"/>
      </w:pPr>
      <w:r>
        <w:t>Article 17  The national government is to provide necessary measures to crackdown on cybercrime and prevent the spread of damage.</w:t>
      </w:r>
    </w:p>
    <w:p w:rsidR="0037428A" w:rsidRDefault="0037428A"/>
    <w:p w:rsidR="0037428A" w:rsidRDefault="006C0926">
      <w:pPr>
        <w:pStyle w:val="ena"/>
      </w:pPr>
      <w:r>
        <w:t>(Action for Matters Which May Critically Affect the Country's S</w:t>
      </w:r>
      <w:r>
        <w:t>afety)</w:t>
      </w:r>
    </w:p>
    <w:p w:rsidR="0037428A" w:rsidRDefault="006C0926">
      <w:pPr>
        <w:pStyle w:val="enf3"/>
      </w:pPr>
      <w:r>
        <w:t xml:space="preserve">Article 18  The national government is to provide necessary measures with the intention to: improve and strengthen systems to respond to Cybersecurity concerns at relevant bodies; strengthen the mutual coordination among relevant bodies; and </w:t>
      </w:r>
      <w:r>
        <w:t>clarify the division of roles among relevant bodies, as actions to address threats which may critically affect the country's safety with respect to Cybersecurity-related incidents.</w:t>
      </w:r>
    </w:p>
    <w:p w:rsidR="0037428A" w:rsidRDefault="0037428A"/>
    <w:p w:rsidR="0037428A" w:rsidRDefault="006C0926">
      <w:pPr>
        <w:pStyle w:val="ena"/>
      </w:pPr>
      <w:r>
        <w:t>(Enhancement of Industrial Development and International Competitiveness)</w:t>
      </w:r>
    </w:p>
    <w:p w:rsidR="0037428A" w:rsidRDefault="006C0926">
      <w:pPr>
        <w:pStyle w:val="enf3"/>
      </w:pPr>
      <w:r>
        <w:t>Article 19  Given that it is critical for Japan to have self-reliant capabilities to ensure Cybersecurity, and in order to create new business opportunities, develop sound businesses ', and improve international competitiveness, and so as to make the Cyber</w:t>
      </w:r>
      <w:r>
        <w:t>security sector a "growth industry" which is able to create employment opportunities, the national government is to provide necessary measures related to Cybersecurity, including the promotion of advanced research and development, technological advancement</w:t>
      </w:r>
      <w:r>
        <w:t>s, the development and recruitment of human resources, the strengthening of the market environment and the development of new businesses through the improvement of competitive conditions, and the internationalization of technological safety and reliability</w:t>
      </w:r>
      <w:r>
        <w:t xml:space="preserve"> standards and the participation in such frameworks on the basis of mutual recognition.</w:t>
      </w:r>
    </w:p>
    <w:p w:rsidR="0037428A" w:rsidRDefault="0037428A"/>
    <w:p w:rsidR="0037428A" w:rsidRDefault="006C0926">
      <w:pPr>
        <w:pStyle w:val="ena"/>
      </w:pPr>
      <w:r>
        <w:t>(Promotion of Research and Development)</w:t>
      </w:r>
    </w:p>
    <w:p w:rsidR="0037428A" w:rsidRDefault="006C0926">
      <w:pPr>
        <w:pStyle w:val="enf3"/>
      </w:pPr>
      <w:r>
        <w:t xml:space="preserve">Article 20  Given that it is critical for Japan to maintain self-reliant technological Cybersecurity capabilities, in order to </w:t>
      </w:r>
      <w:r>
        <w:t xml:space="preserve">promote research and development for Cybersecurity as well as the technological and other relevant demonstrations of Cybersecurity, and to expand the distribution of relevant Cybersecurity outcomes, the national government is to provide necessary measures </w:t>
      </w:r>
      <w:r>
        <w:t xml:space="preserve">related to Cybersecurity for: the improvement of the environment of Cybersecurity research; the promotion of basic research on technological safety and reliability as well as the promotion of research and development for core technologies; the development </w:t>
      </w:r>
      <w:r>
        <w:t>of skilled researchers and engineers; the strengthening of coordination among national research institutes, universities, the private sector, and other relevant parties; and international coordination for research and development.</w:t>
      </w:r>
    </w:p>
    <w:p w:rsidR="0037428A" w:rsidRDefault="0037428A"/>
    <w:p w:rsidR="0037428A" w:rsidRDefault="006C0926">
      <w:pPr>
        <w:pStyle w:val="ena"/>
      </w:pPr>
      <w:r>
        <w:t>(Development of Human Re</w:t>
      </w:r>
      <w:r>
        <w:t>sources)</w:t>
      </w:r>
    </w:p>
    <w:p w:rsidR="0037428A" w:rsidRDefault="006C0926">
      <w:pPr>
        <w:pStyle w:val="enf3"/>
      </w:pPr>
      <w:r>
        <w:t>Article 21  (1) In close coordination and cooperation with universities, colleges of technology, technical schools, private enterprises, and other relevant entities, the national government is to provide necessary measures to ensure appropriate as</w:t>
      </w:r>
      <w:r>
        <w:t>signments and employment conditions or treatment of the workforce in the field of Cybersecurity, thereby enabling their functions and work environments to become attractive enough to meet their professional values.</w:t>
      </w:r>
    </w:p>
    <w:p w:rsidR="0037428A" w:rsidRDefault="006C0926">
      <w:pPr>
        <w:pStyle w:val="enf4"/>
      </w:pPr>
      <w:r>
        <w:t>(2) In close coordination and cooperation</w:t>
      </w:r>
      <w:r>
        <w:t xml:space="preserve"> with universities, technical schools, specialized training colleges, private enterprises, and other relevant entities, for the purposes of recruitment, development, and quality improvement of Cybersecurity-related human resources, the national government </w:t>
      </w:r>
      <w:r>
        <w:t>is to provide necessary measures, including the utilization of a qualification scheme and training of young technical experts.</w:t>
      </w:r>
    </w:p>
    <w:p w:rsidR="0037428A" w:rsidRDefault="0037428A"/>
    <w:p w:rsidR="0037428A" w:rsidRDefault="006C0926">
      <w:pPr>
        <w:pStyle w:val="ena"/>
      </w:pPr>
      <w:r>
        <w:t>(Promotion of Education and Learning, Public Awareness Raising)</w:t>
      </w:r>
    </w:p>
    <w:p w:rsidR="0037428A" w:rsidRDefault="006C0926">
      <w:pPr>
        <w:pStyle w:val="enf3"/>
      </w:pPr>
      <w:r>
        <w:t>Article 22  (1) For the purpose of extensive public awareness ra</w:t>
      </w:r>
      <w:r>
        <w:t>ising and understanding about Cybersecurity among the people, the national government is to provide necessary measures including the promotion of education and learning, public awareness activities, and the dissemination of knowledge in the field of Cybers</w:t>
      </w:r>
      <w:r>
        <w:t>ecurity.</w:t>
      </w:r>
    </w:p>
    <w:p w:rsidR="0037428A" w:rsidRDefault="006C0926">
      <w:pPr>
        <w:pStyle w:val="enf4"/>
      </w:pPr>
      <w:r>
        <w:t>(2) In order to promote the measures prescribed under the preceding paragraph, the national government is to provide necessary measures, including the implementation of events for public awareness and the dissemination of information on Cybersecur</w:t>
      </w:r>
      <w:r>
        <w:t>ity and the designation of a specific, focused campaign period to effectively promote Cybersecurity activities.</w:t>
      </w:r>
    </w:p>
    <w:p w:rsidR="0037428A" w:rsidRDefault="0037428A"/>
    <w:p w:rsidR="0037428A" w:rsidRDefault="006C0926">
      <w:pPr>
        <w:pStyle w:val="ena"/>
      </w:pPr>
      <w:r>
        <w:t>(Promotion of International Cooperation)</w:t>
      </w:r>
    </w:p>
    <w:p w:rsidR="0037428A" w:rsidRDefault="006C0926">
      <w:pPr>
        <w:pStyle w:val="enf3"/>
      </w:pPr>
      <w:r>
        <w:t>Article 23  In the field of Cybersecurity, to actively carry out Japan's role in the international com</w:t>
      </w:r>
      <w:r>
        <w:t>munity and to promote Japan's interests in the community, the national government is to promote: active participation in an international norm setting; confidence building and the promotion of information sharing with foreign countries; international techn</w:t>
      </w:r>
      <w:r>
        <w:t>ical cooperation such as active support for Cybersecurity capacity building in developing countries; international cooperation such as crackdowns on cybercrime; and is to provide necessary measures to deepen other countries' understanding of Japan's Cybers</w:t>
      </w:r>
      <w:r>
        <w:t>ecurity.</w:t>
      </w:r>
    </w:p>
    <w:p w:rsidR="0037428A" w:rsidRDefault="0037428A"/>
    <w:p w:rsidR="0037428A" w:rsidRDefault="006C0926">
      <w:pPr>
        <w:pStyle w:val="en3"/>
      </w:pPr>
      <w:r>
        <w:t>Chapter IV Cybersecurity Strategic Headquarters</w:t>
      </w:r>
    </w:p>
    <w:p w:rsidR="0037428A" w:rsidRDefault="0037428A"/>
    <w:p w:rsidR="0037428A" w:rsidRDefault="006C0926">
      <w:pPr>
        <w:pStyle w:val="ena"/>
      </w:pPr>
      <w:r>
        <w:t>(Establishment)</w:t>
      </w:r>
    </w:p>
    <w:p w:rsidR="0037428A" w:rsidRDefault="006C0926">
      <w:pPr>
        <w:pStyle w:val="enf3"/>
      </w:pPr>
      <w:r>
        <w:t>Article 24  For the purpose of effectively and comprehensively promoting Cybersecurity policies, the Cybersecurity Strategic Headquarters (hereinafter referred to as the "Headquarte</w:t>
      </w:r>
      <w:r>
        <w:t>rs") are to be established under the Cabinet.</w:t>
      </w:r>
    </w:p>
    <w:p w:rsidR="0037428A" w:rsidRDefault="0037428A"/>
    <w:p w:rsidR="0037428A" w:rsidRDefault="006C0926">
      <w:pPr>
        <w:pStyle w:val="ena"/>
      </w:pPr>
      <w:r>
        <w:t>(Functions under Jurisdiction of the Headquarters)</w:t>
      </w:r>
    </w:p>
    <w:p w:rsidR="0037428A" w:rsidRDefault="006C0926">
      <w:pPr>
        <w:pStyle w:val="enf3"/>
      </w:pPr>
      <w:r>
        <w:t>Article 25  (1) The Headquarters will carry out the following functions:</w:t>
      </w:r>
    </w:p>
    <w:p w:rsidR="0037428A" w:rsidRDefault="006C0926">
      <w:pPr>
        <w:pStyle w:val="enf6"/>
      </w:pPr>
      <w:r>
        <w:t>(i) Preparing the Cybersecurity Strategy and promoting its implementation.</w:t>
      </w:r>
    </w:p>
    <w:p w:rsidR="0037428A" w:rsidRDefault="006C0926">
      <w:pPr>
        <w:pStyle w:val="enf6"/>
      </w:pPr>
      <w:r>
        <w:t>(ii) Estab</w:t>
      </w:r>
      <w:r>
        <w:t>lishing the standards of Cybersecurity measures for national administrative organs and Incorporated Administrative Agencies, and promoting the implementation of the evaluation (including audit) of measures based on the standards and other measures taken pu</w:t>
      </w:r>
      <w:r>
        <w:t>rsuant to the standards.</w:t>
      </w:r>
    </w:p>
    <w:p w:rsidR="0037428A" w:rsidRDefault="006C0926">
      <w:pPr>
        <w:pStyle w:val="enf6"/>
      </w:pPr>
      <w:r>
        <w:t>(iii) Evaluating the countermeasures against critical Cybersecurity-related incidents involving national administrative organs (including fact-finding activities to determine the cause or causes of the incident).</w:t>
      </w:r>
    </w:p>
    <w:p w:rsidR="0037428A" w:rsidRDefault="006C0926">
      <w:pPr>
        <w:pStyle w:val="enf6"/>
      </w:pPr>
      <w:r>
        <w:t xml:space="preserve">(iv) beyond the </w:t>
      </w:r>
      <w:r>
        <w:t>functions listed in the preceding three items, with respect to major Cybersecurity policies: engaging in research and deliberation on program proposals; establishing cross-governmental plans, budget plans and guidelines of relevant administrative organs, t</w:t>
      </w:r>
      <w:r>
        <w:t>he basic principles of program implementation as well as promoting the implementation of policy evaluation and other relevant policies; and carrying out overall coordination.</w:t>
      </w:r>
    </w:p>
    <w:p w:rsidR="0037428A" w:rsidRDefault="006C0926">
      <w:pPr>
        <w:pStyle w:val="enf4"/>
      </w:pPr>
      <w:r>
        <w:t>(2) In preparing the draft of the Cybersecurity Strategy, the Headquarters must b</w:t>
      </w:r>
      <w:r>
        <w:t>e required to hear the opinions of the Strategic Headquarters for the Promotion of an Advanced Information Telecommunications Network Society, and the National Security Council in advance.</w:t>
      </w:r>
    </w:p>
    <w:p w:rsidR="0037428A" w:rsidRDefault="006C0926">
      <w:pPr>
        <w:pStyle w:val="enf4"/>
      </w:pPr>
      <w:r>
        <w:t>(3) The Headquarters are to work in close coordination with the Str</w:t>
      </w:r>
      <w:r>
        <w:t>ategic Headquarters for the Promotion of an Advanced Information Telecommunications Network Society with regard to critical issues concerning Cybersecurity.</w:t>
      </w:r>
    </w:p>
    <w:p w:rsidR="0037428A" w:rsidRDefault="006C0926">
      <w:pPr>
        <w:pStyle w:val="enf4"/>
      </w:pPr>
      <w:r>
        <w:t>(4) The Headquarters are to work in close coordination with the National Security Council with rega</w:t>
      </w:r>
      <w:r>
        <w:t>rd to critical issues concerning Cybersecurity in the context of national security.</w:t>
      </w:r>
    </w:p>
    <w:p w:rsidR="0037428A" w:rsidRDefault="0037428A"/>
    <w:p w:rsidR="0037428A" w:rsidRDefault="006C0926">
      <w:pPr>
        <w:pStyle w:val="ena"/>
      </w:pPr>
      <w:r>
        <w:t>(Organization)</w:t>
      </w:r>
    </w:p>
    <w:p w:rsidR="0037428A" w:rsidRDefault="006C0926">
      <w:pPr>
        <w:pStyle w:val="enf3"/>
      </w:pPr>
      <w:r>
        <w:t>Article 26  The Headquarters are to consist of the Chief of Cybersecurity Strategy, the Deputy Chief of Cybersecurity Strategy, and the members of the Headq</w:t>
      </w:r>
      <w:r>
        <w:t>uarters of Cybersecurity Strategy.</w:t>
      </w:r>
    </w:p>
    <w:p w:rsidR="0037428A" w:rsidRDefault="0037428A"/>
    <w:p w:rsidR="0037428A" w:rsidRDefault="006C0926">
      <w:pPr>
        <w:pStyle w:val="ena"/>
      </w:pPr>
      <w:r>
        <w:t>(The Chief of the Cybersecurity Strategic Headquarters)</w:t>
      </w:r>
    </w:p>
    <w:p w:rsidR="0037428A" w:rsidRDefault="006C0926">
      <w:pPr>
        <w:pStyle w:val="enf3"/>
      </w:pPr>
      <w:r>
        <w:t>Article 27  (1) The Chief Cabinet Secretary is to serve as the Chief of the Headquarters (hereinafter referred to as the "Chief")</w:t>
      </w:r>
    </w:p>
    <w:p w:rsidR="0037428A" w:rsidRDefault="006C0926">
      <w:pPr>
        <w:pStyle w:val="enf4"/>
      </w:pPr>
      <w:r>
        <w:t xml:space="preserve">(2) The Chief is to engage in the </w:t>
      </w:r>
      <w:r>
        <w:t>overall management of the Headquarters' functions and the oversight of personnel at the Headquarters.</w:t>
      </w:r>
    </w:p>
    <w:p w:rsidR="0037428A" w:rsidRDefault="006C0926">
      <w:pPr>
        <w:pStyle w:val="enf4"/>
      </w:pPr>
      <w:r>
        <w:t>(3) The Chief, where necessary, can make recommendations to the heads of relevant administrative organs, based on the evaluations prescribed under Article</w:t>
      </w:r>
      <w:r>
        <w:t xml:space="preserve"> 25, paragraph (1), item (ii) to (iv), or the documents, information or other materials provided pursuant to the provisions under Articles 30 or 31.</w:t>
      </w:r>
    </w:p>
    <w:p w:rsidR="0037428A" w:rsidRDefault="006C0926">
      <w:pPr>
        <w:pStyle w:val="enf4"/>
      </w:pPr>
      <w:r>
        <w:t>(4) After making the recommendations as prescribed under the preceding paragraph, the Chief may request a r</w:t>
      </w:r>
      <w:r>
        <w:t>eport from the heads of the relevant administrative organs regarding the measures taken based on the recommendations.</w:t>
      </w:r>
    </w:p>
    <w:p w:rsidR="0037428A" w:rsidRDefault="006C0926">
      <w:pPr>
        <w:pStyle w:val="enf4"/>
      </w:pPr>
      <w:r>
        <w:t xml:space="preserve">(5) The Chief may, where particularly necessary in relation to the recommendations made in accordance with paragraph (3) of this article, </w:t>
      </w:r>
      <w:r>
        <w:t>present opinions for the Prime Minister to take an action for the matter, as prescribed under Article 6 of the Cabinet Law (Act No. 5 of 1947).</w:t>
      </w:r>
    </w:p>
    <w:p w:rsidR="0037428A" w:rsidRDefault="0037428A"/>
    <w:p w:rsidR="0037428A" w:rsidRDefault="006C0926">
      <w:pPr>
        <w:pStyle w:val="ena"/>
      </w:pPr>
      <w:r>
        <w:t>(The Deputy Chief of the Cybersecurity Strategic Headquarters)</w:t>
      </w:r>
    </w:p>
    <w:p w:rsidR="0037428A" w:rsidRDefault="006C0926">
      <w:pPr>
        <w:pStyle w:val="enf3"/>
      </w:pPr>
      <w:r>
        <w:t>Article 28  (1) A Minister of State is to be des</w:t>
      </w:r>
      <w:r>
        <w:t>ignated as the Deputy Chief of the Cybersecurity Strategic Headquarters (hereinafter referred to as the "Deputy Chief")</w:t>
      </w:r>
    </w:p>
    <w:p w:rsidR="0037428A" w:rsidRDefault="006C0926">
      <w:pPr>
        <w:pStyle w:val="enf4"/>
      </w:pPr>
      <w:r>
        <w:t>(2) The Deputy Chief is to assist the Chief's missions.</w:t>
      </w:r>
    </w:p>
    <w:p w:rsidR="0037428A" w:rsidRDefault="0037428A"/>
    <w:p w:rsidR="0037428A" w:rsidRDefault="006C0926">
      <w:pPr>
        <w:pStyle w:val="ena"/>
      </w:pPr>
      <w:r>
        <w:t>(Members of the Cybersecurity Strategic Headquarters)</w:t>
      </w:r>
    </w:p>
    <w:p w:rsidR="0037428A" w:rsidRDefault="006C0926">
      <w:pPr>
        <w:pStyle w:val="enf3"/>
      </w:pPr>
      <w:r>
        <w:t>Article 29  (1) The Headq</w:t>
      </w:r>
      <w:r>
        <w:t>uarters are to establish the members of the Cybersecurity Strategic Headquarters (referred to in the succeeding paragraph as the "members").</w:t>
      </w:r>
    </w:p>
    <w:p w:rsidR="0037428A" w:rsidRDefault="006C0926">
      <w:pPr>
        <w:pStyle w:val="enf4"/>
      </w:pPr>
      <w:r>
        <w:t>(2) Those listed below are to be designated as the members (except in a case where someone listed in item (i) to (v</w:t>
      </w:r>
      <w:r>
        <w:t>) is designated as the Deputy Chief).</w:t>
      </w:r>
    </w:p>
    <w:p w:rsidR="0037428A" w:rsidRDefault="006C0926">
      <w:pPr>
        <w:pStyle w:val="enf6"/>
      </w:pPr>
      <w:r>
        <w:t>(i) The Chairperson of the National Public Safety Commission;</w:t>
      </w:r>
    </w:p>
    <w:p w:rsidR="0037428A" w:rsidRDefault="006C0926">
      <w:pPr>
        <w:pStyle w:val="enf6"/>
      </w:pPr>
      <w:r>
        <w:t>(ii) The Minister for Internal Affairs and Communications;</w:t>
      </w:r>
    </w:p>
    <w:p w:rsidR="0037428A" w:rsidRDefault="006C0926">
      <w:pPr>
        <w:pStyle w:val="enf6"/>
      </w:pPr>
      <w:r>
        <w:t>(iii) The Minister for Foreign Affairs;</w:t>
      </w:r>
    </w:p>
    <w:p w:rsidR="0037428A" w:rsidRDefault="006C0926">
      <w:pPr>
        <w:pStyle w:val="enf6"/>
      </w:pPr>
      <w:r>
        <w:t xml:space="preserve">(iv) The Minister of Economy, Trade and </w:t>
      </w:r>
      <w:r>
        <w:t>Industry;</w:t>
      </w:r>
    </w:p>
    <w:p w:rsidR="0037428A" w:rsidRDefault="006C0926">
      <w:pPr>
        <w:pStyle w:val="enf6"/>
      </w:pPr>
      <w:r>
        <w:t>(v) The Minister of Defense;</w:t>
      </w:r>
    </w:p>
    <w:p w:rsidR="0037428A" w:rsidRDefault="006C0926">
      <w:pPr>
        <w:pStyle w:val="enf6"/>
      </w:pPr>
      <w:r>
        <w:t>(vi) Beyond those listed above, any Minister of State, except the Chief and the Deputy Chief, who is designated by the Prime Minister as indispensable for the functions of the Headquarters; and</w:t>
      </w:r>
    </w:p>
    <w:p w:rsidR="0037428A" w:rsidRDefault="006C0926">
      <w:pPr>
        <w:pStyle w:val="enf6"/>
      </w:pPr>
      <w:r>
        <w:t xml:space="preserve">(vii) Among </w:t>
      </w:r>
      <w:r>
        <w:t>experts with exceptional knowledge and experiences on Cybersecurity, those designated by the Prime Minister.</w:t>
      </w:r>
    </w:p>
    <w:p w:rsidR="0037428A" w:rsidRDefault="0037428A"/>
    <w:p w:rsidR="0037428A" w:rsidRDefault="006C0926">
      <w:pPr>
        <w:pStyle w:val="ena"/>
      </w:pPr>
      <w:r>
        <w:t>(Submission of Materials)</w:t>
      </w:r>
    </w:p>
    <w:p w:rsidR="0037428A" w:rsidRDefault="006C0926">
      <w:pPr>
        <w:pStyle w:val="enf3"/>
      </w:pPr>
      <w:r>
        <w:t xml:space="preserve">Article 30  (1) As set by the Headquarters, the heads of the relevant administrative organs must have a duty to furnish </w:t>
      </w:r>
      <w:r>
        <w:t>the Headquarters timely with materials or information regarding Cybersecurity that are beneficial in fulfilling its functions.</w:t>
      </w:r>
    </w:p>
    <w:p w:rsidR="0037428A" w:rsidRDefault="006C0926">
      <w:pPr>
        <w:pStyle w:val="enf4"/>
      </w:pPr>
      <w:r>
        <w:t>(2) Beyond the provision under the preceding paragraph, when requested by the Chief, the heads of the relevant administrative org</w:t>
      </w:r>
      <w:r>
        <w:t>ans have a duty to cooperate with the Headquarters for the fulfillment of its functions, by providing materials or information regarding Cybersecurity, explanation and other necessary cooperation.</w:t>
      </w:r>
    </w:p>
    <w:p w:rsidR="0037428A" w:rsidRDefault="0037428A"/>
    <w:p w:rsidR="0037428A" w:rsidRDefault="006C0926">
      <w:pPr>
        <w:pStyle w:val="ena"/>
      </w:pPr>
      <w:r>
        <w:t>(Submission of Materials and Other Cooperation)</w:t>
      </w:r>
    </w:p>
    <w:p w:rsidR="0037428A" w:rsidRDefault="006C0926">
      <w:pPr>
        <w:pStyle w:val="enf3"/>
      </w:pPr>
      <w:r>
        <w:t>Article 31</w:t>
      </w:r>
      <w:r>
        <w:t xml:space="preserve">  (1) The Headquarters may, where necessary for the fulfillment of its functions, request the submission of materials, the presentation of opinion, explanation and any other necessary cooperation from: the heads of local governments and Incorporated Admini</w:t>
      </w:r>
      <w:r>
        <w:t>strative Agencies; the deans of national university corporations (referring to national university corporations prescribed under Article 2, paragraph (1) of the National University Corporation Act (Act No.112 of 2003)); the heads of inter-university resear</w:t>
      </w:r>
      <w:r>
        <w:t>ch institute corporations (referring to inter-university research institute corporations prescribed under Article 2, paragraph (3) of the Act); the President of the Japan Legal Support Center (referring to the Japan Legal Support Center prescribed under Ar</w:t>
      </w:r>
      <w:r>
        <w:t xml:space="preserve">ticle 13 of the Comprehensive Legal Support Act (Act No. 74 of 2004)); the representatives of Special Corporations and authorized corporations (referring to juridical persons incorporated by a special act and where the approval of a governmental entity is </w:t>
      </w:r>
      <w:r>
        <w:t>required for their incorporation and associated matters) designated by the Headquarters; and the representative of the relevant entity facilitating Cybersecurity-related communication and coordination with domestic and foreign parties concerned.</w:t>
      </w:r>
    </w:p>
    <w:p w:rsidR="0037428A" w:rsidRDefault="006C0926">
      <w:pPr>
        <w:pStyle w:val="enf4"/>
      </w:pPr>
      <w:r>
        <w:t>(2) In add</w:t>
      </w:r>
      <w:r>
        <w:t>ition, the Headquarters may, where particularly necessary for the fulfillment of its functions, request necessary cooperation from a party other than the parties prescribed in the preceding paragraph.</w:t>
      </w:r>
    </w:p>
    <w:p w:rsidR="0037428A" w:rsidRDefault="0037428A"/>
    <w:p w:rsidR="0037428A" w:rsidRDefault="006C0926">
      <w:pPr>
        <w:pStyle w:val="ena"/>
      </w:pPr>
      <w:r>
        <w:t>(Cooperation for Local Governments)</w:t>
      </w:r>
    </w:p>
    <w:p w:rsidR="0037428A" w:rsidRDefault="006C0926">
      <w:pPr>
        <w:pStyle w:val="enf3"/>
      </w:pPr>
      <w:r>
        <w:t>Article 32  (1) Lo</w:t>
      </w:r>
      <w:r>
        <w:t>cal governments may, request the provision of information and other cooperation from the Headquarters where necessary, for the establishment and implementation of the policies prescribed under Article 5.</w:t>
      </w:r>
    </w:p>
    <w:p w:rsidR="0037428A" w:rsidRDefault="006C0926">
      <w:pPr>
        <w:pStyle w:val="enf4"/>
      </w:pPr>
      <w:r>
        <w:t>(2) When cooperation is requested pursuant to the pr</w:t>
      </w:r>
      <w:r>
        <w:t>eceding paragraph, the Headquarters are to make an effort to meet the request.</w:t>
      </w:r>
    </w:p>
    <w:p w:rsidR="0037428A" w:rsidRDefault="0037428A"/>
    <w:p w:rsidR="0037428A" w:rsidRDefault="006C0926">
      <w:pPr>
        <w:pStyle w:val="ena"/>
      </w:pPr>
      <w:r>
        <w:t>(Functions)</w:t>
      </w:r>
    </w:p>
    <w:p w:rsidR="0037428A" w:rsidRDefault="006C0926">
      <w:pPr>
        <w:pStyle w:val="enf3"/>
      </w:pPr>
      <w:r>
        <w:t>Article 33  The functions of the Headquarters are to be performed by the Cabinet Secretariat and managed by a designated Assistant Chief Cabinet Secretary.</w:t>
      </w:r>
    </w:p>
    <w:p w:rsidR="0037428A" w:rsidRDefault="0037428A"/>
    <w:p w:rsidR="0037428A" w:rsidRDefault="006C0926">
      <w:pPr>
        <w:pStyle w:val="ena"/>
      </w:pPr>
      <w:r>
        <w:t xml:space="preserve">(Chief </w:t>
      </w:r>
      <w:r>
        <w:t>Minister)</w:t>
      </w:r>
    </w:p>
    <w:p w:rsidR="0037428A" w:rsidRDefault="006C0926">
      <w:pPr>
        <w:pStyle w:val="enf3"/>
      </w:pPr>
      <w:r>
        <w:t>Article 34  For matters pertaining to the Headquarters, the Prime Minister is to be the chief minister as prescribed in the Cabinet Act.</w:t>
      </w:r>
    </w:p>
    <w:p w:rsidR="0037428A" w:rsidRDefault="0037428A"/>
    <w:p w:rsidR="0037428A" w:rsidRDefault="006C0926">
      <w:pPr>
        <w:pStyle w:val="ena"/>
      </w:pPr>
      <w:r>
        <w:t>(Delegation to Cabinet Orders)</w:t>
      </w:r>
    </w:p>
    <w:p w:rsidR="0037428A" w:rsidRDefault="006C0926">
      <w:pPr>
        <w:pStyle w:val="enf3"/>
      </w:pPr>
      <w:r>
        <w:t>Article 35  Beyond the provisions of this Act, necessary matters pertaining t</w:t>
      </w:r>
      <w:r>
        <w:t>o the Headquarters are to be prescribed by Cabinet Order.</w:t>
      </w:r>
    </w:p>
    <w:p w:rsidR="0037428A" w:rsidRDefault="0037428A"/>
    <w:p w:rsidR="0037428A" w:rsidRDefault="006C0926">
      <w:pPr>
        <w:pStyle w:val="en2"/>
      </w:pPr>
      <w:r>
        <w:t>Supplementary Provisions</w:t>
      </w:r>
    </w:p>
    <w:p w:rsidR="0037428A" w:rsidRDefault="0037428A"/>
    <w:p w:rsidR="0037428A" w:rsidRDefault="006C0926">
      <w:pPr>
        <w:pStyle w:val="ena"/>
      </w:pPr>
      <w:r>
        <w:t>(Effective Date)</w:t>
      </w:r>
    </w:p>
    <w:p w:rsidR="0037428A" w:rsidRDefault="006C0926">
      <w:pPr>
        <w:pStyle w:val="enf3"/>
      </w:pPr>
      <w:r>
        <w:t>Article 1  This Act comes into effect as from the date of promulgation. However, the provisions of Chapters II and IV as well as Article 4 of the Suppleme</w:t>
      </w:r>
      <w:r>
        <w:t>ntary Provisions comes into effect from a day specified by Cabinet Order within a period not exceeding one year from the date of promulgation.</w:t>
      </w:r>
    </w:p>
    <w:p w:rsidR="0037428A" w:rsidRDefault="0037428A"/>
    <w:p w:rsidR="0037428A" w:rsidRDefault="006C0926">
      <w:pPr>
        <w:pStyle w:val="ena"/>
      </w:pPr>
      <w:r>
        <w:t xml:space="preserve">(Updating of the Legal System Necessary to Enable the Cabinet Secretariat to Appropriately Perform the </w:t>
      </w:r>
      <w:r>
        <w:t>Headquarters-Related Functions)</w:t>
      </w:r>
    </w:p>
    <w:p w:rsidR="0037428A" w:rsidRDefault="006C0926">
      <w:pPr>
        <w:pStyle w:val="enf3"/>
      </w:pPr>
      <w:r>
        <w:t>Article 2  (1) The national government is to take necessary measures, such as making updates to the legal system (including the legislation of the National Information Security Center, which is part of the Cabinet Secretaria</w:t>
      </w:r>
      <w:r>
        <w:t>t, as determined by the Prime Minister) in order to enable the Cabinet Secretariat to appropriately fulfill Headquarters-related functions.</w:t>
      </w:r>
    </w:p>
    <w:p w:rsidR="0037428A" w:rsidRDefault="006C0926">
      <w:pPr>
        <w:pStyle w:val="enf4"/>
      </w:pPr>
      <w:r>
        <w:t>(2) In taking the measures prescribed under the preceding paragraph, the national government is to examine legislati</w:t>
      </w:r>
      <w:r>
        <w:t>ve and financial measures necessary for: the fixed-term appointments of specialists as staff members or researchers in the Cabinet Secretariat; the monitoring and analysis of malicious activities against the information systems of national governmental org</w:t>
      </w:r>
      <w:r>
        <w:t>ans through information and telecommunications networks or Electronic or-Magnetic Storage media; and the development of equipment and personnel systems required for Communication and coordination with relevant domestic and foreign organizations on Cybersec</w:t>
      </w:r>
      <w:r>
        <w:t>urity issues, and so forth, and is to take necessary measures based on the result of these examinations.</w:t>
      </w:r>
    </w:p>
    <w:p w:rsidR="0037428A" w:rsidRDefault="0037428A"/>
    <w:p w:rsidR="0037428A" w:rsidRDefault="006C0926">
      <w:pPr>
        <w:pStyle w:val="ena"/>
      </w:pPr>
      <w:r>
        <w:t>(Examination)</w:t>
      </w:r>
    </w:p>
    <w:p w:rsidR="0037428A" w:rsidRDefault="006C0926">
      <w:pPr>
        <w:pStyle w:val="enf3"/>
      </w:pPr>
      <w:r>
        <w:t>Article 3  Regarding Cybersecurity incidents equating to emergencies prescribed under Article 24, paragraph 1 of the Act on the Peace an</w:t>
      </w:r>
      <w:r>
        <w:t xml:space="preserve">d Independence of Japan and Ensuring of Security of the Nation and the People in Armed Attack Situations etc. (Law No.79 of 2003), and other malicious activities against electronic computers through information and communications networks or Electronic or </w:t>
      </w:r>
      <w:r>
        <w:t>Magnetic Storage Media, the national government is to examine, from a broad point of view, measures aimed at further strengthening the capability of the defense of infrastructure, which is the foundation of citizens the peoples' living conditions and econo</w:t>
      </w:r>
      <w:r>
        <w:t>mic activities and the functional failure or deterioration of which would risk enormous impacts to them.</w:t>
      </w:r>
    </w:p>
    <w:p w:rsidR="0037428A" w:rsidRDefault="0037428A"/>
    <w:p w:rsidR="0037428A" w:rsidRDefault="006C0926">
      <w:pPr>
        <w:pStyle w:val="ena"/>
      </w:pPr>
      <w:r>
        <w:t>(Partial Revision of the Basic Act on the Formation of an Advanced Information and Telecommunications Network Society)</w:t>
      </w:r>
    </w:p>
    <w:p w:rsidR="0037428A" w:rsidRDefault="006C0926">
      <w:pPr>
        <w:pStyle w:val="enf3"/>
      </w:pPr>
      <w:r>
        <w:t>Article 4  The Basic Act on the</w:t>
      </w:r>
      <w:r>
        <w:t xml:space="preserve"> Formation of an Advanced Information and Telecommunications Network Society is to be partially revised by inserting the following after the "work" in Article 26, paragraph 1: "(excluding those functions related to the promotion of the implementation of im</w:t>
      </w:r>
      <w:r>
        <w:t>portant Cybersecurity-related measures for the functions listed in Article 25, paragraph 1 of the Basic Act on Cybersecurity (Act No.104 of 2014))"</w:t>
      </w:r>
    </w:p>
    <w:sectPr w:rsidR="0037428A" w:rsidSect="003742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28A" w:rsidRDefault="0037428A" w:rsidP="0037428A">
      <w:r>
        <w:separator/>
      </w:r>
    </w:p>
  </w:endnote>
  <w:endnote w:type="continuationSeparator" w:id="0">
    <w:p w:rsidR="0037428A" w:rsidRDefault="0037428A" w:rsidP="0037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28A" w:rsidRDefault="0037428A">
    <w:pPr>
      <w:pStyle w:val="a3"/>
    </w:pPr>
    <w:r>
      <w:fldChar w:fldCharType="begin"/>
    </w:r>
    <w:r>
      <w:instrText xml:space="preserve"> PAGE  \* MERGEFORMAT </w:instrText>
    </w:r>
    <w:r>
      <w:fldChar w:fldCharType="separate"/>
    </w:r>
    <w:r w:rsidR="006C09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28A" w:rsidRDefault="0037428A" w:rsidP="0037428A">
      <w:r>
        <w:separator/>
      </w:r>
    </w:p>
  </w:footnote>
  <w:footnote w:type="continuationSeparator" w:id="0">
    <w:p w:rsidR="0037428A" w:rsidRDefault="0037428A" w:rsidP="0037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31B"/>
    <w:multiLevelType w:val="multilevel"/>
    <w:tmpl w:val="90DA7F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77839"/>
    <w:multiLevelType w:val="multilevel"/>
    <w:tmpl w:val="0B5402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BB0FEE"/>
    <w:multiLevelType w:val="multilevel"/>
    <w:tmpl w:val="B92EB4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B81A66"/>
    <w:multiLevelType w:val="multilevel"/>
    <w:tmpl w:val="F46EEA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5E27D4"/>
    <w:multiLevelType w:val="multilevel"/>
    <w:tmpl w:val="40B021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C24931"/>
    <w:multiLevelType w:val="multilevel"/>
    <w:tmpl w:val="3EB2B1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7E2B4F"/>
    <w:multiLevelType w:val="multilevel"/>
    <w:tmpl w:val="6F22D4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3A4D91"/>
    <w:multiLevelType w:val="multilevel"/>
    <w:tmpl w:val="E88274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7470FD"/>
    <w:multiLevelType w:val="multilevel"/>
    <w:tmpl w:val="CF80F0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BD3D8E"/>
    <w:multiLevelType w:val="multilevel"/>
    <w:tmpl w:val="4726D4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A759AF"/>
    <w:multiLevelType w:val="multilevel"/>
    <w:tmpl w:val="B43843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D158A3"/>
    <w:multiLevelType w:val="multilevel"/>
    <w:tmpl w:val="422C0A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7F67A3"/>
    <w:multiLevelType w:val="multilevel"/>
    <w:tmpl w:val="6DBAEC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7"/>
  </w:num>
  <w:num w:numId="4">
    <w:abstractNumId w:val="5"/>
  </w:num>
  <w:num w:numId="5">
    <w:abstractNumId w:val="8"/>
  </w:num>
  <w:num w:numId="6">
    <w:abstractNumId w:val="6"/>
  </w:num>
  <w:num w:numId="7">
    <w:abstractNumId w:val="12"/>
  </w:num>
  <w:num w:numId="8">
    <w:abstractNumId w:val="4"/>
  </w:num>
  <w:num w:numId="9">
    <w:abstractNumId w:val="3"/>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428A"/>
    <w:rsid w:val="0037428A"/>
    <w:rsid w:val="006C09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2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42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428A"/>
    <w:rPr>
      <w:rFonts w:ascii="Century" w:eastAsia="Century" w:hAnsi="Century"/>
    </w:rPr>
  </w:style>
  <w:style w:type="paragraph" w:customStyle="1" w:styleId="ja0">
    <w:name w:val="款（ja）"/>
    <w:basedOn w:val="a"/>
    <w:rsid w:val="0037428A"/>
    <w:pPr>
      <w:widowControl w:val="0"/>
      <w:ind w:left="1321" w:hanging="221"/>
    </w:pPr>
    <w:rPr>
      <w:rFonts w:ascii="ＭＳ 明朝" w:eastAsia="ＭＳ 明朝" w:hAnsi="ＭＳ 明朝" w:cs="ＭＳ 明朝"/>
      <w:b/>
    </w:rPr>
  </w:style>
  <w:style w:type="paragraph" w:customStyle="1" w:styleId="en0">
    <w:name w:val="款（en）"/>
    <w:basedOn w:val="ja0"/>
    <w:rsid w:val="0037428A"/>
    <w:rPr>
      <w:rFonts w:ascii="Century" w:eastAsia="Century" w:hAnsi="Century" w:cs="Century"/>
    </w:rPr>
  </w:style>
  <w:style w:type="paragraph" w:customStyle="1" w:styleId="ja1">
    <w:name w:val="前文（ja）"/>
    <w:basedOn w:val="a"/>
    <w:rsid w:val="0037428A"/>
    <w:pPr>
      <w:widowControl w:val="0"/>
      <w:ind w:firstLine="219"/>
    </w:pPr>
    <w:rPr>
      <w:rFonts w:ascii="ＭＳ 明朝" w:eastAsia="ＭＳ 明朝" w:hAnsi="ＭＳ 明朝" w:cs="ＭＳ 明朝"/>
    </w:rPr>
  </w:style>
  <w:style w:type="paragraph" w:customStyle="1" w:styleId="en1">
    <w:name w:val="前文（en）"/>
    <w:basedOn w:val="ja1"/>
    <w:rsid w:val="0037428A"/>
    <w:rPr>
      <w:rFonts w:ascii="Century" w:eastAsia="Century" w:hAnsi="Century" w:cs="Century"/>
    </w:rPr>
  </w:style>
  <w:style w:type="paragraph" w:customStyle="1" w:styleId="ja2">
    <w:name w:val="附則（ja）"/>
    <w:basedOn w:val="a"/>
    <w:rsid w:val="0037428A"/>
    <w:pPr>
      <w:widowControl w:val="0"/>
      <w:ind w:left="881" w:hanging="221"/>
    </w:pPr>
    <w:rPr>
      <w:rFonts w:ascii="ＭＳ 明朝" w:eastAsia="ＭＳ 明朝" w:hAnsi="ＭＳ 明朝" w:cs="ＭＳ 明朝"/>
      <w:b/>
    </w:rPr>
  </w:style>
  <w:style w:type="paragraph" w:customStyle="1" w:styleId="en2">
    <w:name w:val="附則（en）"/>
    <w:basedOn w:val="ja2"/>
    <w:rsid w:val="0037428A"/>
    <w:rPr>
      <w:rFonts w:ascii="Century" w:hAnsi="Century" w:cs="Century"/>
    </w:rPr>
  </w:style>
  <w:style w:type="paragraph" w:customStyle="1" w:styleId="ja3">
    <w:name w:val="章（ja）"/>
    <w:basedOn w:val="a"/>
    <w:rsid w:val="0037428A"/>
    <w:pPr>
      <w:widowControl w:val="0"/>
      <w:ind w:left="881" w:hanging="221"/>
    </w:pPr>
    <w:rPr>
      <w:rFonts w:ascii="ＭＳ 明朝" w:eastAsia="ＭＳ 明朝" w:hAnsi="ＭＳ 明朝" w:cs="ＭＳ 明朝"/>
      <w:b/>
    </w:rPr>
  </w:style>
  <w:style w:type="paragraph" w:customStyle="1" w:styleId="en3">
    <w:name w:val="章（en）"/>
    <w:basedOn w:val="ja3"/>
    <w:rsid w:val="0037428A"/>
    <w:rPr>
      <w:rFonts w:ascii="Century" w:eastAsia="Century" w:hAnsi="Century" w:cs="Century"/>
    </w:rPr>
  </w:style>
  <w:style w:type="paragraph" w:customStyle="1" w:styleId="ja4">
    <w:name w:val="目次編（ja）"/>
    <w:basedOn w:val="a"/>
    <w:rsid w:val="0037428A"/>
    <w:pPr>
      <w:widowControl w:val="0"/>
      <w:ind w:left="219" w:hanging="219"/>
    </w:pPr>
    <w:rPr>
      <w:rFonts w:ascii="ＭＳ 明朝" w:eastAsia="ＭＳ 明朝" w:hAnsi="ＭＳ 明朝"/>
    </w:rPr>
  </w:style>
  <w:style w:type="paragraph" w:customStyle="1" w:styleId="en4">
    <w:name w:val="目次編（en）"/>
    <w:basedOn w:val="ja4"/>
    <w:rsid w:val="0037428A"/>
    <w:rPr>
      <w:rFonts w:ascii="Century" w:eastAsia="Century" w:hAnsi="Century"/>
    </w:rPr>
  </w:style>
  <w:style w:type="paragraph" w:customStyle="1" w:styleId="ja5">
    <w:name w:val="目次章（ja）"/>
    <w:basedOn w:val="a"/>
    <w:rsid w:val="0037428A"/>
    <w:pPr>
      <w:widowControl w:val="0"/>
      <w:ind w:left="439" w:hanging="219"/>
    </w:pPr>
    <w:rPr>
      <w:rFonts w:ascii="ＭＳ 明朝" w:eastAsia="ＭＳ 明朝" w:hAnsi="ＭＳ 明朝"/>
    </w:rPr>
  </w:style>
  <w:style w:type="paragraph" w:customStyle="1" w:styleId="en5">
    <w:name w:val="目次章（en）"/>
    <w:basedOn w:val="ja5"/>
    <w:rsid w:val="0037428A"/>
    <w:rPr>
      <w:rFonts w:ascii="Century" w:eastAsia="Century" w:hAnsi="Century"/>
    </w:rPr>
  </w:style>
  <w:style w:type="paragraph" w:customStyle="1" w:styleId="ja6">
    <w:name w:val="目次節（ja）"/>
    <w:basedOn w:val="a"/>
    <w:rsid w:val="0037428A"/>
    <w:pPr>
      <w:widowControl w:val="0"/>
      <w:ind w:left="659" w:hanging="219"/>
    </w:pPr>
    <w:rPr>
      <w:rFonts w:ascii="ＭＳ 明朝" w:eastAsia="ＭＳ 明朝" w:hAnsi="ＭＳ 明朝"/>
    </w:rPr>
  </w:style>
  <w:style w:type="paragraph" w:customStyle="1" w:styleId="en6">
    <w:name w:val="目次節（en）"/>
    <w:basedOn w:val="ja6"/>
    <w:rsid w:val="0037428A"/>
    <w:rPr>
      <w:rFonts w:ascii="Century" w:eastAsia="Century" w:hAnsi="Century"/>
    </w:rPr>
  </w:style>
  <w:style w:type="paragraph" w:customStyle="1" w:styleId="ja7">
    <w:name w:val="目次款（ja）"/>
    <w:basedOn w:val="a"/>
    <w:rsid w:val="0037428A"/>
    <w:pPr>
      <w:widowControl w:val="0"/>
      <w:ind w:left="879" w:hanging="219"/>
    </w:pPr>
    <w:rPr>
      <w:rFonts w:ascii="ＭＳ 明朝" w:eastAsia="ＭＳ 明朝" w:hAnsi="ＭＳ 明朝" w:cs="Kochi Mincho"/>
    </w:rPr>
  </w:style>
  <w:style w:type="paragraph" w:customStyle="1" w:styleId="en7">
    <w:name w:val="目次款（en）"/>
    <w:basedOn w:val="ja7"/>
    <w:rsid w:val="0037428A"/>
    <w:rPr>
      <w:rFonts w:ascii="Century" w:eastAsia="Century" w:hAnsi="Century"/>
    </w:rPr>
  </w:style>
  <w:style w:type="paragraph" w:customStyle="1" w:styleId="ja8">
    <w:name w:val="別表名（ja）"/>
    <w:basedOn w:val="a"/>
    <w:rsid w:val="003742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428A"/>
    <w:rPr>
      <w:rFonts w:ascii="Century" w:eastAsia="Century" w:hAnsi="Century" w:cs="Century"/>
    </w:rPr>
  </w:style>
  <w:style w:type="paragraph" w:customStyle="1" w:styleId="ja9">
    <w:name w:val="目（ja）"/>
    <w:basedOn w:val="a"/>
    <w:rsid w:val="0037428A"/>
    <w:pPr>
      <w:widowControl w:val="0"/>
      <w:ind w:left="1541" w:hanging="221"/>
    </w:pPr>
    <w:rPr>
      <w:rFonts w:ascii="ＭＳ 明朝" w:eastAsia="ＭＳ 明朝" w:hAnsi="ＭＳ 明朝" w:cs="ＭＳ 明朝"/>
      <w:b/>
    </w:rPr>
  </w:style>
  <w:style w:type="paragraph" w:customStyle="1" w:styleId="en9">
    <w:name w:val="目（en）"/>
    <w:basedOn w:val="ja9"/>
    <w:rsid w:val="0037428A"/>
    <w:rPr>
      <w:rFonts w:ascii="Century" w:eastAsia="Century" w:hAnsi="Century" w:cs="Century"/>
    </w:rPr>
  </w:style>
  <w:style w:type="paragraph" w:customStyle="1" w:styleId="jaa">
    <w:name w:val="見出し（ja）"/>
    <w:basedOn w:val="a"/>
    <w:rsid w:val="0037428A"/>
    <w:pPr>
      <w:widowControl w:val="0"/>
      <w:ind w:left="439" w:hanging="219"/>
    </w:pPr>
    <w:rPr>
      <w:rFonts w:ascii="ＭＳ 明朝" w:eastAsia="ＭＳ 明朝" w:hAnsi="ＭＳ 明朝" w:cs="ＭＳ 明朝"/>
    </w:rPr>
  </w:style>
  <w:style w:type="paragraph" w:customStyle="1" w:styleId="ena">
    <w:name w:val="見出し（en）"/>
    <w:basedOn w:val="jaa"/>
    <w:rsid w:val="0037428A"/>
    <w:rPr>
      <w:rFonts w:ascii="Century" w:eastAsia="Century" w:hAnsi="Century" w:cs="Century"/>
    </w:rPr>
  </w:style>
  <w:style w:type="paragraph" w:styleId="a3">
    <w:name w:val="footer"/>
    <w:basedOn w:val="a"/>
    <w:rsid w:val="003742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428A"/>
    <w:pPr>
      <w:widowControl w:val="0"/>
      <w:ind w:left="1099" w:hanging="219"/>
    </w:pPr>
    <w:rPr>
      <w:rFonts w:ascii="ＭＳ 明朝" w:eastAsia="ＭＳ 明朝" w:hAnsi="ＭＳ 明朝" w:cs="Kochi Mincho"/>
    </w:rPr>
  </w:style>
  <w:style w:type="paragraph" w:customStyle="1" w:styleId="enb">
    <w:name w:val="目次目（en）"/>
    <w:basedOn w:val="jab"/>
    <w:rsid w:val="0037428A"/>
    <w:rPr>
      <w:rFonts w:ascii="Century" w:eastAsia="Century" w:hAnsi="Century"/>
    </w:rPr>
  </w:style>
  <w:style w:type="paragraph" w:customStyle="1" w:styleId="jac">
    <w:name w:val="目次附則（ja）"/>
    <w:basedOn w:val="a"/>
    <w:rsid w:val="0037428A"/>
    <w:pPr>
      <w:widowControl w:val="0"/>
      <w:ind w:left="439" w:hanging="219"/>
    </w:pPr>
    <w:rPr>
      <w:rFonts w:ascii="ＭＳ 明朝" w:eastAsia="ＭＳ 明朝" w:hAnsi="ＭＳ 明朝" w:cs="Kochi Mincho"/>
    </w:rPr>
  </w:style>
  <w:style w:type="paragraph" w:customStyle="1" w:styleId="enc">
    <w:name w:val="目次附則（en）"/>
    <w:basedOn w:val="jac"/>
    <w:rsid w:val="0037428A"/>
    <w:rPr>
      <w:rFonts w:ascii="Century" w:eastAsia="Century" w:hAnsi="Century" w:cs="Century"/>
    </w:rPr>
  </w:style>
  <w:style w:type="paragraph" w:customStyle="1" w:styleId="jad">
    <w:name w:val="目次前文（ja）"/>
    <w:basedOn w:val="jac"/>
    <w:rsid w:val="0037428A"/>
  </w:style>
  <w:style w:type="paragraph" w:customStyle="1" w:styleId="end">
    <w:name w:val="目次前文（en）"/>
    <w:basedOn w:val="enc"/>
    <w:rsid w:val="0037428A"/>
  </w:style>
  <w:style w:type="paragraph" w:customStyle="1" w:styleId="jae">
    <w:name w:val="制定文（ja）"/>
    <w:basedOn w:val="a"/>
    <w:rsid w:val="0037428A"/>
    <w:pPr>
      <w:widowControl w:val="0"/>
      <w:ind w:firstLine="219"/>
    </w:pPr>
    <w:rPr>
      <w:rFonts w:ascii="ＭＳ 明朝" w:eastAsia="ＭＳ 明朝" w:hAnsi="ＭＳ 明朝" w:cs="ＭＳ 明朝"/>
    </w:rPr>
  </w:style>
  <w:style w:type="paragraph" w:customStyle="1" w:styleId="ene">
    <w:name w:val="制定文（en）"/>
    <w:basedOn w:val="jae"/>
    <w:rsid w:val="0037428A"/>
    <w:rPr>
      <w:rFonts w:ascii="Century" w:eastAsia="Century" w:hAnsi="Century" w:cs="Century"/>
    </w:rPr>
  </w:style>
  <w:style w:type="paragraph" w:customStyle="1" w:styleId="jaf">
    <w:name w:val="法令番号（ja）"/>
    <w:basedOn w:val="a"/>
    <w:rsid w:val="0037428A"/>
    <w:pPr>
      <w:widowControl w:val="0"/>
      <w:jc w:val="right"/>
    </w:pPr>
    <w:rPr>
      <w:rFonts w:ascii="ＭＳ 明朝" w:eastAsia="ＭＳ 明朝" w:hAnsi="ＭＳ 明朝" w:cs="Kochi Mincho"/>
    </w:rPr>
  </w:style>
  <w:style w:type="paragraph" w:customStyle="1" w:styleId="enf">
    <w:name w:val="法令番号（en）"/>
    <w:basedOn w:val="jaf"/>
    <w:rsid w:val="0037428A"/>
    <w:rPr>
      <w:rFonts w:ascii="Century" w:eastAsia="Century" w:hAnsi="Century" w:cs="Century"/>
    </w:rPr>
  </w:style>
  <w:style w:type="paragraph" w:customStyle="1" w:styleId="jaf0">
    <w:name w:val="目次（ja）"/>
    <w:basedOn w:val="a"/>
    <w:rsid w:val="0037428A"/>
    <w:rPr>
      <w:rFonts w:ascii="ＭＳ 明朝" w:eastAsia="ＭＳ 明朝" w:hAnsi="ＭＳ 明朝"/>
    </w:rPr>
  </w:style>
  <w:style w:type="paragraph" w:customStyle="1" w:styleId="enf0">
    <w:name w:val="目次（en）"/>
    <w:basedOn w:val="jaf0"/>
    <w:rsid w:val="0037428A"/>
    <w:rPr>
      <w:rFonts w:ascii="Century" w:eastAsia="Century" w:hAnsi="Century"/>
    </w:rPr>
  </w:style>
  <w:style w:type="paragraph" w:customStyle="1" w:styleId="jaf1">
    <w:name w:val="編（ja）"/>
    <w:basedOn w:val="a"/>
    <w:rsid w:val="0037428A"/>
    <w:pPr>
      <w:widowControl w:val="0"/>
      <w:ind w:left="661" w:hanging="221"/>
    </w:pPr>
    <w:rPr>
      <w:rFonts w:ascii="ＭＳ 明朝" w:eastAsia="ＭＳ 明朝" w:hAnsi="ＭＳ 明朝" w:cs="ＭＳ 明朝"/>
      <w:b/>
    </w:rPr>
  </w:style>
  <w:style w:type="paragraph" w:customStyle="1" w:styleId="enf1">
    <w:name w:val="編（en）"/>
    <w:basedOn w:val="jaf1"/>
    <w:rsid w:val="0037428A"/>
    <w:rPr>
      <w:rFonts w:ascii="Century" w:eastAsia="Century" w:hAnsi="Century" w:cs="Century"/>
    </w:rPr>
  </w:style>
  <w:style w:type="paragraph" w:customStyle="1" w:styleId="jaf2">
    <w:name w:val="節（ja）"/>
    <w:basedOn w:val="a"/>
    <w:rsid w:val="0037428A"/>
    <w:pPr>
      <w:widowControl w:val="0"/>
      <w:ind w:left="1101" w:hanging="221"/>
    </w:pPr>
    <w:rPr>
      <w:rFonts w:ascii="ＭＳ 明朝" w:eastAsia="ＭＳ 明朝" w:hAnsi="ＭＳ 明朝" w:cs="ＭＳ 明朝"/>
      <w:b/>
    </w:rPr>
  </w:style>
  <w:style w:type="paragraph" w:customStyle="1" w:styleId="enf2">
    <w:name w:val="節（en）"/>
    <w:basedOn w:val="jaf2"/>
    <w:rsid w:val="0037428A"/>
    <w:rPr>
      <w:rFonts w:ascii="Century" w:eastAsia="Century" w:hAnsi="Century" w:cs="Century"/>
    </w:rPr>
  </w:style>
  <w:style w:type="paragraph" w:customStyle="1" w:styleId="jaf3">
    <w:name w:val="条（ja）"/>
    <w:basedOn w:val="a"/>
    <w:rsid w:val="0037428A"/>
    <w:pPr>
      <w:widowControl w:val="0"/>
      <w:ind w:left="219" w:hanging="219"/>
    </w:pPr>
    <w:rPr>
      <w:rFonts w:ascii="ＭＳ 明朝" w:eastAsia="ＭＳ 明朝" w:hAnsi="ＭＳ 明朝" w:cs="ＭＳ 明朝"/>
    </w:rPr>
  </w:style>
  <w:style w:type="paragraph" w:customStyle="1" w:styleId="enf3">
    <w:name w:val="条（en）"/>
    <w:basedOn w:val="jaf3"/>
    <w:rsid w:val="0037428A"/>
    <w:rPr>
      <w:rFonts w:ascii="Century" w:eastAsia="Century" w:hAnsi="Century" w:cs="Century"/>
    </w:rPr>
  </w:style>
  <w:style w:type="paragraph" w:customStyle="1" w:styleId="jaf4">
    <w:name w:val="項（ja）"/>
    <w:basedOn w:val="a"/>
    <w:rsid w:val="0037428A"/>
    <w:pPr>
      <w:widowControl w:val="0"/>
      <w:ind w:left="219" w:hanging="219"/>
    </w:pPr>
    <w:rPr>
      <w:rFonts w:ascii="ＭＳ 明朝" w:eastAsia="ＭＳ 明朝" w:hAnsi="ＭＳ 明朝" w:cs="ＭＳ 明朝"/>
    </w:rPr>
  </w:style>
  <w:style w:type="paragraph" w:customStyle="1" w:styleId="enf4">
    <w:name w:val="項（en）"/>
    <w:basedOn w:val="jaf4"/>
    <w:rsid w:val="0037428A"/>
    <w:rPr>
      <w:rFonts w:ascii="Century" w:eastAsia="Century" w:hAnsi="Century" w:cs="Century"/>
    </w:rPr>
  </w:style>
  <w:style w:type="paragraph" w:customStyle="1" w:styleId="jaf5">
    <w:name w:val="項　番号なし（ja）"/>
    <w:basedOn w:val="a"/>
    <w:rsid w:val="0037428A"/>
    <w:pPr>
      <w:widowControl w:val="0"/>
      <w:ind w:firstLine="221"/>
    </w:pPr>
    <w:rPr>
      <w:rFonts w:ascii="ＭＳ 明朝" w:eastAsia="ＭＳ 明朝" w:hAnsi="ＭＳ 明朝" w:cs="ＭＳ 明朝"/>
    </w:rPr>
  </w:style>
  <w:style w:type="paragraph" w:customStyle="1" w:styleId="enf5">
    <w:name w:val="項　番号なし（en）"/>
    <w:basedOn w:val="jaf5"/>
    <w:rsid w:val="0037428A"/>
    <w:rPr>
      <w:rFonts w:ascii="Century" w:eastAsia="Century" w:hAnsi="Century" w:cs="Century"/>
    </w:rPr>
  </w:style>
  <w:style w:type="paragraph" w:customStyle="1" w:styleId="jaf6">
    <w:name w:val="号（ja）"/>
    <w:basedOn w:val="a"/>
    <w:rsid w:val="0037428A"/>
    <w:pPr>
      <w:widowControl w:val="0"/>
      <w:ind w:left="439" w:hanging="219"/>
    </w:pPr>
    <w:rPr>
      <w:rFonts w:ascii="ＭＳ 明朝" w:eastAsia="ＭＳ 明朝" w:hAnsi="ＭＳ 明朝" w:cs="ＭＳ 明朝"/>
    </w:rPr>
  </w:style>
  <w:style w:type="paragraph" w:customStyle="1" w:styleId="enf6">
    <w:name w:val="号（en）"/>
    <w:basedOn w:val="jaf6"/>
    <w:rsid w:val="0037428A"/>
    <w:rPr>
      <w:rFonts w:ascii="Century" w:eastAsia="Century" w:hAnsi="Century" w:cs="Century"/>
    </w:rPr>
  </w:style>
  <w:style w:type="paragraph" w:customStyle="1" w:styleId="jaf7">
    <w:name w:val="号　番号なし（ja）"/>
    <w:basedOn w:val="a"/>
    <w:rsid w:val="0037428A"/>
    <w:pPr>
      <w:widowControl w:val="0"/>
      <w:ind w:left="221" w:firstLine="221"/>
    </w:pPr>
    <w:rPr>
      <w:rFonts w:ascii="ＭＳ 明朝" w:eastAsia="ＭＳ 明朝" w:hAnsi="ＭＳ 明朝" w:cs="ＭＳ 明朝"/>
    </w:rPr>
  </w:style>
  <w:style w:type="paragraph" w:customStyle="1" w:styleId="enf7">
    <w:name w:val="号　番号なし（en）"/>
    <w:basedOn w:val="jaf7"/>
    <w:rsid w:val="0037428A"/>
    <w:rPr>
      <w:rFonts w:ascii="Century" w:eastAsia="Century" w:hAnsi="Century" w:cs="Century"/>
    </w:rPr>
  </w:style>
  <w:style w:type="paragraph" w:customStyle="1" w:styleId="jaf8">
    <w:name w:val="備考号（ja）"/>
    <w:basedOn w:val="a"/>
    <w:rsid w:val="0037428A"/>
    <w:pPr>
      <w:widowControl w:val="0"/>
      <w:ind w:left="659" w:hanging="219"/>
    </w:pPr>
    <w:rPr>
      <w:rFonts w:ascii="ＭＳ 明朝" w:eastAsia="ＭＳ 明朝" w:hAnsi="ＭＳ 明朝" w:cs="ＭＳ 明朝"/>
    </w:rPr>
  </w:style>
  <w:style w:type="paragraph" w:customStyle="1" w:styleId="enf8">
    <w:name w:val="備考号（en）"/>
    <w:basedOn w:val="jaf8"/>
    <w:rsid w:val="0037428A"/>
    <w:rPr>
      <w:rFonts w:ascii="Century" w:eastAsia="Century" w:hAnsi="Century" w:cs="Century"/>
    </w:rPr>
  </w:style>
  <w:style w:type="paragraph" w:customStyle="1" w:styleId="jaf9">
    <w:name w:val="号細分（ja）"/>
    <w:basedOn w:val="a"/>
    <w:rsid w:val="0037428A"/>
    <w:pPr>
      <w:widowControl w:val="0"/>
      <w:ind w:left="659" w:hanging="219"/>
    </w:pPr>
    <w:rPr>
      <w:rFonts w:ascii="ＭＳ 明朝" w:eastAsia="ＭＳ 明朝" w:hAnsi="ＭＳ 明朝" w:cs="ＭＳ 明朝"/>
    </w:rPr>
  </w:style>
  <w:style w:type="paragraph" w:customStyle="1" w:styleId="enf9">
    <w:name w:val="号細分（en）"/>
    <w:basedOn w:val="jaf9"/>
    <w:rsid w:val="0037428A"/>
    <w:rPr>
      <w:rFonts w:ascii="Century" w:eastAsia="Century" w:hAnsi="Century" w:cs="Century"/>
    </w:rPr>
  </w:style>
  <w:style w:type="paragraph" w:customStyle="1" w:styleId="jafa">
    <w:name w:val="号細分　番号なし（ja）"/>
    <w:basedOn w:val="a"/>
    <w:rsid w:val="0037428A"/>
    <w:pPr>
      <w:widowControl w:val="0"/>
      <w:ind w:left="439"/>
    </w:pPr>
    <w:rPr>
      <w:rFonts w:ascii="ＭＳ 明朝" w:eastAsia="ＭＳ 明朝" w:hAnsi="ＭＳ 明朝" w:cs="ＭＳ 明朝"/>
    </w:rPr>
  </w:style>
  <w:style w:type="paragraph" w:customStyle="1" w:styleId="enfa">
    <w:name w:val="号細分　番号なし（en）"/>
    <w:basedOn w:val="jafa"/>
    <w:rsid w:val="0037428A"/>
    <w:rPr>
      <w:rFonts w:ascii="Century" w:eastAsia="Century" w:hAnsi="Century" w:cs="Century"/>
    </w:rPr>
  </w:style>
  <w:style w:type="paragraph" w:customStyle="1" w:styleId="jafb">
    <w:name w:val="備考号細分（ja）"/>
    <w:basedOn w:val="a"/>
    <w:rsid w:val="0037428A"/>
    <w:pPr>
      <w:widowControl w:val="0"/>
      <w:ind w:left="1099" w:hanging="439"/>
    </w:pPr>
    <w:rPr>
      <w:rFonts w:ascii="ＭＳ 明朝" w:eastAsia="ＭＳ 明朝" w:hAnsi="ＭＳ 明朝" w:cs="ＭＳ 明朝"/>
    </w:rPr>
  </w:style>
  <w:style w:type="paragraph" w:customStyle="1" w:styleId="enfb">
    <w:name w:val="備考号細分（en）"/>
    <w:basedOn w:val="jafb"/>
    <w:rsid w:val="0037428A"/>
    <w:rPr>
      <w:rFonts w:ascii="Century" w:eastAsia="Century" w:hAnsi="Century" w:cs="Century"/>
    </w:rPr>
  </w:style>
  <w:style w:type="paragraph" w:customStyle="1" w:styleId="jafc">
    <w:name w:val="号細細分（ja）"/>
    <w:basedOn w:val="a"/>
    <w:rsid w:val="0037428A"/>
    <w:pPr>
      <w:widowControl w:val="0"/>
      <w:ind w:left="1099" w:hanging="439"/>
    </w:pPr>
    <w:rPr>
      <w:rFonts w:ascii="ＭＳ 明朝" w:eastAsia="ＭＳ 明朝" w:hAnsi="ＭＳ 明朝" w:cs="ＭＳ 明朝"/>
    </w:rPr>
  </w:style>
  <w:style w:type="paragraph" w:customStyle="1" w:styleId="enfc">
    <w:name w:val="号細細分（en）"/>
    <w:basedOn w:val="jafc"/>
    <w:rsid w:val="0037428A"/>
    <w:rPr>
      <w:rFonts w:ascii="Century" w:eastAsia="Century" w:hAnsi="Century" w:cs="Century"/>
    </w:rPr>
  </w:style>
  <w:style w:type="paragraph" w:customStyle="1" w:styleId="jafd">
    <w:name w:val="号細細分　番号なし（ja）"/>
    <w:basedOn w:val="a"/>
    <w:rsid w:val="0037428A"/>
    <w:pPr>
      <w:widowControl w:val="0"/>
      <w:ind w:left="659"/>
    </w:pPr>
    <w:rPr>
      <w:rFonts w:ascii="ＭＳ 明朝" w:eastAsia="ＭＳ 明朝" w:hAnsi="ＭＳ 明朝" w:cs="ＭＳ 明朝"/>
    </w:rPr>
  </w:style>
  <w:style w:type="paragraph" w:customStyle="1" w:styleId="enfd">
    <w:name w:val="号細細分　番号なし（en）"/>
    <w:basedOn w:val="jafd"/>
    <w:rsid w:val="0037428A"/>
    <w:rPr>
      <w:rFonts w:ascii="Century" w:eastAsia="Century" w:hAnsi="Century" w:cs="Century"/>
    </w:rPr>
  </w:style>
  <w:style w:type="paragraph" w:customStyle="1" w:styleId="jafe">
    <w:name w:val="備考号細細分（ja）"/>
    <w:basedOn w:val="a"/>
    <w:rsid w:val="0037428A"/>
    <w:pPr>
      <w:widowControl w:val="0"/>
      <w:ind w:left="1319" w:hanging="439"/>
    </w:pPr>
    <w:rPr>
      <w:rFonts w:ascii="ＭＳ 明朝" w:eastAsia="ＭＳ 明朝" w:hAnsi="ＭＳ 明朝" w:cs="ＭＳ 明朝"/>
    </w:rPr>
  </w:style>
  <w:style w:type="paragraph" w:customStyle="1" w:styleId="enfe">
    <w:name w:val="備考号細細分（en）"/>
    <w:basedOn w:val="jafe"/>
    <w:rsid w:val="0037428A"/>
    <w:rPr>
      <w:rFonts w:ascii="Century" w:eastAsia="Century" w:hAnsi="Century" w:cs="Century"/>
    </w:rPr>
  </w:style>
  <w:style w:type="paragraph" w:customStyle="1" w:styleId="jaff">
    <w:name w:val="号細細細分（ja）"/>
    <w:basedOn w:val="a"/>
    <w:rsid w:val="0037428A"/>
    <w:pPr>
      <w:widowControl w:val="0"/>
      <w:ind w:left="1319" w:hanging="439"/>
    </w:pPr>
    <w:rPr>
      <w:rFonts w:ascii="ＭＳ 明朝" w:eastAsia="ＭＳ 明朝" w:hAnsi="ＭＳ 明朝" w:cs="ＭＳ 明朝"/>
    </w:rPr>
  </w:style>
  <w:style w:type="paragraph" w:customStyle="1" w:styleId="enff">
    <w:name w:val="号細細細分（en）"/>
    <w:basedOn w:val="jaff"/>
    <w:rsid w:val="0037428A"/>
    <w:rPr>
      <w:rFonts w:ascii="Century" w:eastAsia="Century" w:hAnsi="Century" w:cs="Century"/>
    </w:rPr>
  </w:style>
  <w:style w:type="paragraph" w:customStyle="1" w:styleId="jaff0">
    <w:name w:val="号細細細分　番号なし（ja）"/>
    <w:basedOn w:val="a"/>
    <w:rsid w:val="0037428A"/>
    <w:pPr>
      <w:widowControl w:val="0"/>
      <w:ind w:left="879"/>
    </w:pPr>
    <w:rPr>
      <w:rFonts w:ascii="ＭＳ 明朝" w:eastAsia="ＭＳ 明朝" w:hAnsi="ＭＳ 明朝" w:cs="ＭＳ 明朝"/>
    </w:rPr>
  </w:style>
  <w:style w:type="paragraph" w:customStyle="1" w:styleId="enff0">
    <w:name w:val="号細細細分　番号なし（en）"/>
    <w:basedOn w:val="jaff0"/>
    <w:rsid w:val="0037428A"/>
    <w:rPr>
      <w:rFonts w:ascii="Century" w:eastAsia="Century" w:hAnsi="Century" w:cs="Century"/>
    </w:rPr>
  </w:style>
  <w:style w:type="paragraph" w:customStyle="1" w:styleId="jaff1">
    <w:name w:val="備考号細細細分（ja）"/>
    <w:basedOn w:val="a"/>
    <w:rsid w:val="003742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428A"/>
    <w:rPr>
      <w:rFonts w:ascii="Century" w:eastAsia="Century" w:hAnsi="Century" w:cs="Century"/>
    </w:rPr>
  </w:style>
  <w:style w:type="paragraph" w:customStyle="1" w:styleId="jaff2">
    <w:name w:val="類（ja）"/>
    <w:basedOn w:val="a"/>
    <w:rsid w:val="0037428A"/>
    <w:pPr>
      <w:widowControl w:val="0"/>
      <w:ind w:left="439" w:hanging="219"/>
    </w:pPr>
    <w:rPr>
      <w:rFonts w:ascii="ＭＳ 明朝" w:eastAsia="ＭＳ 明朝" w:hAnsi="ＭＳ 明朝" w:cs="ＭＳ 明朝"/>
    </w:rPr>
  </w:style>
  <w:style w:type="paragraph" w:customStyle="1" w:styleId="enff2">
    <w:name w:val="類（en）"/>
    <w:basedOn w:val="jaff2"/>
    <w:rsid w:val="0037428A"/>
    <w:rPr>
      <w:rFonts w:ascii="Century" w:eastAsia="Century" w:hAnsi="Century" w:cs="Century"/>
    </w:rPr>
  </w:style>
  <w:style w:type="paragraph" w:customStyle="1" w:styleId="jaff3">
    <w:name w:val="公布文（ja）"/>
    <w:basedOn w:val="a"/>
    <w:rsid w:val="0037428A"/>
    <w:pPr>
      <w:widowControl w:val="0"/>
      <w:ind w:firstLine="219"/>
    </w:pPr>
    <w:rPr>
      <w:rFonts w:ascii="ＭＳ 明朝" w:eastAsia="ＭＳ 明朝" w:hAnsi="ＭＳ 明朝" w:cs="ＭＳ 明朝"/>
    </w:rPr>
  </w:style>
  <w:style w:type="paragraph" w:customStyle="1" w:styleId="enff3">
    <w:name w:val="公布文（en）"/>
    <w:basedOn w:val="jaff3"/>
    <w:rsid w:val="0037428A"/>
    <w:rPr>
      <w:rFonts w:ascii="Century" w:eastAsia="Century" w:hAnsi="Century" w:cs="Century"/>
    </w:rPr>
  </w:style>
  <w:style w:type="paragraph" w:customStyle="1" w:styleId="jaen">
    <w:name w:val="表（ja：en）"/>
    <w:basedOn w:val="a"/>
    <w:rsid w:val="0037428A"/>
    <w:pPr>
      <w:widowControl w:val="0"/>
      <w:snapToGrid w:val="0"/>
    </w:pPr>
    <w:rPr>
      <w:rFonts w:ascii="Century" w:eastAsia="ＭＳ 明朝" w:hAnsi="Century"/>
    </w:rPr>
  </w:style>
  <w:style w:type="paragraph" w:customStyle="1" w:styleId="jaff4">
    <w:name w:val="備考（ja）"/>
    <w:basedOn w:val="a"/>
    <w:rsid w:val="0037428A"/>
    <w:pPr>
      <w:widowControl w:val="0"/>
      <w:ind w:left="439" w:hanging="219"/>
    </w:pPr>
    <w:rPr>
      <w:rFonts w:ascii="ＭＳ 明朝" w:eastAsia="ＭＳ 明朝" w:hAnsi="ＭＳ 明朝" w:cs="ＭＳ 明朝"/>
    </w:rPr>
  </w:style>
  <w:style w:type="paragraph" w:customStyle="1" w:styleId="enff4">
    <w:name w:val="備考（en）"/>
    <w:basedOn w:val="jaff4"/>
    <w:rsid w:val="0037428A"/>
    <w:rPr>
      <w:rFonts w:ascii="Century" w:eastAsia="Century" w:hAnsi="Century" w:cs="Century"/>
    </w:rPr>
  </w:style>
  <w:style w:type="paragraph" w:customStyle="1" w:styleId="jaff5">
    <w:name w:val="表タイトル（ja）"/>
    <w:basedOn w:val="a"/>
    <w:rsid w:val="0037428A"/>
    <w:pPr>
      <w:widowControl w:val="0"/>
      <w:ind w:left="219"/>
    </w:pPr>
    <w:rPr>
      <w:rFonts w:ascii="ＭＳ 明朝" w:eastAsia="ＭＳ 明朝" w:hAnsi="ＭＳ 明朝" w:cs="ＭＳ 明朝"/>
    </w:rPr>
  </w:style>
  <w:style w:type="paragraph" w:customStyle="1" w:styleId="enff5">
    <w:name w:val="表タイトル（en）"/>
    <w:basedOn w:val="jaff5"/>
    <w:rsid w:val="0037428A"/>
    <w:rPr>
      <w:rFonts w:ascii="Century" w:eastAsia="Century" w:hAnsi="Century" w:cs="Century"/>
    </w:rPr>
  </w:style>
  <w:style w:type="paragraph" w:customStyle="1" w:styleId="jaff6">
    <w:name w:val="改正規定文（ja）"/>
    <w:basedOn w:val="a"/>
    <w:rsid w:val="0037428A"/>
    <w:pPr>
      <w:widowControl w:val="0"/>
      <w:ind w:left="219" w:firstLine="219"/>
    </w:pPr>
    <w:rPr>
      <w:rFonts w:ascii="ＭＳ 明朝" w:eastAsia="ＭＳ 明朝" w:hAnsi="ＭＳ 明朝" w:cs="ＭＳ 明朝"/>
    </w:rPr>
  </w:style>
  <w:style w:type="paragraph" w:customStyle="1" w:styleId="enff6">
    <w:name w:val="改正規定文（en）"/>
    <w:basedOn w:val="jaff6"/>
    <w:rsid w:val="0037428A"/>
    <w:rPr>
      <w:rFonts w:ascii="Century" w:eastAsia="Century" w:hAnsi="Century" w:cs="Century"/>
    </w:rPr>
  </w:style>
  <w:style w:type="paragraph" w:customStyle="1" w:styleId="jaff7">
    <w:name w:val="付記（ja）"/>
    <w:basedOn w:val="a"/>
    <w:rsid w:val="0037428A"/>
    <w:pPr>
      <w:widowControl w:val="0"/>
      <w:ind w:left="219" w:firstLine="219"/>
    </w:pPr>
    <w:rPr>
      <w:rFonts w:ascii="ＭＳ 明朝" w:eastAsia="ＭＳ 明朝" w:hAnsi="ＭＳ 明朝" w:cs="ＭＳ 明朝"/>
    </w:rPr>
  </w:style>
  <w:style w:type="paragraph" w:customStyle="1" w:styleId="enff7">
    <w:name w:val="付記（en）"/>
    <w:basedOn w:val="jaff7"/>
    <w:rsid w:val="0037428A"/>
    <w:rPr>
      <w:rFonts w:ascii="Century" w:eastAsia="Century" w:hAnsi="Century" w:cs="Century"/>
    </w:rPr>
  </w:style>
  <w:style w:type="paragraph" w:customStyle="1" w:styleId="jaff8">
    <w:name w:val="様式名（ja）"/>
    <w:basedOn w:val="a"/>
    <w:rsid w:val="0037428A"/>
    <w:pPr>
      <w:widowControl w:val="0"/>
      <w:ind w:left="439" w:hanging="219"/>
    </w:pPr>
    <w:rPr>
      <w:rFonts w:ascii="ＭＳ 明朝" w:eastAsia="ＭＳ 明朝" w:hAnsi="ＭＳ 明朝" w:cs="ＭＳ 明朝"/>
    </w:rPr>
  </w:style>
  <w:style w:type="paragraph" w:customStyle="1" w:styleId="enff8">
    <w:name w:val="様式名（en）"/>
    <w:basedOn w:val="jaff8"/>
    <w:rsid w:val="0037428A"/>
    <w:rPr>
      <w:rFonts w:ascii="Century" w:eastAsia="Century" w:hAnsi="Century" w:cs="Century"/>
    </w:rPr>
  </w:style>
  <w:style w:type="paragraph" w:customStyle="1" w:styleId="jaff9">
    <w:name w:val="様式項目（ja）"/>
    <w:basedOn w:val="a"/>
    <w:rsid w:val="0037428A"/>
    <w:pPr>
      <w:widowControl w:val="0"/>
      <w:ind w:left="221" w:firstLine="221"/>
    </w:pPr>
    <w:rPr>
      <w:rFonts w:ascii="ＭＳ 明朝" w:eastAsia="ＭＳ 明朝" w:hAnsi="ＭＳ 明朝" w:cs="ＭＳ 明朝"/>
    </w:rPr>
  </w:style>
  <w:style w:type="paragraph" w:customStyle="1" w:styleId="enff9">
    <w:name w:val="様式項目（en）"/>
    <w:basedOn w:val="jaff9"/>
    <w:rsid w:val="0037428A"/>
    <w:rPr>
      <w:rFonts w:ascii="Century" w:eastAsia="Century" w:hAnsi="Century" w:cs="Century"/>
    </w:rPr>
  </w:style>
  <w:style w:type="table" w:customStyle="1" w:styleId="1">
    <w:name w:val="表1"/>
    <w:rsid w:val="0037428A"/>
    <w:tblPr>
      <w:tblInd w:w="340" w:type="dxa"/>
      <w:tblCellMar>
        <w:top w:w="0" w:type="dxa"/>
        <w:left w:w="0" w:type="dxa"/>
        <w:bottom w:w="0" w:type="dxa"/>
        <w:right w:w="0" w:type="dxa"/>
      </w:tblCellMar>
    </w:tblPr>
  </w:style>
  <w:style w:type="numbering" w:customStyle="1" w:styleId="WW8Num1">
    <w:name w:val="WW8Num1"/>
    <w:rsid w:val="0037428A"/>
    <w:pPr>
      <w:numPr>
        <w:numId w:val="2"/>
      </w:numPr>
    </w:pPr>
  </w:style>
  <w:style w:type="numbering" w:customStyle="1" w:styleId="WW8Num2">
    <w:name w:val="WW8Num2"/>
    <w:rsid w:val="0037428A"/>
    <w:pPr>
      <w:numPr>
        <w:numId w:val="3"/>
      </w:numPr>
    </w:pPr>
  </w:style>
  <w:style w:type="numbering" w:customStyle="1" w:styleId="WW8Num3">
    <w:name w:val="WW8Num3"/>
    <w:rsid w:val="0037428A"/>
    <w:pPr>
      <w:numPr>
        <w:numId w:val="4"/>
      </w:numPr>
    </w:pPr>
  </w:style>
  <w:style w:type="numbering" w:customStyle="1" w:styleId="WW8Num4">
    <w:name w:val="WW8Num4"/>
    <w:rsid w:val="0037428A"/>
    <w:pPr>
      <w:numPr>
        <w:numId w:val="5"/>
      </w:numPr>
    </w:pPr>
  </w:style>
  <w:style w:type="numbering" w:customStyle="1" w:styleId="WW8Num5">
    <w:name w:val="WW8Num5"/>
    <w:rsid w:val="0037428A"/>
    <w:pPr>
      <w:numPr>
        <w:numId w:val="6"/>
      </w:numPr>
    </w:pPr>
  </w:style>
  <w:style w:type="numbering" w:customStyle="1" w:styleId="WW8Num6">
    <w:name w:val="WW8Num6"/>
    <w:rsid w:val="0037428A"/>
    <w:pPr>
      <w:numPr>
        <w:numId w:val="7"/>
      </w:numPr>
    </w:pPr>
  </w:style>
  <w:style w:type="numbering" w:customStyle="1" w:styleId="WW8Num7">
    <w:name w:val="WW8Num7"/>
    <w:rsid w:val="0037428A"/>
    <w:pPr>
      <w:numPr>
        <w:numId w:val="8"/>
      </w:numPr>
    </w:pPr>
  </w:style>
  <w:style w:type="numbering" w:customStyle="1" w:styleId="WW8Num8">
    <w:name w:val="WW8Num8"/>
    <w:rsid w:val="0037428A"/>
    <w:pPr>
      <w:numPr>
        <w:numId w:val="9"/>
      </w:numPr>
    </w:pPr>
  </w:style>
  <w:style w:type="numbering" w:customStyle="1" w:styleId="WW8Num9">
    <w:name w:val="WW8Num9"/>
    <w:rsid w:val="0037428A"/>
    <w:pPr>
      <w:numPr>
        <w:numId w:val="10"/>
      </w:numPr>
    </w:pPr>
  </w:style>
  <w:style w:type="numbering" w:customStyle="1" w:styleId="WW8Num10">
    <w:name w:val="WW8Num10"/>
    <w:rsid w:val="0037428A"/>
    <w:pPr>
      <w:numPr>
        <w:numId w:val="11"/>
      </w:numPr>
    </w:pPr>
  </w:style>
  <w:style w:type="numbering" w:customStyle="1" w:styleId="WW8Num11">
    <w:name w:val="WW8Num11"/>
    <w:rsid w:val="0037428A"/>
    <w:pPr>
      <w:numPr>
        <w:numId w:val="12"/>
      </w:numPr>
    </w:pPr>
  </w:style>
  <w:style w:type="numbering" w:customStyle="1" w:styleId="WW8Num12">
    <w:name w:val="WW8Num12"/>
    <w:rsid w:val="0037428A"/>
    <w:pPr>
      <w:numPr>
        <w:numId w:val="13"/>
      </w:numPr>
    </w:pPr>
  </w:style>
  <w:style w:type="paragraph" w:styleId="a4">
    <w:name w:val="header"/>
    <w:basedOn w:val="a"/>
    <w:link w:val="a5"/>
    <w:uiPriority w:val="99"/>
    <w:unhideWhenUsed/>
    <w:rsid w:val="006C0926"/>
    <w:pPr>
      <w:tabs>
        <w:tab w:val="center" w:pos="4252"/>
        <w:tab w:val="right" w:pos="8504"/>
      </w:tabs>
      <w:snapToGrid w:val="0"/>
    </w:pPr>
  </w:style>
  <w:style w:type="character" w:customStyle="1" w:styleId="a5">
    <w:name w:val="ヘッダー (文字)"/>
    <w:basedOn w:val="a0"/>
    <w:link w:val="a4"/>
    <w:uiPriority w:val="99"/>
    <w:rsid w:val="006C09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4286</Words>
  <Characters>24436</Characters>
  <Application>Microsoft Office Word</Application>
  <DocSecurity>0</DocSecurity>
  <Lines>203</Lines>
  <Paragraphs>57</Paragraphs>
  <ScaleCrop>false</ScaleCrop>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2022-01-04T07:46:00Z</dcterms:created>
  <dcterms:modified xsi:type="dcterms:W3CDTF">2022-01-04T07:46:00Z</dcterms:modified>
</cp:coreProperties>
</file>