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3277" w:rsidRDefault="00D02859">
      <w:pPr>
        <w:pStyle w:val="en"/>
      </w:pPr>
      <w:r>
        <w:t>Act on Japan Science and Technology Agency, National Research and Development Agency</w:t>
      </w:r>
    </w:p>
    <w:p w:rsidR="00953277" w:rsidRDefault="00953277"/>
    <w:p w:rsidR="00953277" w:rsidRDefault="00D02859">
      <w:pPr>
        <w:pStyle w:val="enf"/>
      </w:pPr>
      <w:r>
        <w:t>(Act No. 158 of December 13, 2002)</w:t>
      </w:r>
    </w:p>
    <w:p w:rsidR="00953277" w:rsidRDefault="00953277"/>
    <w:p w:rsidR="00953277" w:rsidRDefault="00D02859">
      <w:pPr>
        <w:pStyle w:val="en5"/>
      </w:pPr>
      <w:r>
        <w:t>Chapter I General Provisions (Articles 1 to 9)</w:t>
      </w:r>
    </w:p>
    <w:p w:rsidR="00953277" w:rsidRDefault="00D02859">
      <w:pPr>
        <w:pStyle w:val="en5"/>
      </w:pPr>
      <w:r>
        <w:t>Chapter II Officers and Employees (Articles 10 to 17)</w:t>
      </w:r>
    </w:p>
    <w:p w:rsidR="00953277" w:rsidRDefault="00D02859">
      <w:pPr>
        <w:pStyle w:val="en5"/>
      </w:pPr>
      <w:r>
        <w:t xml:space="preserve">Chapter III Operations </w:t>
      </w:r>
      <w:r>
        <w:t>(Articles 18 to 20)</w:t>
      </w:r>
    </w:p>
    <w:p w:rsidR="00953277" w:rsidRDefault="00D02859">
      <w:pPr>
        <w:pStyle w:val="en5"/>
      </w:pPr>
      <w:r>
        <w:t>Chapter IV Miscellaneous Provisions (Articles 21 to 25)</w:t>
      </w:r>
    </w:p>
    <w:p w:rsidR="00953277" w:rsidRDefault="00D02859">
      <w:pPr>
        <w:pStyle w:val="en5"/>
      </w:pPr>
      <w:r>
        <w:t>Chapter V Penal Provisions (Articles 26 to 28)</w:t>
      </w:r>
    </w:p>
    <w:p w:rsidR="00953277" w:rsidRDefault="00D02859">
      <w:pPr>
        <w:pStyle w:val="enc"/>
      </w:pPr>
      <w:r>
        <w:t>Supplementary Provisions</w:t>
      </w:r>
    </w:p>
    <w:p w:rsidR="00953277" w:rsidRDefault="00953277"/>
    <w:p w:rsidR="00953277" w:rsidRDefault="00D02859">
      <w:pPr>
        <w:pStyle w:val="en3"/>
      </w:pPr>
      <w:r>
        <w:t>Chapter I General Provisions</w:t>
      </w:r>
    </w:p>
    <w:p w:rsidR="00953277" w:rsidRDefault="00953277"/>
    <w:p w:rsidR="00953277" w:rsidRDefault="00D02859">
      <w:pPr>
        <w:pStyle w:val="ena"/>
      </w:pPr>
      <w:r>
        <w:t>(Purpose)</w:t>
      </w:r>
    </w:p>
    <w:p w:rsidR="00953277" w:rsidRDefault="00D02859">
      <w:pPr>
        <w:pStyle w:val="enf3"/>
      </w:pPr>
      <w:r>
        <w:t>Article 1  The purpose of this Act is to provide for matters concer</w:t>
      </w:r>
      <w:r>
        <w:t>ning the name, purpose, scope of operations, etc. of the Japan Science and Technology Agency, Research and Development Agency.</w:t>
      </w:r>
    </w:p>
    <w:p w:rsidR="00953277" w:rsidRDefault="00953277"/>
    <w:p w:rsidR="00953277" w:rsidRDefault="00D02859">
      <w:pPr>
        <w:pStyle w:val="ena"/>
      </w:pPr>
      <w:r>
        <w:t>(Definitions)</w:t>
      </w:r>
    </w:p>
    <w:p w:rsidR="00953277" w:rsidRDefault="00D02859">
      <w:pPr>
        <w:pStyle w:val="enf3"/>
      </w:pPr>
      <w:r>
        <w:t>Article 2  (1) The term "Advanced Technology" as used in this Act means the results of research and development (h</w:t>
      </w:r>
      <w:r>
        <w:t xml:space="preserve">ereinafter referred to as "R&amp;D") concerning science and technology (excluding that which exclusively concerns humanities; the same applies in the following paragraph, paragraph (3) and Article 18) that are significant for the national economy and have yet </w:t>
      </w:r>
      <w:r>
        <w:t>to be put into commercial use.</w:t>
      </w:r>
    </w:p>
    <w:p w:rsidR="00953277" w:rsidRDefault="00D02859">
      <w:pPr>
        <w:pStyle w:val="enf4"/>
      </w:pPr>
      <w:r>
        <w:t>(2) The term "Fundamental R&amp;D" as used in this Act means R&amp;D that falls under either of the following items:</w:t>
      </w:r>
    </w:p>
    <w:p w:rsidR="00953277" w:rsidRDefault="00D02859">
      <w:pPr>
        <w:pStyle w:val="enf6"/>
      </w:pPr>
      <w:r>
        <w:t>(i) Common R&amp;D concerning science and technology that will contribute to the creation of Advanced Technology; or</w:t>
      </w:r>
    </w:p>
    <w:p w:rsidR="00953277" w:rsidRDefault="00D02859">
      <w:pPr>
        <w:pStyle w:val="enf6"/>
      </w:pPr>
      <w:r>
        <w:t>(ii</w:t>
      </w:r>
      <w:r>
        <w:t>) Comprehensive R&amp;D concerning science and technology that will contribute to the creation of Advanced Technology and requires cooperation from a number of sectors.</w:t>
      </w:r>
    </w:p>
    <w:p w:rsidR="00953277" w:rsidRDefault="00D02859">
      <w:pPr>
        <w:pStyle w:val="enf4"/>
      </w:pPr>
      <w:r>
        <w:t>(3) The term "Commercialization Development" as used in this Act means to implement the res</w:t>
      </w:r>
      <w:r>
        <w:t>ults of R&amp;D concerning science and technology on a commercial scale so as to put them into commercial use.</w:t>
      </w:r>
    </w:p>
    <w:p w:rsidR="00953277" w:rsidRDefault="00D02859">
      <w:pPr>
        <w:pStyle w:val="enf4"/>
      </w:pPr>
      <w:r>
        <w:t>(4) The term "Scientific and Technological Information" as used in this Act means information concerning science and technology.</w:t>
      </w:r>
    </w:p>
    <w:p w:rsidR="00953277" w:rsidRDefault="00953277"/>
    <w:p w:rsidR="00953277" w:rsidRDefault="00D02859">
      <w:pPr>
        <w:pStyle w:val="ena"/>
      </w:pPr>
      <w:r>
        <w:t>(Name)</w:t>
      </w:r>
    </w:p>
    <w:p w:rsidR="00953277" w:rsidRDefault="00D02859">
      <w:pPr>
        <w:pStyle w:val="enf3"/>
      </w:pPr>
      <w:r>
        <w:lastRenderedPageBreak/>
        <w:t>Article 3  T</w:t>
      </w:r>
      <w:r>
        <w:t>he name of the incorporated administrative agency provided for in Article 2, paragraph (1) of the Act on General Rules for Incorporated Administrative Agencies (Act No. 103 of 1999; hereinafter referred to as the "Act on General Rules") that is to be estab</w:t>
      </w:r>
      <w:r>
        <w:t>lished as provided for by this Act and the Act on General Rules is the Japan Science and Technology Agency, National Research and Development Agency.</w:t>
      </w:r>
    </w:p>
    <w:p w:rsidR="00953277" w:rsidRDefault="00953277"/>
    <w:p w:rsidR="00953277" w:rsidRDefault="00D02859">
      <w:pPr>
        <w:pStyle w:val="ena"/>
      </w:pPr>
      <w:r>
        <w:t>(Purpose of the Agency)</w:t>
      </w:r>
    </w:p>
    <w:p w:rsidR="00953277" w:rsidRDefault="00D02859">
      <w:pPr>
        <w:pStyle w:val="enf3"/>
      </w:pPr>
      <w:r>
        <w:t xml:space="preserve">Article 4  The Japan Science and Technology Agency, National Research and </w:t>
      </w:r>
      <w:r>
        <w:t>Development Agency (hereinafter referred to as the "Agency") aims to advance science and technology by comprehensively performing operations such as basic research on science and technology (excluding that which solely concerns the humanities) that will co</w:t>
      </w:r>
      <w:r>
        <w:t>ntribute to the creation of Advanced Technology, fundamental R&amp;D, and commercialization development of advanced technology, as well as operations concerning the distribution of Scientific and Technological Information as the central agency concerning Scien</w:t>
      </w:r>
      <w:r>
        <w:t>tific and Technological Information in Japan, and other operations concerning infrastructure development for the purpose of promoting science and technology.</w:t>
      </w:r>
    </w:p>
    <w:p w:rsidR="00953277" w:rsidRDefault="00953277"/>
    <w:p w:rsidR="00953277" w:rsidRDefault="00D02859">
      <w:pPr>
        <w:pStyle w:val="ena"/>
      </w:pPr>
      <w:r>
        <w:t>(Office)</w:t>
      </w:r>
    </w:p>
    <w:p w:rsidR="00953277" w:rsidRDefault="00D02859">
      <w:pPr>
        <w:pStyle w:val="enf3"/>
      </w:pPr>
      <w:r>
        <w:t>Article 5  The Agency is to locate its principal office in Saitama Prefecture.</w:t>
      </w:r>
    </w:p>
    <w:p w:rsidR="00953277" w:rsidRDefault="00953277"/>
    <w:p w:rsidR="00953277" w:rsidRDefault="00D02859">
      <w:pPr>
        <w:pStyle w:val="ena"/>
      </w:pPr>
      <w:r>
        <w:t xml:space="preserve">(Stated </w:t>
      </w:r>
      <w:r>
        <w:t>Capital)</w:t>
      </w:r>
    </w:p>
    <w:p w:rsidR="00953277" w:rsidRDefault="00D02859">
      <w:pPr>
        <w:pStyle w:val="enf3"/>
      </w:pPr>
      <w:r>
        <w:t>Article 6  (1) The stated capital of the Agency is to be the total amount of the contributions that are considered to have been made by the government and persons other than the government pursuant to the provisions of Article 3, paragraphs (1), (</w:t>
      </w:r>
      <w:r>
        <w:t>2) and (5) of the Supplementary Provisions.</w:t>
      </w:r>
    </w:p>
    <w:p w:rsidR="00953277" w:rsidRDefault="00D02859">
      <w:pPr>
        <w:pStyle w:val="enf4"/>
      </w:pPr>
      <w:r>
        <w:t>(2) When necessary, the Agency may increase its stated capital with the permission of the Minister of Education, Culture, Sports, Science and Technology.</w:t>
      </w:r>
    </w:p>
    <w:p w:rsidR="00953277" w:rsidRDefault="00D02859">
      <w:pPr>
        <w:pStyle w:val="enf4"/>
      </w:pPr>
      <w:r>
        <w:t>(3) The government may make contributions to the Agency up</w:t>
      </w:r>
      <w:r>
        <w:t xml:space="preserve"> to an amount specified in the budget when the Agency increases its stated capital pursuant to the provisions of the preceding paragraph.</w:t>
      </w:r>
    </w:p>
    <w:p w:rsidR="00953277" w:rsidRDefault="00D02859">
      <w:pPr>
        <w:pStyle w:val="enf4"/>
      </w:pPr>
      <w:r>
        <w:t>(4) When the government makes contributions to the Agency, it may contribute land, buildings or other fixtures on land</w:t>
      </w:r>
      <w:r>
        <w:t xml:space="preserve"> (hereinafter referred to as "Land, etc." in this Article).</w:t>
      </w:r>
    </w:p>
    <w:p w:rsidR="00953277" w:rsidRDefault="00D02859">
      <w:pPr>
        <w:pStyle w:val="enf4"/>
      </w:pPr>
      <w:r>
        <w:t>(5) The value of the Land, etc. contributed pursuant to the provisions of the preceding paragraph is to be the value evaluated by evaluation committee members on the basis of the market value on t</w:t>
      </w:r>
      <w:r>
        <w:t>he date of the contribution.</w:t>
      </w:r>
    </w:p>
    <w:p w:rsidR="00953277" w:rsidRDefault="00D02859">
      <w:pPr>
        <w:pStyle w:val="enf4"/>
      </w:pPr>
      <w:r>
        <w:t xml:space="preserve">(6) The evaluation committee members referred to in the preceding paragraph </w:t>
      </w:r>
      <w:r>
        <w:lastRenderedPageBreak/>
        <w:t>and other necessary matters concerning evaluation are specified by Cabinet Order.</w:t>
      </w:r>
    </w:p>
    <w:p w:rsidR="00953277" w:rsidRDefault="00D02859">
      <w:pPr>
        <w:pStyle w:val="enf4"/>
      </w:pPr>
      <w:r>
        <w:t xml:space="preserve">(7) When the government and persons other than the government intend </w:t>
      </w:r>
      <w:r>
        <w:t>to make contributions to the Agency with the permission provided for in paragraph (2), they are to present the amount (where they intend to make contributions in the form of Land, etc., the L and, etc.) to be allocated to necessary funds for the operations</w:t>
      </w:r>
      <w:r>
        <w:t xml:space="preserve"> listed in Article 18, item (v) pertaining to documents (including operations incidental thereto) that are specified by Cabinet Order (hereinafter referred to as "Operations to Provide Document Information") and other operations, respectively.</w:t>
      </w:r>
    </w:p>
    <w:p w:rsidR="00953277" w:rsidRDefault="00953277"/>
    <w:p w:rsidR="00953277" w:rsidRDefault="00D02859">
      <w:pPr>
        <w:pStyle w:val="ena"/>
      </w:pPr>
      <w:r>
        <w:t>(Investment</w:t>
      </w:r>
      <w:r>
        <w:t xml:space="preserve"> Securities)</w:t>
      </w:r>
    </w:p>
    <w:p w:rsidR="00953277" w:rsidRDefault="00D02859">
      <w:pPr>
        <w:pStyle w:val="enf3"/>
      </w:pPr>
      <w:r>
        <w:t>Article 7  (1) The Agency is to issue investment securities for contributions received.</w:t>
      </w:r>
    </w:p>
    <w:p w:rsidR="00953277" w:rsidRDefault="00D02859">
      <w:pPr>
        <w:pStyle w:val="enf4"/>
      </w:pPr>
      <w:r>
        <w:t>(2) The investment securities are to be registered.</w:t>
      </w:r>
    </w:p>
    <w:p w:rsidR="00953277" w:rsidRDefault="00D02859">
      <w:pPr>
        <w:pStyle w:val="enf4"/>
      </w:pPr>
      <w:r>
        <w:t>(3) In addition to what is provided for in the preceding paragraph, necessary matters concerning invest</w:t>
      </w:r>
      <w:r>
        <w:t>ment securities are specified by Cabinet Order.</w:t>
      </w:r>
    </w:p>
    <w:p w:rsidR="00953277" w:rsidRDefault="00953277"/>
    <w:p w:rsidR="00953277" w:rsidRDefault="00D02859">
      <w:pPr>
        <w:pStyle w:val="ena"/>
      </w:pPr>
      <w:r>
        <w:t>(Prohibition of Return of Equity Interests)</w:t>
      </w:r>
    </w:p>
    <w:p w:rsidR="00953277" w:rsidRDefault="00D02859">
      <w:pPr>
        <w:pStyle w:val="enf3"/>
      </w:pPr>
      <w:r>
        <w:t>Article 8  (1) The Agency may not return equity interests to contributors. except when it makes payment to the national treasury pursuant to the provisions of Arti</w:t>
      </w:r>
      <w:r>
        <w:t>cle 46-2, paragraph (1) or (2) of the Act on General Rules or returns equity interest pursuant to the provisions of Article 46-3, paragraph (3) of the Act on General Rules.</w:t>
      </w:r>
    </w:p>
    <w:p w:rsidR="00953277" w:rsidRDefault="00D02859">
      <w:pPr>
        <w:pStyle w:val="enf4"/>
      </w:pPr>
      <w:r>
        <w:t>(2) The Agency may neither acquire equity interests of contributors nor receive the</w:t>
      </w:r>
      <w:r>
        <w:t>m as the subject of a pledge.</w:t>
      </w:r>
    </w:p>
    <w:p w:rsidR="00953277" w:rsidRDefault="00953277"/>
    <w:p w:rsidR="00953277" w:rsidRDefault="00D02859">
      <w:pPr>
        <w:pStyle w:val="ena"/>
      </w:pPr>
      <w:r>
        <w:t>(Restriction on Use of the Name)</w:t>
      </w:r>
    </w:p>
    <w:p w:rsidR="00953277" w:rsidRDefault="00D02859">
      <w:pPr>
        <w:pStyle w:val="enf3"/>
      </w:pPr>
      <w:r>
        <w:t>Article 9  No person other than the Agency may use the name of the "</w:t>
      </w:r>
      <w:r>
        <w:t>科学技術振興機構</w:t>
      </w:r>
      <w:r>
        <w:t>"(with a pronunciation of "kagaku-gijyutu-shinkou-kikou"and with a literal meaning of " Japan Science and Technology</w:t>
      </w:r>
      <w:r>
        <w:t xml:space="preserve"> Agency").</w:t>
      </w:r>
    </w:p>
    <w:p w:rsidR="00953277" w:rsidRDefault="00953277"/>
    <w:p w:rsidR="00953277" w:rsidRDefault="00D02859">
      <w:pPr>
        <w:pStyle w:val="en3"/>
      </w:pPr>
      <w:r>
        <w:t>Chapter II Officers and Employees</w:t>
      </w:r>
    </w:p>
    <w:p w:rsidR="00953277" w:rsidRDefault="00953277"/>
    <w:p w:rsidR="00953277" w:rsidRDefault="00D02859">
      <w:pPr>
        <w:pStyle w:val="ena"/>
      </w:pPr>
      <w:r>
        <w:t>(Officers)</w:t>
      </w:r>
    </w:p>
    <w:p w:rsidR="00953277" w:rsidRDefault="00D02859">
      <w:pPr>
        <w:pStyle w:val="enf3"/>
      </w:pPr>
      <w:r>
        <w:t>Article 10  (1) The Agency is to have, as its officers, one president as its head and two auditors.</w:t>
      </w:r>
    </w:p>
    <w:p w:rsidR="00953277" w:rsidRDefault="00D02859">
      <w:pPr>
        <w:pStyle w:val="enf4"/>
      </w:pPr>
      <w:r>
        <w:t>(2) The Agency may have up to four directors as its officers.</w:t>
      </w:r>
    </w:p>
    <w:p w:rsidR="00953277" w:rsidRDefault="00953277"/>
    <w:p w:rsidR="00953277" w:rsidRDefault="00D02859">
      <w:pPr>
        <w:pStyle w:val="ena"/>
      </w:pPr>
      <w:r>
        <w:t xml:space="preserve">(Duties and Authority of </w:t>
      </w:r>
      <w:r>
        <w:t>Directors)</w:t>
      </w:r>
    </w:p>
    <w:p w:rsidR="00953277" w:rsidRDefault="00D02859">
      <w:pPr>
        <w:pStyle w:val="enf3"/>
      </w:pPr>
      <w:r>
        <w:t>Article 11  (1) Directors, under the direction of the president, are to administer the operations of the Agency, assisting the president.</w:t>
      </w:r>
    </w:p>
    <w:p w:rsidR="00953277" w:rsidRDefault="00D02859">
      <w:pPr>
        <w:pStyle w:val="enf4"/>
      </w:pPr>
      <w:r>
        <w:t>(2) An officer provided for by the individual Acts provided in Article 19, paragraph (2) of the Act on Gene</w:t>
      </w:r>
      <w:r>
        <w:t>ral Rules is to be a director; provided, however, that when there are no directors, such officer is to be an auditor.</w:t>
      </w:r>
    </w:p>
    <w:p w:rsidR="00953277" w:rsidRDefault="00D02859">
      <w:pPr>
        <w:pStyle w:val="enf4"/>
      </w:pPr>
      <w:r>
        <w:t>(3) In the case referred to in the proviso to the preceding paragraph, an auditor who represents or performs the duties of the president p</w:t>
      </w:r>
      <w:r>
        <w:t>ursuant to the provisions of Article 19, paragraph (2) of the Act on General Rules must not perform the duties as an auditor at the same time.</w:t>
      </w:r>
    </w:p>
    <w:p w:rsidR="00953277" w:rsidRDefault="00953277"/>
    <w:p w:rsidR="00953277" w:rsidRDefault="00D02859">
      <w:pPr>
        <w:pStyle w:val="ena"/>
      </w:pPr>
      <w:r>
        <w:t>(Term of Office for Officers)</w:t>
      </w:r>
    </w:p>
    <w:p w:rsidR="00953277" w:rsidRDefault="00D02859">
      <w:pPr>
        <w:pStyle w:val="enf3"/>
      </w:pPr>
      <w:r>
        <w:t>Article 12  The term of office of the president is two years.</w:t>
      </w:r>
    </w:p>
    <w:p w:rsidR="00953277" w:rsidRDefault="00953277"/>
    <w:p w:rsidR="00953277" w:rsidRDefault="00D02859">
      <w:pPr>
        <w:pStyle w:val="ena"/>
      </w:pPr>
      <w:r>
        <w:t xml:space="preserve">(Special </w:t>
      </w:r>
      <w:r>
        <w:t>Provisions for Disqualification of Officers)</w:t>
      </w:r>
    </w:p>
    <w:p w:rsidR="00953277" w:rsidRDefault="00D02859">
      <w:pPr>
        <w:pStyle w:val="enf3"/>
      </w:pPr>
      <w:r>
        <w:t>Article 13  Public officers in the field of education or research specified by Cabinet Order (excluding persons falling under either of the items of the following Article) may become part-time directors or audit</w:t>
      </w:r>
      <w:r>
        <w:t>ors, notwithstanding the provisions of Article 22 of the Act on General Rules.</w:t>
      </w:r>
    </w:p>
    <w:p w:rsidR="00953277" w:rsidRDefault="00953277"/>
    <w:p w:rsidR="00953277" w:rsidRDefault="00D02859">
      <w:pPr>
        <w:pStyle w:val="enf3"/>
      </w:pPr>
      <w:r>
        <w:t>Article 14  (1) Beyond what is provided for in Article 22 of the Act on General Rules, persons falling under either of the following items may not become officers.</w:t>
      </w:r>
    </w:p>
    <w:p w:rsidR="00953277" w:rsidRDefault="00D02859">
      <w:pPr>
        <w:pStyle w:val="enf5"/>
      </w:pPr>
      <w:r>
        <w:t>A person eng</w:t>
      </w:r>
      <w:r>
        <w:t>aging in the manufacture or sale of goods or undertaking contract work and having close business connections with the Agency, or when such person is a corporation, an officer thereof (including a person who has equal or greater authority or controlling pow</w:t>
      </w:r>
      <w:r>
        <w:t>er, irrespective of the person's title).</w:t>
      </w:r>
    </w:p>
    <w:p w:rsidR="00953277" w:rsidRDefault="00D02859">
      <w:pPr>
        <w:pStyle w:val="enf4"/>
      </w:pPr>
      <w:r>
        <w:t>(2) An officer of any association of business operators mentioned in the preceding item (including a person who has equal or greater authority or controlling power, irrespective of the person's title).</w:t>
      </w:r>
    </w:p>
    <w:p w:rsidR="00953277" w:rsidRDefault="00953277"/>
    <w:p w:rsidR="00953277" w:rsidRDefault="00D02859">
      <w:pPr>
        <w:pStyle w:val="enf3"/>
      </w:pPr>
      <w:r>
        <w:t xml:space="preserve">Article 15  </w:t>
      </w:r>
      <w:r>
        <w:t>(1) With regard to the application of the provisions of Article 23, paragraph (1) of the Act on General Rules concerning the dismissal of the president of the Agency, the term "the preceding Article" in the paragraph is deemed to be replaced with "the prec</w:t>
      </w:r>
      <w:r>
        <w:t>eding Article and Article 14 of the Act on Japan Science and Technology Agency, National Research and Development Agency."</w:t>
      </w:r>
    </w:p>
    <w:p w:rsidR="00953277" w:rsidRDefault="00D02859">
      <w:pPr>
        <w:pStyle w:val="enf4"/>
      </w:pPr>
      <w:r>
        <w:t>(2) With regard to the application of the provisions of Article 23, paragraph (1) of the Act on General Rules concerning the dismissa</w:t>
      </w:r>
      <w:r>
        <w:t>l of directors and auditors of the Agency, the term "the preceding Article" in the paragraph is deemed to be replaced with "the preceding Article and Article 13 and Article 14 of the Act on Japan Science and Technology Agency, National Research and Develop</w:t>
      </w:r>
      <w:r>
        <w:t>ment Agency."</w:t>
      </w:r>
    </w:p>
    <w:p w:rsidR="00953277" w:rsidRDefault="00953277"/>
    <w:p w:rsidR="00953277" w:rsidRDefault="00D02859">
      <w:pPr>
        <w:pStyle w:val="ena"/>
      </w:pPr>
      <w:r>
        <w:t>(Confidentiality Obligations of Officers and Employees)</w:t>
      </w:r>
    </w:p>
    <w:p w:rsidR="00953277" w:rsidRDefault="00D02859">
      <w:pPr>
        <w:pStyle w:val="enf3"/>
      </w:pPr>
      <w:r>
        <w:t>Article 16  Officers and employees of the Agency must not divulge or misappropriate any secret that has come to their knowledge in the course of their work related to the operations lis</w:t>
      </w:r>
      <w:r>
        <w:t>ted in items (i) to (iv), (vi), and (vii) of Article 18. The same applies even after they have left their position.</w:t>
      </w:r>
    </w:p>
    <w:p w:rsidR="00953277" w:rsidRDefault="00953277"/>
    <w:p w:rsidR="00953277" w:rsidRDefault="00D02859">
      <w:pPr>
        <w:pStyle w:val="ena"/>
      </w:pPr>
      <w:r>
        <w:t>(Status of Officers and Employees)</w:t>
      </w:r>
    </w:p>
    <w:p w:rsidR="00953277" w:rsidRDefault="00D02859">
      <w:pPr>
        <w:pStyle w:val="enf3"/>
      </w:pPr>
      <w:r>
        <w:t>Article 17  Officers and employees of the Agency are deemed to be employees engaged in public service pu</w:t>
      </w:r>
      <w:r>
        <w:t>rsuant to laws and regulations, with regard to the application of the Penal Code (Act No. 45 of 1907) and other penal provisions.</w:t>
      </w:r>
    </w:p>
    <w:p w:rsidR="00953277" w:rsidRDefault="00953277"/>
    <w:p w:rsidR="00953277" w:rsidRDefault="00D02859">
      <w:pPr>
        <w:pStyle w:val="en3"/>
      </w:pPr>
      <w:r>
        <w:t>Chapter III Operations</w:t>
      </w:r>
    </w:p>
    <w:p w:rsidR="00953277" w:rsidRDefault="00953277"/>
    <w:p w:rsidR="00953277" w:rsidRDefault="00D02859">
      <w:pPr>
        <w:pStyle w:val="ena"/>
      </w:pPr>
      <w:r>
        <w:t>(Scope of Operations)</w:t>
      </w:r>
    </w:p>
    <w:p w:rsidR="00953277" w:rsidRDefault="00D02859">
      <w:pPr>
        <w:pStyle w:val="enf3"/>
      </w:pPr>
      <w:r>
        <w:t xml:space="preserve">Article 18  The Agency is to perform the following operations to attain the </w:t>
      </w:r>
      <w:r>
        <w:t>objective stated in Article 4:</w:t>
      </w:r>
    </w:p>
    <w:p w:rsidR="00953277" w:rsidRDefault="00D02859">
      <w:pPr>
        <w:pStyle w:val="enf6"/>
      </w:pPr>
      <w:r>
        <w:t>(i) conducting basic research and fundamental R&amp;D concerning science and technology that will contribute to the creation of Advanced Technology;</w:t>
      </w:r>
    </w:p>
    <w:p w:rsidR="00953277" w:rsidRDefault="00D02859">
      <w:pPr>
        <w:pStyle w:val="enf6"/>
      </w:pPr>
      <w:r>
        <w:t>(ii) conducting Commercialization Development for Advanced Technology that is ex</w:t>
      </w:r>
      <w:r>
        <w:t>tremely difficult to put into commercial use, by way of consigning it to private companies, etc.;</w:t>
      </w:r>
    </w:p>
    <w:p w:rsidR="00953277" w:rsidRDefault="00D02859">
      <w:pPr>
        <w:pStyle w:val="enf6"/>
      </w:pPr>
      <w:r>
        <w:t>(iii) disseminating the results obtained by conducting the operations listed in the preceding two items and promoting their utilization;</w:t>
      </w:r>
    </w:p>
    <w:p w:rsidR="00953277" w:rsidRDefault="00D02859">
      <w:pPr>
        <w:pStyle w:val="enf6"/>
      </w:pPr>
      <w:r>
        <w:t>(iv) encouraging priv</w:t>
      </w:r>
      <w:r>
        <w:t>ate companies, etc. to conduct Commercialization Development of Advanced Technology;</w:t>
      </w:r>
    </w:p>
    <w:p w:rsidR="00953277" w:rsidRDefault="00D02859">
      <w:pPr>
        <w:pStyle w:val="enf6"/>
      </w:pPr>
      <w:r>
        <w:t>(v) collecting, compiling, and preserving domestic and foreign Scientific and Technological Information, and providing and making such information available for public ins</w:t>
      </w:r>
      <w:r>
        <w:t>pection;</w:t>
      </w:r>
    </w:p>
    <w:p w:rsidR="00953277" w:rsidRDefault="00D02859">
      <w:pPr>
        <w:pStyle w:val="enf6"/>
      </w:pPr>
      <w:r>
        <w:t>(vi) performing the following operations concerning R&amp;D-related exchanges concerning science and technology (excluding operations related to research at universities);</w:t>
      </w:r>
    </w:p>
    <w:p w:rsidR="00953277" w:rsidRDefault="00D02859">
      <w:pPr>
        <w:pStyle w:val="enf9"/>
      </w:pPr>
      <w:r>
        <w:t>(a) The holding of meetings on research, establishment and management of accomm</w:t>
      </w:r>
      <w:r>
        <w:t>odations for foreign researchers, and other operations to promote exchanges of researchers.</w:t>
      </w:r>
    </w:p>
    <w:p w:rsidR="00953277" w:rsidRDefault="00D02859">
      <w:pPr>
        <w:pStyle w:val="enf9"/>
      </w:pPr>
      <w:r>
        <w:t>(b) operations to encourage joint R&amp;D concerning science and technology (excluding joint R&amp;D conducted among profit-making entities).</w:t>
      </w:r>
    </w:p>
    <w:p w:rsidR="00953277" w:rsidRDefault="00D02859">
      <w:pPr>
        <w:pStyle w:val="enf6"/>
      </w:pPr>
      <w:r>
        <w:t>(vii) beyond what are listed i</w:t>
      </w:r>
      <w:r>
        <w:t>n the preceding two items, offering necessary human and technical assistance and providing materials and equipment for developing an environment to advance R&amp;D concerning science and technology (excluding duties related to research at universities);</w:t>
      </w:r>
    </w:p>
    <w:p w:rsidR="00953277" w:rsidRDefault="00D02859">
      <w:pPr>
        <w:pStyle w:val="enf6"/>
      </w:pPr>
      <w:r>
        <w:t>(viii)</w:t>
      </w:r>
      <w:r>
        <w:t xml:space="preserve"> disseminating knowledge and enhancing people's interest and understanding on science and technology; and</w:t>
      </w:r>
    </w:p>
    <w:p w:rsidR="00953277" w:rsidRDefault="00D02859">
      <w:pPr>
        <w:pStyle w:val="enf6"/>
      </w:pPr>
      <w:r>
        <w:t>(ix) performing operations incidental to the operations stated in the preceding items.</w:t>
      </w:r>
    </w:p>
    <w:p w:rsidR="00953277" w:rsidRDefault="00953277"/>
    <w:p w:rsidR="00953277" w:rsidRDefault="00D02859">
      <w:pPr>
        <w:pStyle w:val="ena"/>
      </w:pPr>
      <w:r>
        <w:t>(Separate Accounting)</w:t>
      </w:r>
    </w:p>
    <w:p w:rsidR="00953277" w:rsidRDefault="00D02859">
      <w:pPr>
        <w:pStyle w:val="enf3"/>
      </w:pPr>
      <w:r>
        <w:t>Article 19  The Agency must separate the</w:t>
      </w:r>
      <w:r>
        <w:t xml:space="preserve"> accounting related to the Operations to Provide Document Information from other accounting, and prepare and separate a special account (hereinafter referred to as the "Account for the Operations to Provide Document Information").</w:t>
      </w:r>
    </w:p>
    <w:p w:rsidR="00953277" w:rsidRDefault="00953277"/>
    <w:p w:rsidR="00953277" w:rsidRDefault="00D02859">
      <w:pPr>
        <w:pStyle w:val="ena"/>
      </w:pPr>
      <w:r>
        <w:t xml:space="preserve">(Special Provisions for </w:t>
      </w:r>
      <w:r>
        <w:t>Disposition of Profit and Loss)</w:t>
      </w:r>
    </w:p>
    <w:p w:rsidR="00953277" w:rsidRDefault="00D02859">
      <w:pPr>
        <w:pStyle w:val="enf3"/>
      </w:pPr>
      <w:r>
        <w:t>Article 20  (1) When the Agency has settled a general account other than the Account for the Operations to Provide Document Information (hereinafter referred to as the "General Account") pursuant to the provisions of paragra</w:t>
      </w:r>
      <w:r>
        <w:t>ph (1) or paragraph (2) of Article 44 of the Act on General Rules for the final business year of the period for the mid-term target provided for in Article 29, paragraph (2), item (i) of the Act on General Rules (hereinafter referred to as the "term for th</w:t>
      </w:r>
      <w:r>
        <w:t>e mid-term target" in this paragraph), and there remains a reserve fund under Article 44, paragraph (1) of the Act, the Agency may allocate the portion of the amount equivalent to the amount of the reserve fund that has been approved by the Minister of Edu</w:t>
      </w:r>
      <w:r>
        <w:t xml:space="preserve">cation, Culture, Sports, Science and Technology to the operations provided for in Article 18 (excluding the Operations to Provide Document Information) during the next term for the mid-term target, in accordance with the mid-term plan approved as provided </w:t>
      </w:r>
      <w:r>
        <w:t>for in Article 30, paragraph (1) of the Act on General Rules for that next term for the mid-term target (when having obtained permission for a change pursuant to the provisions of the second sentence of the paragraph, in accordance with the revised plan).</w:t>
      </w:r>
    </w:p>
    <w:p w:rsidR="00953277" w:rsidRDefault="00D02859">
      <w:pPr>
        <w:pStyle w:val="enf4"/>
      </w:pPr>
      <w:r>
        <w:t>(2) When the Minister of Education, Culture, Sports, Science and Technology intends to grant approval pursuant to the provisions of the preceding paragraph, the minister must consult with the Minister of Finance.</w:t>
      </w:r>
    </w:p>
    <w:p w:rsidR="00953277" w:rsidRDefault="00D02859">
      <w:pPr>
        <w:pStyle w:val="enf4"/>
      </w:pPr>
      <w:r>
        <w:t>(3) When any surplus remains after deductin</w:t>
      </w:r>
      <w:r>
        <w:t>g the amount approved pursuant to the provisions of paragraph (1) from the amount equivalent to the amount of the reserve fund provided for in the paragraph, the Agency must pay the remaining surplus to the national treasury.</w:t>
      </w:r>
    </w:p>
    <w:p w:rsidR="00953277" w:rsidRDefault="00D02859">
      <w:pPr>
        <w:pStyle w:val="enf4"/>
      </w:pPr>
      <w:r>
        <w:t>(4) With regard to the applica</w:t>
      </w:r>
      <w:r>
        <w:t>tion of the provisions of the proviso to Article 44, paragraph (1) of the Act on General Rules in the account for the operations to provide document information, the phrase "if the remaining surplus is to be appropriated for the purpose set forth in paragr</w:t>
      </w:r>
      <w:r>
        <w:t xml:space="preserve">aph (3) pursuant to the provisions of the paragraph" in the paragraph is deemed to be replaced with "if the Agency is to pay the amount calculated as specified by Cabinet Order to the national treasury or where the remaining surplus is to be allocated for </w:t>
      </w:r>
      <w:r>
        <w:t>the purpose provided for in paragraph (3) pursuant to the provisions of the paragraph."</w:t>
      </w:r>
    </w:p>
    <w:p w:rsidR="00953277" w:rsidRDefault="00D02859">
      <w:pPr>
        <w:pStyle w:val="enf4"/>
      </w:pPr>
      <w:r>
        <w:t>(5) The provisions of paragraphs (1) to (3) apply mutatis mutandis to the disposition of a reserve fund in the account for the Operations to Provide Document Informatio</w:t>
      </w:r>
      <w:r>
        <w:t>n. In this case, the phrase "Article 44, paragraph (1) of the Act on General Rules" in paragraph (1) is deemed to be replaced with "Article 44, paragraph (1) of the Act on General Rules as replaced pursuant to the provisions of paragraph (4)" and the phras</w:t>
      </w:r>
      <w:r>
        <w:t>e "the operations provided for in Article 18 (excluding the Operations to Provide Document Information)" in paragraph (1) is deemed to be replaced with "the Operations to Provide Document Information."</w:t>
      </w:r>
    </w:p>
    <w:p w:rsidR="00953277" w:rsidRDefault="00D02859">
      <w:pPr>
        <w:pStyle w:val="enf4"/>
      </w:pPr>
      <w:r>
        <w:t>(6) Beyond what are provided for in the preceding para</w:t>
      </w:r>
      <w:r>
        <w:t>graphs, the procedures for making payment and other necessary matters concerning the disposition of a reserve fund are specified by Cabinet Order.</w:t>
      </w:r>
    </w:p>
    <w:p w:rsidR="00953277" w:rsidRDefault="00953277"/>
    <w:p w:rsidR="00953277" w:rsidRDefault="00D02859">
      <w:pPr>
        <w:pStyle w:val="en3"/>
      </w:pPr>
      <w:r>
        <w:t>Chapter IV Miscellaneous Provisions</w:t>
      </w:r>
    </w:p>
    <w:p w:rsidR="00953277" w:rsidRDefault="00953277"/>
    <w:p w:rsidR="00953277" w:rsidRDefault="00D02859">
      <w:pPr>
        <w:pStyle w:val="ena"/>
      </w:pPr>
      <w:r>
        <w:t>(Cooperation of the Heads of Relevant Administrative Organs)</w:t>
      </w:r>
    </w:p>
    <w:p w:rsidR="00953277" w:rsidRDefault="00D02859">
      <w:pPr>
        <w:pStyle w:val="enf3"/>
      </w:pPr>
      <w:r>
        <w:t>Article 21  The heads of relevant administrative organs are to cooperate with the Agency in the collection of Scientific and Technological Information to the extent possible.</w:t>
      </w:r>
    </w:p>
    <w:p w:rsidR="00953277" w:rsidRDefault="00953277"/>
    <w:p w:rsidR="00953277" w:rsidRDefault="00D02859">
      <w:pPr>
        <w:pStyle w:val="ena"/>
      </w:pPr>
      <w:r>
        <w:t>(Distribution of Residual Assets at the Time of Dissolution of the Agency)</w:t>
      </w:r>
    </w:p>
    <w:p w:rsidR="00953277" w:rsidRDefault="00D02859">
      <w:pPr>
        <w:pStyle w:val="enf3"/>
      </w:pPr>
      <w:r>
        <w:t>Artic</w:t>
      </w:r>
      <w:r>
        <w:t xml:space="preserve">le 22  (1) When the Agency has dissolved and has any residual assets after repaying all debts, it is to distribute a portion of the residual assets equivalent to the amount included in the account for the Operations to Provide Document Information to each </w:t>
      </w:r>
      <w:r>
        <w:t>contributor related to the Account for Operations to Provide Document Information, and a portion of the residual assets equivalent to the amount included in the general account to each contributor related to the General Account, in accordance with the amou</w:t>
      </w:r>
      <w:r>
        <w:t>nt of each contribution.</w:t>
      </w:r>
    </w:p>
    <w:p w:rsidR="00953277" w:rsidRDefault="00D02859">
      <w:pPr>
        <w:pStyle w:val="enf4"/>
      </w:pPr>
      <w:r>
        <w:t>(2) The amount that may be distributed to each contributor pursuant to the provisions of the preceding paragraph may not exceed the amount of each contribution.</w:t>
      </w:r>
    </w:p>
    <w:p w:rsidR="00953277" w:rsidRDefault="00D02859">
      <w:pPr>
        <w:pStyle w:val="enf4"/>
      </w:pPr>
      <w:r>
        <w:t>(3) When residual assets still remain in the account for the Operation</w:t>
      </w:r>
      <w:r>
        <w:t>s to Provide Document Information as a result of the distribution under paragraph (1), the residual assets are to be vested in the national treasury.</w:t>
      </w:r>
    </w:p>
    <w:p w:rsidR="00953277" w:rsidRDefault="00953277"/>
    <w:p w:rsidR="00953277" w:rsidRDefault="00D02859">
      <w:pPr>
        <w:pStyle w:val="ena"/>
      </w:pPr>
      <w:r>
        <w:t>(Competent Minister)</w:t>
      </w:r>
    </w:p>
    <w:p w:rsidR="00953277" w:rsidRDefault="00D02859">
      <w:pPr>
        <w:pStyle w:val="enf3"/>
      </w:pPr>
      <w:r>
        <w:t>Article 23  The competent minister, competent ministry, and ordinance of the compete</w:t>
      </w:r>
      <w:r>
        <w:t>nt ministry in the Act on General Rules applicable to the Agency are the Minister of Education, Culture, Sports, Science and Technology, the Ministry of Education, Culture, Sports, Science and Technology, and Order of the that ministry, respectively.</w:t>
      </w:r>
    </w:p>
    <w:p w:rsidR="00953277" w:rsidRDefault="00953277"/>
    <w:p w:rsidR="00953277" w:rsidRDefault="00D02859">
      <w:pPr>
        <w:pStyle w:val="enf3"/>
      </w:pPr>
      <w:r>
        <w:t>Arti</w:t>
      </w:r>
      <w:r>
        <w:t>cle 24  Deleted.</w:t>
      </w:r>
    </w:p>
    <w:p w:rsidR="00953277" w:rsidRDefault="00953277"/>
    <w:p w:rsidR="00953277" w:rsidRDefault="00D02859">
      <w:pPr>
        <w:pStyle w:val="ena"/>
      </w:pPr>
      <w:r>
        <w:t>(Exclusion of Application of the National Public Officers' Housing Act)</w:t>
      </w:r>
    </w:p>
    <w:p w:rsidR="00953277" w:rsidRDefault="00D02859">
      <w:pPr>
        <w:pStyle w:val="enf3"/>
      </w:pPr>
      <w:r>
        <w:t>Article 25  The provisions of the National Public Officers' Housing Act (Act No. 117 of 1949) do not apply to the officers and employees of the Agency.</w:t>
      </w:r>
    </w:p>
    <w:p w:rsidR="00953277" w:rsidRDefault="00953277"/>
    <w:p w:rsidR="00953277" w:rsidRDefault="00D02859">
      <w:pPr>
        <w:pStyle w:val="en3"/>
      </w:pPr>
      <w:r>
        <w:t>Chapter V Pen</w:t>
      </w:r>
      <w:r>
        <w:t>al Provisions</w:t>
      </w:r>
    </w:p>
    <w:p w:rsidR="00953277" w:rsidRDefault="00953277"/>
    <w:p w:rsidR="00953277" w:rsidRDefault="00D02859">
      <w:pPr>
        <w:pStyle w:val="enf3"/>
      </w:pPr>
      <w:r>
        <w:t>Article 26  Any person who has violated the provisions of Article 16 is punished by imprisonment with required labor for not more than one year or a fine not exceeding 500,000 yen.</w:t>
      </w:r>
    </w:p>
    <w:p w:rsidR="00953277" w:rsidRDefault="00953277"/>
    <w:p w:rsidR="00953277" w:rsidRDefault="00D02859">
      <w:pPr>
        <w:pStyle w:val="enf3"/>
      </w:pPr>
      <w:r>
        <w:t>Article 27  An officer of the Agency who commits any violat</w:t>
      </w:r>
      <w:r>
        <w:t>ion listed below is punished by a non-criminal fine of not more than 200,000 yen:</w:t>
      </w:r>
    </w:p>
    <w:p w:rsidR="00953277" w:rsidRDefault="00D02859">
      <w:pPr>
        <w:pStyle w:val="enf6"/>
      </w:pPr>
      <w:r>
        <w:t xml:space="preserve">(i) failure to obtain permission or approval from the Minister of Education, Culture, Sports, Science and Technology where such permission or approval is required </w:t>
      </w:r>
      <w:r>
        <w:t>pursuant to the provisions of this Act; or</w:t>
      </w:r>
    </w:p>
    <w:p w:rsidR="00953277" w:rsidRDefault="00D02859">
      <w:pPr>
        <w:pStyle w:val="enf6"/>
      </w:pPr>
      <w:r>
        <w:t>(ii) using the Agency for operations other than those provided for in Article 18.</w:t>
      </w:r>
    </w:p>
    <w:p w:rsidR="00953277" w:rsidRDefault="00953277"/>
    <w:p w:rsidR="00953277" w:rsidRDefault="00D02859">
      <w:pPr>
        <w:pStyle w:val="enf3"/>
      </w:pPr>
      <w:r>
        <w:t>Article 28  Any person who violates the provisions of Article 9 is punished by a non-criminal fine not exceeding 100,000 yen.</w:t>
      </w:r>
    </w:p>
    <w:p w:rsidR="00953277" w:rsidRDefault="00953277"/>
    <w:p w:rsidR="00953277" w:rsidRDefault="00D02859">
      <w:pPr>
        <w:pStyle w:val="en2"/>
      </w:pPr>
      <w:r>
        <w:t>Supplementary Provisions  [Extract]</w:t>
      </w:r>
    </w:p>
    <w:p w:rsidR="00953277" w:rsidRDefault="00953277"/>
    <w:p w:rsidR="00953277" w:rsidRDefault="00D02859">
      <w:pPr>
        <w:pStyle w:val="ena"/>
      </w:pPr>
      <w:r>
        <w:t>(Effective Date)</w:t>
      </w:r>
    </w:p>
    <w:p w:rsidR="00953277" w:rsidRDefault="00D02859">
      <w:pPr>
        <w:pStyle w:val="enf3"/>
      </w:pPr>
      <w:r>
        <w:t>Article 1  This Act comes into effect as of the date of promulgation; provided, however, that the provisions listed in the following items come into effect as of the date specified in the relevant items</w:t>
      </w:r>
      <w:r>
        <w:t>:</w:t>
      </w:r>
    </w:p>
    <w:p w:rsidR="00953277" w:rsidRDefault="00D02859">
      <w:pPr>
        <w:pStyle w:val="enf6"/>
      </w:pPr>
      <w:r>
        <w:t>(i) the provisions of Article 6 to Article 9 and Article 11 of the Supplementary Provisions: October 1, 2003.</w:t>
      </w:r>
    </w:p>
    <w:p w:rsidR="00953277" w:rsidRDefault="00953277"/>
    <w:p w:rsidR="00953277" w:rsidRDefault="00D02859">
      <w:pPr>
        <w:pStyle w:val="ena"/>
      </w:pPr>
      <w:r>
        <w:t>(Dissolution of the Corporation)</w:t>
      </w:r>
    </w:p>
    <w:p w:rsidR="00953277" w:rsidRDefault="00D02859">
      <w:pPr>
        <w:pStyle w:val="enf3"/>
      </w:pPr>
      <w:r>
        <w:t>Article 2  (1) The Japan Science and Technology Corporation (hereinafter referred to as the "Corporation") wil</w:t>
      </w:r>
      <w:r>
        <w:t>l dissolve at the time of the establishment of the Agency, and the Agency will succeed to all the rights and obligations of the Corporation as of that time, except for the assets that the national government succeeds to pursuant to the provisions of the fo</w:t>
      </w:r>
      <w:r>
        <w:t>llowing paragraph.</w:t>
      </w:r>
    </w:p>
    <w:p w:rsidR="00953277" w:rsidRDefault="00D02859">
      <w:pPr>
        <w:pStyle w:val="enf4"/>
      </w:pPr>
      <w:r>
        <w:t>(2) With regard to the rights possessed by the Corporation as of the time of the establishment of the Agency (limited to assets included in the general account provided for in Article 49, paragraph (1) of the Act on Japan Science and Tec</w:t>
      </w:r>
      <w:r>
        <w:t>hnology Corporation before the repeal under Article 6 of the Supplementary Provisions (Act No. 27 of 1996; hereinafter referred to as the "Former Act on the Corporation") (the general account is hereinafter referred to as the "Former General Account")), as</w:t>
      </w:r>
      <w:r>
        <w:t>sets other than those that are necessary for the Agency to reliably perform its operations are to be succeeded to by the national government as of the time of the establishment of the Agency.</w:t>
      </w:r>
    </w:p>
    <w:p w:rsidR="00953277" w:rsidRDefault="00D02859">
      <w:pPr>
        <w:pStyle w:val="enf4"/>
      </w:pPr>
      <w:r>
        <w:t>(3) The scope of the assets that the national government succeed</w:t>
      </w:r>
      <w:r>
        <w:t>s to pursuant to the provisions of the preceding paragraph and other necessary matters concerning the national government's succession to the assets are specified by Cabinet Order.</w:t>
      </w:r>
    </w:p>
    <w:p w:rsidR="00953277" w:rsidRDefault="00D02859">
      <w:pPr>
        <w:pStyle w:val="enf4"/>
      </w:pPr>
      <w:r>
        <w:t>(4) The Corporation's business year that starts on April 1, 2003, is to end</w:t>
      </w:r>
      <w:r>
        <w:t xml:space="preserve"> on the date immediately before the date of dissolution of the Corporation.</w:t>
      </w:r>
    </w:p>
    <w:p w:rsidR="00953277" w:rsidRDefault="00D02859">
      <w:pPr>
        <w:pStyle w:val="enf4"/>
      </w:pPr>
      <w:r>
        <w:t>(5) With regard to the settlement of accounts, the inventory of assets, balance sheet, and profit and loss statement for the Corporation's business year that starts on April 1, 200</w:t>
      </w:r>
      <w:r>
        <w:t>3, the provisions then in force remain applicable.</w:t>
      </w:r>
    </w:p>
    <w:p w:rsidR="00953277" w:rsidRDefault="00D02859">
      <w:pPr>
        <w:pStyle w:val="enf4"/>
      </w:pPr>
      <w:r>
        <w:t>(6) A pledge on investment securities issued by the Corporation exists on investment securities of the Agency to be received by contributors pursuant to the provisions of Article 7, paragraph (1).</w:t>
      </w:r>
    </w:p>
    <w:p w:rsidR="00953277" w:rsidRDefault="00D02859">
      <w:pPr>
        <w:pStyle w:val="enf4"/>
      </w:pPr>
      <w:r>
        <w:t>(7) Upon</w:t>
      </w:r>
      <w:r>
        <w:t xml:space="preserve"> the dissolution of the Corporation, the distribution of residual assets pursuant to the provisions of paragraphs (1) and (2) of Article 49 of the Former Act on the Corporation will not be made.</w:t>
      </w:r>
    </w:p>
    <w:p w:rsidR="00953277" w:rsidRDefault="00D02859">
      <w:pPr>
        <w:pStyle w:val="enf4"/>
      </w:pPr>
      <w:r>
        <w:t>(8) Matters concerning the registration of dissolution upon t</w:t>
      </w:r>
      <w:r>
        <w:t>he dissolution of the Corporation under paragraph (1) are specified by Cabinet Order.</w:t>
      </w:r>
    </w:p>
    <w:p w:rsidR="00953277" w:rsidRDefault="00953277"/>
    <w:p w:rsidR="00953277" w:rsidRDefault="00D02859">
      <w:pPr>
        <w:pStyle w:val="ena"/>
      </w:pPr>
      <w:r>
        <w:t>(Contribution to the Agency)</w:t>
      </w:r>
    </w:p>
    <w:p w:rsidR="00953277" w:rsidRDefault="00D02859">
      <w:pPr>
        <w:pStyle w:val="enf3"/>
      </w:pPr>
      <w:r>
        <w:t xml:space="preserve">Article 3  (1) When the Agency succeeds to the rights and obligations of the Corporation pursuant to the provisions of paragraph (1) of the </w:t>
      </w:r>
      <w:r>
        <w:t>preceding Article, the amount obtained by subtracting the amount of liabilities of the Former General Account succeeded to by the Agency from the total value of the assets of the Former General Account succeeded to by the national government and the Agency</w:t>
      </w:r>
      <w:r>
        <w:t xml:space="preserve"> upon the succession (hereinafter referred to as the "Amount of Net Assets of the Former General Account") and then multiplying the remainder by the ratio of contributions to the Corporation by persons other than the government in the Former General Accoun</w:t>
      </w:r>
      <w:r>
        <w:t>t is deemed to be the amount of contributions to the Agency by the persons other than the government as the amount to be allocated to the fund necessary for operations other than the Operations to Provide Document Information.</w:t>
      </w:r>
    </w:p>
    <w:p w:rsidR="00953277" w:rsidRDefault="00D02859">
      <w:pPr>
        <w:pStyle w:val="enf4"/>
      </w:pPr>
      <w:r>
        <w:t xml:space="preserve">(2) When the Agency succeeds </w:t>
      </w:r>
      <w:r>
        <w:t>to the rights and obligations of the Corporation pursuant to the provisions of paragraph (1) of the preceding Article, the amount obtained by subtracting the amount of liabilities from the value of the assets of the Former General Account succeeded to by t</w:t>
      </w:r>
      <w:r>
        <w:t>he Agency upon the succession and then subtracting from the remainder the amount deemed to be the amount of contributions by persons other than the government pursuant to the provisions of the preceding paragraph is deemed to be the amount of contributions</w:t>
      </w:r>
      <w:r>
        <w:t xml:space="preserve"> by the government to the Agency as the amount to be allocated to the fund necessary for operations other than the Operations to Provide Document Information.</w:t>
      </w:r>
    </w:p>
    <w:p w:rsidR="00953277" w:rsidRDefault="00D02859">
      <w:pPr>
        <w:pStyle w:val="enf4"/>
      </w:pPr>
      <w:r>
        <w:t>(3) The value of the assets referred to in the preceding two paragraphs is to be the value evalua</w:t>
      </w:r>
      <w:r>
        <w:t>ted by evaluation committee members on the basis of market value as of the date of the establishment of the Agency.</w:t>
      </w:r>
    </w:p>
    <w:p w:rsidR="00953277" w:rsidRDefault="00D02859">
      <w:pPr>
        <w:pStyle w:val="enf4"/>
      </w:pPr>
      <w:r>
        <w:t xml:space="preserve">(4) The evaluation committee members referred to in the preceding paragraph and other necessary matters concerning evaluation are specified </w:t>
      </w:r>
      <w:r>
        <w:t>by Cabinet Order.</w:t>
      </w:r>
    </w:p>
    <w:p w:rsidR="00953277" w:rsidRDefault="00D02859">
      <w:pPr>
        <w:pStyle w:val="enf4"/>
      </w:pPr>
      <w:r>
        <w:t>(5) When the Agency has succeeded to the rights and obligations of the Corporation pursuant to the provisions of paragraph (1) of the preceding Article, amounts equivalent to the contributions to the Corporation by the government and pers</w:t>
      </w:r>
      <w:r>
        <w:t>ons other than the government upon the succession in the Account for the Operations to Provide Document Information provided for in Article 39 of the Former Act on the Corporation (hereinafter referred to as the "Former Document-Related Account") are deeme</w:t>
      </w:r>
      <w:r>
        <w:t>d to have been contributed to the Agency by the government and persons other than the government, respectively, as the amounts to be allocated to the fund necessary for the Operations to Provide Document Information.</w:t>
      </w:r>
    </w:p>
    <w:p w:rsidR="00953277" w:rsidRDefault="00D02859">
      <w:pPr>
        <w:pStyle w:val="enf4"/>
      </w:pPr>
      <w:r>
        <w:t>(6) When the Agency has succeeded to th</w:t>
      </w:r>
      <w:r>
        <w:t>e rights and obligations of the Corporation pursuant to the provisions of paragraph (1) of the preceding Article and there is any amount settled as a reserve fund or a loss carried forward in the former document-related account upon the succession, an amou</w:t>
      </w:r>
      <w:r>
        <w:t>nt equivalent to the settled amount is to be settled as a reserve fund or a loss carried forward included in the Agency's account for the Operations to Provide Document Information.</w:t>
      </w:r>
    </w:p>
    <w:p w:rsidR="00953277" w:rsidRDefault="00953277"/>
    <w:p w:rsidR="00953277" w:rsidRDefault="00D02859">
      <w:pPr>
        <w:pStyle w:val="ena"/>
      </w:pPr>
      <w:r>
        <w:t>(Return of Equity Interests)</w:t>
      </w:r>
    </w:p>
    <w:p w:rsidR="00953277" w:rsidRDefault="00D02859">
      <w:pPr>
        <w:pStyle w:val="enf3"/>
      </w:pPr>
      <w:r>
        <w:t>Article 4  (1) With regard to the amount dee</w:t>
      </w:r>
      <w:r>
        <w:t>med to be contributed to the Agency by persons other than the government pursuant to the provisions of paragraph (1) or paragraph (5) of the preceding Article, the persons may request the return of their equity interests from the Agency only within one mon</w:t>
      </w:r>
      <w:r>
        <w:t>th from the date of the establishment of the Agency.</w:t>
      </w:r>
    </w:p>
    <w:p w:rsidR="00953277" w:rsidRDefault="00D02859">
      <w:pPr>
        <w:pStyle w:val="enf4"/>
      </w:pPr>
      <w:r>
        <w:t>(2) When the Agency receives a request under the preceding paragraph, it must return the amount specified in the following items, in accordance with the category of persons other than the government list</w:t>
      </w:r>
      <w:r>
        <w:t>ed in the relevant items, notwithstanding the provisions of Article 8, paragraph (1). In this case, the Agency is to reduce its stated capital by the amount of contributions related to the equity interests:</w:t>
      </w:r>
    </w:p>
    <w:p w:rsidR="00953277" w:rsidRDefault="00D02859">
      <w:pPr>
        <w:pStyle w:val="enf6"/>
      </w:pPr>
      <w:r>
        <w:t>(i) a person other than the government who is dee</w:t>
      </w:r>
      <w:r>
        <w:t>med to have made contributions to the Agency pursuant to the provisions of paragraph (1) of the preceding Article: An amount equivalent to the equity interests possessed by the person other than the government against the amount of net assets of the Former</w:t>
      </w:r>
      <w:r>
        <w:t xml:space="preserve"> General Account (when the amount exceeds the amount of contributions in the Former General Account related to the equity interests, the amount equivalent to the amount of contributions in the Former General Account); or</w:t>
      </w:r>
    </w:p>
    <w:p w:rsidR="00953277" w:rsidRDefault="00D02859">
      <w:pPr>
        <w:pStyle w:val="enf6"/>
      </w:pPr>
      <w:r>
        <w:t xml:space="preserve">(ii) a person other than the </w:t>
      </w:r>
      <w:r>
        <w:t>government who is deemed to have made contributions to the Agency pursuant to the provisions of paragraph (5) of the preceding Article: An amount equivalent to the equity interests possessed by the person other than the government against the amount obtain</w:t>
      </w:r>
      <w:r>
        <w:t>ed by subtracting the amount of liabilities from the value of the assets of the Former Document-Related Account that belongs to the Corporation as of the time of the succession under Article 2, paragraph (1) of the Supplementary Provisions.</w:t>
      </w:r>
    </w:p>
    <w:p w:rsidR="00953277" w:rsidRDefault="00D02859">
      <w:pPr>
        <w:pStyle w:val="enf4"/>
      </w:pPr>
      <w:r>
        <w:t>(3) The provisi</w:t>
      </w:r>
      <w:r>
        <w:t>ons of paragraphs (3) and (4) of the preceding Article apply mutatis mutandis to the value of the assets provided for in item (ii) of the preceding paragraph.</w:t>
      </w:r>
    </w:p>
    <w:p w:rsidR="00953277" w:rsidRDefault="00953277"/>
    <w:p w:rsidR="00953277" w:rsidRDefault="00D02859">
      <w:pPr>
        <w:pStyle w:val="ena"/>
      </w:pPr>
      <w:r>
        <w:t>(Transitional Measures Concerning Restriction on Use of the Name)</w:t>
      </w:r>
    </w:p>
    <w:p w:rsidR="00953277" w:rsidRDefault="00D02859">
      <w:pPr>
        <w:pStyle w:val="enf3"/>
      </w:pPr>
      <w:r>
        <w:t>Article 5  For six months afte</w:t>
      </w:r>
      <w:r>
        <w:t>r the enforcement of this Act, the provisions of Article 9 will not apply to any person who uses the name of the Japan Science and Technology Agency as of the time of the enforcement of this Act.</w:t>
      </w:r>
    </w:p>
    <w:p w:rsidR="00953277" w:rsidRDefault="00953277"/>
    <w:p w:rsidR="00953277" w:rsidRDefault="00D02859">
      <w:pPr>
        <w:pStyle w:val="ena"/>
      </w:pPr>
      <w:r>
        <w:t>(Repeal of the Act on Japan Science and Technology Corporat</w:t>
      </w:r>
      <w:r>
        <w:t>ion)</w:t>
      </w:r>
    </w:p>
    <w:p w:rsidR="00953277" w:rsidRDefault="00D02859">
      <w:pPr>
        <w:pStyle w:val="enf3"/>
      </w:pPr>
      <w:r>
        <w:t>Article 6  The Act on Japan Science and Technology Corporation will be repealed.</w:t>
      </w:r>
    </w:p>
    <w:p w:rsidR="00953277" w:rsidRDefault="00953277"/>
    <w:p w:rsidR="00953277" w:rsidRDefault="00D02859">
      <w:pPr>
        <w:pStyle w:val="ena"/>
      </w:pPr>
      <w:r>
        <w:t>(Transitional Measures upon the Repeal of the Act on Japan Science and Technology Corporation)</w:t>
      </w:r>
    </w:p>
    <w:p w:rsidR="00953277" w:rsidRDefault="00D02859">
      <w:pPr>
        <w:pStyle w:val="enf3"/>
      </w:pPr>
      <w:r>
        <w:t>Article 7  Dispositions, procedures, and other acts that have been conduct</w:t>
      </w:r>
      <w:r>
        <w:t>ed before the enforcement of the provisions of the preceding Article pursuant to the provisions of the Former Act on the Corporation (excluding Article 13 and Article 27) are deemed to have been conducted pursuant to the corresponding provisions of the Act</w:t>
      </w:r>
      <w:r>
        <w:t xml:space="preserve"> on General Rules or this Act.</w:t>
      </w:r>
    </w:p>
    <w:p w:rsidR="00953277" w:rsidRDefault="00953277"/>
    <w:p w:rsidR="00953277" w:rsidRDefault="00D02859">
      <w:pPr>
        <w:pStyle w:val="enf3"/>
      </w:pPr>
      <w:r>
        <w:t>Article 8  With regard to the application of penal provisions to acts conducted before the enforcement of the provisions of Article 6 of the Supplementary Provisions and acts conducted after the enforcement of this Act conce</w:t>
      </w:r>
      <w:r>
        <w:t>rning matters for which the provisions then in force remain applicable pursuant to the provisions of Article 2, paragraph (5) of the Supplementary Provisions, the provisions then in force remain applicable.</w:t>
      </w:r>
    </w:p>
    <w:p w:rsidR="00953277" w:rsidRDefault="00953277"/>
    <w:p w:rsidR="00953277" w:rsidRDefault="00D02859">
      <w:pPr>
        <w:pStyle w:val="enf3"/>
      </w:pPr>
      <w:r>
        <w:t>Article 9  (1) With regard to the obligations to</w:t>
      </w:r>
      <w:r>
        <w:t xml:space="preserve"> not divulge or misappropriate any secret that comes to knowledge in the course of work placed on persons who have been officers, advisers, or employees of the Corporation or members of the Advanced Technology Council and on persons who have been officers </w:t>
      </w:r>
      <w:r>
        <w:t>or employees of the Research Development Corporation of Japan or members of the Advanced Technology Council, the provisions then in force remain applicable even after the enforcement of the provisions of Article 6 of the Supplementary Provisions.</w:t>
      </w:r>
    </w:p>
    <w:p w:rsidR="00953277" w:rsidRDefault="00D02859">
      <w:pPr>
        <w:pStyle w:val="enf4"/>
      </w:pPr>
      <w:r>
        <w:t xml:space="preserve">(2) With </w:t>
      </w:r>
      <w:r>
        <w:t xml:space="preserve">regard to the application of penal provisions to acts conducted after the enforcement of the provisions of Article 6 of the Supplementary Provisions concerning obligations for which the provisions then in force remain applicable pursuant to the provisions </w:t>
      </w:r>
      <w:r>
        <w:t>of the preceding paragraph, the provisions then in force remain applicable.</w:t>
      </w:r>
    </w:p>
    <w:p w:rsidR="00953277" w:rsidRDefault="00953277"/>
    <w:p w:rsidR="00953277" w:rsidRDefault="00D02859">
      <w:pPr>
        <w:pStyle w:val="ena"/>
      </w:pPr>
      <w:r>
        <w:t>(Delegation to Cabinet Order)</w:t>
      </w:r>
    </w:p>
    <w:p w:rsidR="00953277" w:rsidRDefault="00D02859">
      <w:pPr>
        <w:pStyle w:val="enf3"/>
      </w:pPr>
      <w:r>
        <w:t>Article 10  Beyond what are provided for in Article 2 to Article 5 and Article 7 to the preceding Article of the Supplementary Provisions, transition</w:t>
      </w:r>
      <w:r>
        <w:t>al measures necessary upon the establishment of the Agency and other necessary transitional measures concerning the enforcement of this Act are specified by Cabinet Order.</w:t>
      </w:r>
    </w:p>
    <w:p w:rsidR="00953277" w:rsidRDefault="00953277"/>
    <w:p w:rsidR="00953277" w:rsidRDefault="00D02859">
      <w:pPr>
        <w:pStyle w:val="en2"/>
      </w:pPr>
      <w:r>
        <w:t>Supplementary Provisions  [Act No. 126 of June 18, 2004 Extract]  [Extract]</w:t>
      </w:r>
    </w:p>
    <w:p w:rsidR="00953277" w:rsidRDefault="00953277"/>
    <w:p w:rsidR="00953277" w:rsidRDefault="00D02859">
      <w:pPr>
        <w:pStyle w:val="ena"/>
      </w:pPr>
      <w:r>
        <w:t>(Effec</w:t>
      </w:r>
      <w:r>
        <w:t>tive Date)</w:t>
      </w:r>
    </w:p>
    <w:p w:rsidR="00953277" w:rsidRDefault="00D02859">
      <w:pPr>
        <w:pStyle w:val="enf3"/>
      </w:pPr>
      <w:r>
        <w:t>Article 1  This Act comes into effect as of the date on which the Agreement becomes effective; provided, however, that the provisions listed in the following items come into effect as of the date specified in the relevant items:</w:t>
      </w:r>
    </w:p>
    <w:p w:rsidR="00953277" w:rsidRDefault="00D02859">
      <w:pPr>
        <w:pStyle w:val="enf6"/>
      </w:pPr>
      <w:r>
        <w:t>(i) and (ii) omi</w:t>
      </w:r>
      <w:r>
        <w:t>tted;</w:t>
      </w:r>
    </w:p>
    <w:p w:rsidR="00953277" w:rsidRDefault="00D02859">
      <w:pPr>
        <w:pStyle w:val="enf6"/>
      </w:pPr>
      <w:r>
        <w:t>(iii) the provisions of Article 42 of the Supplementary Provisions: The date of promulgation of the Act for Partial Revision of the National Public Officers Mutual Aid Association Act, etc. (Act No. 130 of 2004) or the date of promulgation, whichever</w:t>
      </w:r>
      <w:r>
        <w:t xml:space="preserve"> comes later.</w:t>
      </w:r>
    </w:p>
    <w:p w:rsidR="00953277" w:rsidRDefault="00953277"/>
    <w:p w:rsidR="00953277" w:rsidRDefault="00D02859">
      <w:pPr>
        <w:pStyle w:val="en2"/>
      </w:pPr>
      <w:r>
        <w:t>Supplementary Provisions  [Act No. 127 of June 18, 2004 Extract]  [Extract]</w:t>
      </w:r>
    </w:p>
    <w:p w:rsidR="00953277" w:rsidRDefault="00953277"/>
    <w:p w:rsidR="00953277" w:rsidRDefault="00D02859">
      <w:pPr>
        <w:pStyle w:val="ena"/>
      </w:pPr>
      <w:r>
        <w:t>(Effective Date)</w:t>
      </w:r>
    </w:p>
    <w:p w:rsidR="00953277" w:rsidRDefault="00D02859">
      <w:pPr>
        <w:pStyle w:val="enf3"/>
      </w:pPr>
      <w:r>
        <w:t xml:space="preserve">Article 1  This Act comes into effect as of the date on which the Agreement becomes effective; provided, however, that the provisions listed in </w:t>
      </w:r>
      <w:r>
        <w:t>the following items come into effect as of the date specified in the relevant items:</w:t>
      </w:r>
    </w:p>
    <w:p w:rsidR="00953277" w:rsidRDefault="00D02859">
      <w:pPr>
        <w:pStyle w:val="enf6"/>
      </w:pPr>
      <w:r>
        <w:t>(i) omitted;</w:t>
      </w:r>
    </w:p>
    <w:p w:rsidR="00953277" w:rsidRDefault="00D02859">
      <w:pPr>
        <w:pStyle w:val="enf6"/>
      </w:pPr>
      <w:r>
        <w:t>(ii) the provisions of Article 3 of the Supplementary Provisions: The date of promulgation of the Act for Partial Revision of the National Public Officers Mut</w:t>
      </w:r>
      <w:r>
        <w:t>ual Aid Association Act, etc. (Act No. 130 of 2004) or the date of promulgation, whichever comes later.</w:t>
      </w:r>
    </w:p>
    <w:p w:rsidR="00953277" w:rsidRDefault="00953277"/>
    <w:p w:rsidR="00953277" w:rsidRDefault="00D02859">
      <w:pPr>
        <w:pStyle w:val="en2"/>
      </w:pPr>
      <w:r>
        <w:t>Supplementary Provisions  [Act No. 130 of June 23, 2004 Extract]  [Extract]</w:t>
      </w:r>
    </w:p>
    <w:p w:rsidR="00953277" w:rsidRDefault="00953277"/>
    <w:p w:rsidR="00953277" w:rsidRDefault="00D02859">
      <w:pPr>
        <w:pStyle w:val="ena"/>
      </w:pPr>
      <w:r>
        <w:t>(Effective Date)</w:t>
      </w:r>
    </w:p>
    <w:p w:rsidR="00953277" w:rsidRDefault="00D02859">
      <w:pPr>
        <w:pStyle w:val="enf3"/>
      </w:pPr>
      <w:r>
        <w:t xml:space="preserve">Article 1  This Act comes into effect as of </w:t>
      </w:r>
      <w:r>
        <w:t>October 1, 2004; provided, however, that the provisions listed in the following items come into effect as of the date specified in the relevant items:</w:t>
      </w:r>
    </w:p>
    <w:p w:rsidR="00953277" w:rsidRDefault="00D02859">
      <w:pPr>
        <w:pStyle w:val="enf6"/>
      </w:pPr>
      <w:r>
        <w:t>(i) omitted;</w:t>
      </w:r>
    </w:p>
    <w:p w:rsidR="00953277" w:rsidRDefault="00D02859">
      <w:pPr>
        <w:pStyle w:val="enf6"/>
      </w:pPr>
      <w:r>
        <w:t>(ii) the provisions of Article 2, Article 7, Article 10, Article 13, and Article 18, and Art</w:t>
      </w:r>
      <w:r>
        <w:t>icle 9 to Article 15, Article 28 to Article 36, Article 38 to Article 76-2, Article 79, and Article 81 of the Supplementary Provisions: April 1, 2005.</w:t>
      </w:r>
    </w:p>
    <w:p w:rsidR="00953277" w:rsidRDefault="00953277"/>
    <w:p w:rsidR="00953277" w:rsidRDefault="00D02859">
      <w:pPr>
        <w:pStyle w:val="en2"/>
      </w:pPr>
      <w:r>
        <w:t>Supplementary Provisions  [Act No. 135 of June 23, 2004 Extract]  [Extract]</w:t>
      </w:r>
    </w:p>
    <w:p w:rsidR="00953277" w:rsidRDefault="00953277"/>
    <w:p w:rsidR="00953277" w:rsidRDefault="00D02859">
      <w:pPr>
        <w:pStyle w:val="ena"/>
      </w:pPr>
      <w:r>
        <w:t>(Effective Date)</w:t>
      </w:r>
    </w:p>
    <w:p w:rsidR="00953277" w:rsidRDefault="00D02859">
      <w:pPr>
        <w:pStyle w:val="enf3"/>
      </w:pPr>
      <w:r>
        <w:t xml:space="preserve">Article 1 </w:t>
      </w:r>
      <w:r>
        <w:t xml:space="preserve"> This Act comes into effect as of the date of promulgation; provided, however, that the provisions listed in the following items come into effect as of the date specified in the relevant items:</w:t>
      </w:r>
    </w:p>
    <w:p w:rsidR="00953277" w:rsidRDefault="00D02859">
      <w:pPr>
        <w:pStyle w:val="enf6"/>
      </w:pPr>
      <w:r>
        <w:t>(i) omitted;</w:t>
      </w:r>
    </w:p>
    <w:p w:rsidR="00953277" w:rsidRDefault="00D02859">
      <w:pPr>
        <w:pStyle w:val="enf6"/>
      </w:pPr>
      <w:r>
        <w:t>(ii) the provisions of Article 17 of the Suppleme</w:t>
      </w:r>
      <w:r>
        <w:t>ntary Provisions: The date of promulgation of this Act or the date of promulgation of the Act for Partial Revision of the National Public Officers Mutual Aid Association Act, etc. (Act No. 130 of 2004), whichever comes later.</w:t>
      </w:r>
    </w:p>
    <w:p w:rsidR="00953277" w:rsidRDefault="00953277"/>
    <w:p w:rsidR="00953277" w:rsidRDefault="00D02859">
      <w:pPr>
        <w:pStyle w:val="en2"/>
      </w:pPr>
      <w:r>
        <w:t>Supplementary Provisions  [Ac</w:t>
      </w:r>
      <w:r>
        <w:t>t No. 37 of May 28, 2010 Extract]  [Extract]</w:t>
      </w:r>
    </w:p>
    <w:p w:rsidR="00953277" w:rsidRDefault="00953277"/>
    <w:p w:rsidR="00953277" w:rsidRDefault="00D02859">
      <w:pPr>
        <w:pStyle w:val="ena"/>
      </w:pPr>
      <w:r>
        <w:t>(Effective Date)</w:t>
      </w:r>
    </w:p>
    <w:p w:rsidR="00953277" w:rsidRDefault="00D02859">
      <w:pPr>
        <w:pStyle w:val="enf3"/>
      </w:pPr>
      <w:r>
        <w:t>Article 1  This Act comes into effect as of the date specified by Cabinet Order, within a period not exceeding six months from the date of promulgation (hereinafter referred to as the "Effectiv</w:t>
      </w:r>
      <w:r>
        <w:t>e Date").</w:t>
      </w:r>
    </w:p>
    <w:p w:rsidR="00953277" w:rsidRDefault="00953277"/>
    <w:p w:rsidR="00953277" w:rsidRDefault="00D02859">
      <w:pPr>
        <w:pStyle w:val="ena"/>
      </w:pPr>
      <w:r>
        <w:t>(Transitional Measures Concerning Application of Penal Provisions)</w:t>
      </w:r>
    </w:p>
    <w:p w:rsidR="00953277" w:rsidRDefault="00D02859">
      <w:pPr>
        <w:pStyle w:val="enf3"/>
      </w:pPr>
      <w:r>
        <w:t>Article 34  With regard to the application of penal provisions to acts conducted before the enforcement of the provisions of this Act, the provisions then in force remain applica</w:t>
      </w:r>
      <w:r>
        <w:t>ble.</w:t>
      </w:r>
    </w:p>
    <w:p w:rsidR="00953277" w:rsidRDefault="00953277"/>
    <w:p w:rsidR="00953277" w:rsidRDefault="00D02859">
      <w:pPr>
        <w:pStyle w:val="ena"/>
      </w:pPr>
      <w:r>
        <w:t>(Delegation of Other Transitional Measures to Cabinet Order)</w:t>
      </w:r>
    </w:p>
    <w:p w:rsidR="00953277" w:rsidRDefault="00D02859">
      <w:pPr>
        <w:pStyle w:val="enf3"/>
      </w:pPr>
      <w:r>
        <w:t>Article 35  Beyond the measures provided in these Supplementary Provisions, transitional measures necessary for the enforcement of this Act are specified by Cabinet Order.</w:t>
      </w:r>
    </w:p>
    <w:p w:rsidR="00953277" w:rsidRDefault="00953277"/>
    <w:p w:rsidR="00953277" w:rsidRDefault="00D02859">
      <w:pPr>
        <w:pStyle w:val="en2"/>
      </w:pPr>
      <w:r>
        <w:t>Supplementary Provisions  [Act No. 99 of December 13, 2013 Extract]  [Extract]</w:t>
      </w:r>
    </w:p>
    <w:p w:rsidR="00953277" w:rsidRDefault="00953277"/>
    <w:p w:rsidR="00953277" w:rsidRDefault="00D02859">
      <w:pPr>
        <w:pStyle w:val="ena"/>
      </w:pPr>
      <w:r>
        <w:t>(Effective Date)</w:t>
      </w:r>
    </w:p>
    <w:p w:rsidR="00953277" w:rsidRDefault="00D02859">
      <w:pPr>
        <w:pStyle w:val="enf3"/>
      </w:pPr>
      <w:r>
        <w:t>Article 1  This Act comes into effect as of the date of promulgation; provided, however, that the provisions set out in the following come into effect as of Ap</w:t>
      </w:r>
      <w:r>
        <w:t>ril 1, 2014: in Article 1, the provisions revising Article 2 of the Act on Improving the Capacity ,and the Efficient Promotion of Research and Development through Promotion of Research and Development System Reform, the provisions adding an article after A</w:t>
      </w:r>
      <w:r>
        <w:t>rticle 15 of that Act, the provisions adding an article after Article 43 of that Act, the provisions adding a table after Attached Table 1 of that Act specified as an attached table of that Act; the provisions of Article 2; and the provisions of Articles 4</w:t>
      </w:r>
      <w:r>
        <w:t xml:space="preserve"> to 8 of the Supplementary Provisions.</w:t>
      </w:r>
    </w:p>
    <w:p w:rsidR="00953277" w:rsidRDefault="00953277"/>
    <w:p w:rsidR="00953277" w:rsidRDefault="00D02859">
      <w:pPr>
        <w:pStyle w:val="en2"/>
      </w:pPr>
      <w:r>
        <w:t>Supplementary Provisions  [Act No. 1 of February 17, 2014]  [Extract]</w:t>
      </w:r>
    </w:p>
    <w:p w:rsidR="00953277" w:rsidRDefault="00953277"/>
    <w:p w:rsidR="00953277" w:rsidRDefault="00D02859">
      <w:pPr>
        <w:pStyle w:val="ena"/>
      </w:pPr>
      <w:r>
        <w:t>(Effective Date)</w:t>
      </w:r>
    </w:p>
    <w:p w:rsidR="00953277" w:rsidRDefault="00D02859">
      <w:pPr>
        <w:pStyle w:val="enf3"/>
      </w:pPr>
      <w:r>
        <w:t>Article 1  This Act comes into effect as of the date of promulgation.</w:t>
      </w:r>
    </w:p>
    <w:p w:rsidR="00953277" w:rsidRDefault="00953277"/>
    <w:p w:rsidR="00953277" w:rsidRDefault="00D02859">
      <w:pPr>
        <w:pStyle w:val="en2"/>
      </w:pPr>
      <w:r>
        <w:t>Supplementary Provisions  [Act No. 67 of June 13, 2014 Ex</w:t>
      </w:r>
      <w:r>
        <w:t>tract]  [Extract]</w:t>
      </w:r>
    </w:p>
    <w:p w:rsidR="00953277" w:rsidRDefault="00953277"/>
    <w:p w:rsidR="00953277" w:rsidRDefault="00D02859">
      <w:pPr>
        <w:pStyle w:val="ena"/>
      </w:pPr>
      <w:r>
        <w:t>(Effective Date)</w:t>
      </w:r>
    </w:p>
    <w:p w:rsidR="00953277" w:rsidRDefault="00D02859">
      <w:pPr>
        <w:pStyle w:val="enf3"/>
      </w:pPr>
      <w:r>
        <w:t>Article 1  This Act comes into effect as of the date of enforcement of the Act for Partial Revision of the Act on General Rules for Incorporated Administrative Agencies (Act No. 66 of 2014; hereinafter referred to as the</w:t>
      </w:r>
      <w:r>
        <w:t xml:space="preserve"> "General Rules Partial Revision Act"); provided, however, that the provisions listed in the following items come into effect as of the date specified in the relevant items:</w:t>
      </w:r>
    </w:p>
    <w:p w:rsidR="00953277" w:rsidRDefault="00D02859">
      <w:pPr>
        <w:pStyle w:val="enf6"/>
      </w:pPr>
      <w:r>
        <w:t>(i) the provisions of Article 14, paragraph (2) and Articles 18 and 30 of the Supp</w:t>
      </w:r>
      <w:r>
        <w:t>lementary Provisions: The date of promulgation; and</w:t>
      </w:r>
    </w:p>
    <w:p w:rsidR="00953277" w:rsidRDefault="00D02859">
      <w:pPr>
        <w:pStyle w:val="enf6"/>
      </w:pPr>
      <w:r>
        <w:t>(ii) the provisions of Article 9 of the Supplementary Provisions: The date of promulgation of this Act or the date of promulgation of the Act on the Japan Agency for Medical Research and Development, Inde</w:t>
      </w:r>
      <w:r>
        <w:t>pendent Administrative Agency, whichever comes later.</w:t>
      </w:r>
    </w:p>
    <w:p w:rsidR="00953277" w:rsidRDefault="00953277"/>
    <w:p w:rsidR="00953277" w:rsidRDefault="00D02859">
      <w:pPr>
        <w:pStyle w:val="ena"/>
      </w:pPr>
      <w:r>
        <w:t>(Special Provisions for Taxation)</w:t>
      </w:r>
    </w:p>
    <w:p w:rsidR="00953277" w:rsidRDefault="00D02859">
      <w:pPr>
        <w:pStyle w:val="enf3"/>
      </w:pPr>
      <w:r>
        <w:t>Article 27  According to the provisions of the individual laws provided for in Article 1, paragraph (1) of the Act on General Rules and the provisions of Article 4, pa</w:t>
      </w:r>
      <w:r>
        <w:t xml:space="preserve">ragraph (2) of the New Act on General Rules, no registration and license tax is imposed when an incorporated administrative agency the specified name of which includes the words " </w:t>
      </w:r>
      <w:r>
        <w:t>国立研究開発法人</w:t>
      </w:r>
      <w:r>
        <w:t>"(with a pronunciation of "Kokuritu-Kenkyu-Kaihatu Houjin"and with a</w:t>
      </w:r>
      <w:r>
        <w:t xml:space="preserve"> literal meaning of "National Research and Development Agency") registers the name of a nominal person that will be changed due to a change in the name in accordance with Article 2, paragraph (1) of the New Act on General Rules.</w:t>
      </w:r>
    </w:p>
    <w:p w:rsidR="00953277" w:rsidRDefault="00953277"/>
    <w:p w:rsidR="00953277" w:rsidRDefault="00D02859">
      <w:pPr>
        <w:pStyle w:val="ena"/>
      </w:pPr>
      <w:r>
        <w:t>(Effects of Disposition)</w:t>
      </w:r>
    </w:p>
    <w:p w:rsidR="00953277" w:rsidRDefault="00D02859">
      <w:pPr>
        <w:pStyle w:val="enf3"/>
      </w:pPr>
      <w:r>
        <w:t>A</w:t>
      </w:r>
      <w:r>
        <w:t>rticle 28  Dispositions, procedures, and other acts that have been conducted or should be conducted before the enforcement of the provisions of this Act pursuant to the provisions of individual laws (including orders based on them) before their revision by</w:t>
      </w:r>
      <w:r>
        <w:t xml:space="preserve"> this Act and that are provided for in the corresponding provisions of the respective individual laws (including orders based on them; hereafter referred to in this Article as "new laws and regulations") following their revision by this Act are deemed to b</w:t>
      </w:r>
      <w:r>
        <w:t>e dispositions, procedures, and other acts that have been conducted or should be conducted pursuant to the corresponding provisions of the new laws and regulations (including Cabinet Orders based on them), unless otherwise stipulated in the laws.</w:t>
      </w:r>
    </w:p>
    <w:p w:rsidR="00953277" w:rsidRDefault="00953277"/>
    <w:p w:rsidR="00953277" w:rsidRDefault="00D02859">
      <w:pPr>
        <w:pStyle w:val="ena"/>
      </w:pPr>
      <w:r>
        <w:t>(Transit</w:t>
      </w:r>
      <w:r>
        <w:t>ional Measures Concerning Penal Provisions)</w:t>
      </w:r>
    </w:p>
    <w:p w:rsidR="00953277" w:rsidRDefault="00D02859">
      <w:pPr>
        <w:pStyle w:val="enf3"/>
      </w:pPr>
      <w:r>
        <w:t>Article 29  With regard to the application of penal provisions to acts conducted before the enforcement of this Act and acts conducted after the enforcement of this Act for which penal provisions remain applicabl</w:t>
      </w:r>
      <w:r>
        <w:t>e pursuant to the provisions of these Supplementary Provisions, the provisions then in force remain applicable.</w:t>
      </w:r>
    </w:p>
    <w:p w:rsidR="00953277" w:rsidRDefault="00953277"/>
    <w:p w:rsidR="00953277" w:rsidRDefault="00D02859">
      <w:pPr>
        <w:pStyle w:val="ena"/>
      </w:pPr>
      <w:r>
        <w:t>(Delegation of Other Transitional Measures to Cabinet Order)</w:t>
      </w:r>
    </w:p>
    <w:p w:rsidR="00953277" w:rsidRDefault="00D02859">
      <w:pPr>
        <w:pStyle w:val="enf3"/>
      </w:pPr>
      <w:r>
        <w:t xml:space="preserve">Article 30  Beyond the provisions of Article 3 to the preceding Article in the </w:t>
      </w:r>
      <w:r>
        <w:t>Supplementary Provisions, transitional measures necessary for the enforcement of this Act (including those concerning penal provisions) are specified by Cabinet Order (or with regard to matters under the jurisdiction of the National Personnel Authority, by</w:t>
      </w:r>
      <w:r>
        <w:t xml:space="preserve"> the Rules of the authority).</w:t>
      </w:r>
      <w:r>
        <w:t></w:t>
      </w:r>
    </w:p>
    <w:sectPr w:rsidR="00953277" w:rsidSect="009532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3277" w:rsidRDefault="00953277" w:rsidP="00953277">
      <w:r>
        <w:separator/>
      </w:r>
    </w:p>
  </w:endnote>
  <w:endnote w:type="continuationSeparator" w:id="0">
    <w:p w:rsidR="00953277" w:rsidRDefault="00953277" w:rsidP="0095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277" w:rsidRDefault="00953277">
    <w:pPr>
      <w:pStyle w:val="a3"/>
    </w:pPr>
    <w:r>
      <w:fldChar w:fldCharType="begin"/>
    </w:r>
    <w:r>
      <w:instrText xml:space="preserve"> PAGE  \* MERGEFORMAT </w:instrText>
    </w:r>
    <w:r>
      <w:fldChar w:fldCharType="separate"/>
    </w:r>
    <w:r w:rsidR="00D0285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3277" w:rsidRDefault="00953277" w:rsidP="00953277">
      <w:r>
        <w:separator/>
      </w:r>
    </w:p>
  </w:footnote>
  <w:footnote w:type="continuationSeparator" w:id="0">
    <w:p w:rsidR="00953277" w:rsidRDefault="00953277" w:rsidP="00953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31788"/>
    <w:multiLevelType w:val="multilevel"/>
    <w:tmpl w:val="F66420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5EC65FD"/>
    <w:multiLevelType w:val="multilevel"/>
    <w:tmpl w:val="D94252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AE2371A"/>
    <w:multiLevelType w:val="multilevel"/>
    <w:tmpl w:val="5DDE6A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BF575C"/>
    <w:multiLevelType w:val="multilevel"/>
    <w:tmpl w:val="4AD2AE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2D4918"/>
    <w:multiLevelType w:val="multilevel"/>
    <w:tmpl w:val="543C05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6BC5645"/>
    <w:multiLevelType w:val="multilevel"/>
    <w:tmpl w:val="A01831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6D03D7"/>
    <w:multiLevelType w:val="multilevel"/>
    <w:tmpl w:val="ED3831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4F6A63"/>
    <w:multiLevelType w:val="multilevel"/>
    <w:tmpl w:val="3FBEC0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FCA772C"/>
    <w:multiLevelType w:val="multilevel"/>
    <w:tmpl w:val="653632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5627EB3"/>
    <w:multiLevelType w:val="multilevel"/>
    <w:tmpl w:val="D49E6D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8A4DDB"/>
    <w:multiLevelType w:val="multilevel"/>
    <w:tmpl w:val="1138E8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B42E0B"/>
    <w:multiLevelType w:val="multilevel"/>
    <w:tmpl w:val="48DA2C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422730"/>
    <w:multiLevelType w:val="multilevel"/>
    <w:tmpl w:val="43D48F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2"/>
  </w:num>
  <w:num w:numId="3">
    <w:abstractNumId w:val="8"/>
  </w:num>
  <w:num w:numId="4">
    <w:abstractNumId w:val="10"/>
  </w:num>
  <w:num w:numId="5">
    <w:abstractNumId w:val="1"/>
  </w:num>
  <w:num w:numId="6">
    <w:abstractNumId w:val="2"/>
  </w:num>
  <w:num w:numId="7">
    <w:abstractNumId w:val="9"/>
  </w:num>
  <w:num w:numId="8">
    <w:abstractNumId w:val="6"/>
  </w:num>
  <w:num w:numId="9">
    <w:abstractNumId w:val="11"/>
  </w:num>
  <w:num w:numId="10">
    <w:abstractNumId w:val="5"/>
  </w:num>
  <w:num w:numId="11">
    <w:abstractNumId w:val="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3277"/>
    <w:rsid w:val="00953277"/>
    <w:rsid w:val="00D0285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2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532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53277"/>
    <w:rPr>
      <w:rFonts w:ascii="Century" w:eastAsia="Century" w:hAnsi="Century"/>
    </w:rPr>
  </w:style>
  <w:style w:type="paragraph" w:customStyle="1" w:styleId="ja0">
    <w:name w:val="款（ja）"/>
    <w:basedOn w:val="a"/>
    <w:rsid w:val="00953277"/>
    <w:pPr>
      <w:widowControl w:val="0"/>
      <w:ind w:left="1321" w:hanging="221"/>
    </w:pPr>
    <w:rPr>
      <w:rFonts w:ascii="ＭＳ 明朝" w:eastAsia="ＭＳ 明朝" w:hAnsi="ＭＳ 明朝" w:cs="ＭＳ 明朝"/>
      <w:b/>
    </w:rPr>
  </w:style>
  <w:style w:type="paragraph" w:customStyle="1" w:styleId="en0">
    <w:name w:val="款（en）"/>
    <w:basedOn w:val="ja0"/>
    <w:rsid w:val="00953277"/>
    <w:rPr>
      <w:rFonts w:ascii="Century" w:eastAsia="Century" w:hAnsi="Century" w:cs="Century"/>
    </w:rPr>
  </w:style>
  <w:style w:type="paragraph" w:customStyle="1" w:styleId="ja1">
    <w:name w:val="前文（ja）"/>
    <w:basedOn w:val="a"/>
    <w:rsid w:val="00953277"/>
    <w:pPr>
      <w:widowControl w:val="0"/>
      <w:ind w:firstLine="219"/>
    </w:pPr>
    <w:rPr>
      <w:rFonts w:ascii="ＭＳ 明朝" w:eastAsia="ＭＳ 明朝" w:hAnsi="ＭＳ 明朝" w:cs="ＭＳ 明朝"/>
    </w:rPr>
  </w:style>
  <w:style w:type="paragraph" w:customStyle="1" w:styleId="en1">
    <w:name w:val="前文（en）"/>
    <w:basedOn w:val="ja1"/>
    <w:rsid w:val="00953277"/>
    <w:rPr>
      <w:rFonts w:ascii="Century" w:eastAsia="Century" w:hAnsi="Century" w:cs="Century"/>
    </w:rPr>
  </w:style>
  <w:style w:type="paragraph" w:customStyle="1" w:styleId="ja2">
    <w:name w:val="附則（ja）"/>
    <w:basedOn w:val="a"/>
    <w:rsid w:val="00953277"/>
    <w:pPr>
      <w:widowControl w:val="0"/>
      <w:ind w:left="881" w:hanging="221"/>
    </w:pPr>
    <w:rPr>
      <w:rFonts w:ascii="ＭＳ 明朝" w:eastAsia="ＭＳ 明朝" w:hAnsi="ＭＳ 明朝" w:cs="ＭＳ 明朝"/>
      <w:b/>
    </w:rPr>
  </w:style>
  <w:style w:type="paragraph" w:customStyle="1" w:styleId="en2">
    <w:name w:val="附則（en）"/>
    <w:basedOn w:val="ja2"/>
    <w:rsid w:val="00953277"/>
    <w:rPr>
      <w:rFonts w:ascii="Century" w:hAnsi="Century" w:cs="Century"/>
    </w:rPr>
  </w:style>
  <w:style w:type="paragraph" w:customStyle="1" w:styleId="ja3">
    <w:name w:val="章（ja）"/>
    <w:basedOn w:val="a"/>
    <w:rsid w:val="00953277"/>
    <w:pPr>
      <w:widowControl w:val="0"/>
      <w:ind w:left="881" w:hanging="221"/>
    </w:pPr>
    <w:rPr>
      <w:rFonts w:ascii="ＭＳ 明朝" w:eastAsia="ＭＳ 明朝" w:hAnsi="ＭＳ 明朝" w:cs="ＭＳ 明朝"/>
      <w:b/>
    </w:rPr>
  </w:style>
  <w:style w:type="paragraph" w:customStyle="1" w:styleId="en3">
    <w:name w:val="章（en）"/>
    <w:basedOn w:val="ja3"/>
    <w:rsid w:val="00953277"/>
    <w:rPr>
      <w:rFonts w:ascii="Century" w:eastAsia="Century" w:hAnsi="Century" w:cs="Century"/>
    </w:rPr>
  </w:style>
  <w:style w:type="paragraph" w:customStyle="1" w:styleId="ja4">
    <w:name w:val="目次編（ja）"/>
    <w:basedOn w:val="a"/>
    <w:rsid w:val="00953277"/>
    <w:pPr>
      <w:widowControl w:val="0"/>
      <w:ind w:left="219" w:hanging="219"/>
    </w:pPr>
    <w:rPr>
      <w:rFonts w:ascii="ＭＳ 明朝" w:eastAsia="ＭＳ 明朝" w:hAnsi="ＭＳ 明朝"/>
    </w:rPr>
  </w:style>
  <w:style w:type="paragraph" w:customStyle="1" w:styleId="en4">
    <w:name w:val="目次編（en）"/>
    <w:basedOn w:val="ja4"/>
    <w:rsid w:val="00953277"/>
    <w:rPr>
      <w:rFonts w:ascii="Century" w:eastAsia="Century" w:hAnsi="Century"/>
    </w:rPr>
  </w:style>
  <w:style w:type="paragraph" w:customStyle="1" w:styleId="ja5">
    <w:name w:val="目次章（ja）"/>
    <w:basedOn w:val="a"/>
    <w:rsid w:val="00953277"/>
    <w:pPr>
      <w:widowControl w:val="0"/>
      <w:ind w:left="439" w:hanging="219"/>
    </w:pPr>
    <w:rPr>
      <w:rFonts w:ascii="ＭＳ 明朝" w:eastAsia="ＭＳ 明朝" w:hAnsi="ＭＳ 明朝"/>
    </w:rPr>
  </w:style>
  <w:style w:type="paragraph" w:customStyle="1" w:styleId="en5">
    <w:name w:val="目次章（en）"/>
    <w:basedOn w:val="ja5"/>
    <w:rsid w:val="00953277"/>
    <w:rPr>
      <w:rFonts w:ascii="Century" w:eastAsia="Century" w:hAnsi="Century"/>
    </w:rPr>
  </w:style>
  <w:style w:type="paragraph" w:customStyle="1" w:styleId="ja6">
    <w:name w:val="目次節（ja）"/>
    <w:basedOn w:val="a"/>
    <w:rsid w:val="00953277"/>
    <w:pPr>
      <w:widowControl w:val="0"/>
      <w:ind w:left="659" w:hanging="219"/>
    </w:pPr>
    <w:rPr>
      <w:rFonts w:ascii="ＭＳ 明朝" w:eastAsia="ＭＳ 明朝" w:hAnsi="ＭＳ 明朝"/>
    </w:rPr>
  </w:style>
  <w:style w:type="paragraph" w:customStyle="1" w:styleId="en6">
    <w:name w:val="目次節（en）"/>
    <w:basedOn w:val="ja6"/>
    <w:rsid w:val="00953277"/>
    <w:rPr>
      <w:rFonts w:ascii="Century" w:eastAsia="Century" w:hAnsi="Century"/>
    </w:rPr>
  </w:style>
  <w:style w:type="paragraph" w:customStyle="1" w:styleId="ja7">
    <w:name w:val="目次款（ja）"/>
    <w:basedOn w:val="a"/>
    <w:rsid w:val="00953277"/>
    <w:pPr>
      <w:widowControl w:val="0"/>
      <w:ind w:left="879" w:hanging="219"/>
    </w:pPr>
    <w:rPr>
      <w:rFonts w:ascii="ＭＳ 明朝" w:eastAsia="ＭＳ 明朝" w:hAnsi="ＭＳ 明朝" w:cs="Kochi Mincho"/>
    </w:rPr>
  </w:style>
  <w:style w:type="paragraph" w:customStyle="1" w:styleId="en7">
    <w:name w:val="目次款（en）"/>
    <w:basedOn w:val="ja7"/>
    <w:rsid w:val="00953277"/>
    <w:rPr>
      <w:rFonts w:ascii="Century" w:eastAsia="Century" w:hAnsi="Century"/>
    </w:rPr>
  </w:style>
  <w:style w:type="paragraph" w:customStyle="1" w:styleId="ja8">
    <w:name w:val="別表名（ja）"/>
    <w:basedOn w:val="a"/>
    <w:rsid w:val="009532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953277"/>
    <w:rPr>
      <w:rFonts w:ascii="Century" w:eastAsia="Century" w:hAnsi="Century" w:cs="Century"/>
    </w:rPr>
  </w:style>
  <w:style w:type="paragraph" w:customStyle="1" w:styleId="ja9">
    <w:name w:val="目（ja）"/>
    <w:basedOn w:val="a"/>
    <w:rsid w:val="00953277"/>
    <w:pPr>
      <w:widowControl w:val="0"/>
      <w:ind w:left="1541" w:hanging="221"/>
    </w:pPr>
    <w:rPr>
      <w:rFonts w:ascii="ＭＳ 明朝" w:eastAsia="ＭＳ 明朝" w:hAnsi="ＭＳ 明朝" w:cs="ＭＳ 明朝"/>
      <w:b/>
    </w:rPr>
  </w:style>
  <w:style w:type="paragraph" w:customStyle="1" w:styleId="en9">
    <w:name w:val="目（en）"/>
    <w:basedOn w:val="ja9"/>
    <w:rsid w:val="00953277"/>
    <w:rPr>
      <w:rFonts w:ascii="Century" w:eastAsia="Century" w:hAnsi="Century" w:cs="Century"/>
    </w:rPr>
  </w:style>
  <w:style w:type="paragraph" w:customStyle="1" w:styleId="jaa">
    <w:name w:val="見出し（ja）"/>
    <w:basedOn w:val="a"/>
    <w:rsid w:val="00953277"/>
    <w:pPr>
      <w:widowControl w:val="0"/>
      <w:ind w:left="439" w:hanging="219"/>
    </w:pPr>
    <w:rPr>
      <w:rFonts w:ascii="ＭＳ 明朝" w:eastAsia="ＭＳ 明朝" w:hAnsi="ＭＳ 明朝" w:cs="ＭＳ 明朝"/>
    </w:rPr>
  </w:style>
  <w:style w:type="paragraph" w:customStyle="1" w:styleId="ena">
    <w:name w:val="見出し（en）"/>
    <w:basedOn w:val="jaa"/>
    <w:rsid w:val="00953277"/>
    <w:rPr>
      <w:rFonts w:ascii="Century" w:eastAsia="Century" w:hAnsi="Century" w:cs="Century"/>
    </w:rPr>
  </w:style>
  <w:style w:type="paragraph" w:styleId="a3">
    <w:name w:val="footer"/>
    <w:basedOn w:val="a"/>
    <w:rsid w:val="009532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53277"/>
    <w:pPr>
      <w:widowControl w:val="0"/>
      <w:ind w:left="1099" w:hanging="219"/>
    </w:pPr>
    <w:rPr>
      <w:rFonts w:ascii="ＭＳ 明朝" w:eastAsia="ＭＳ 明朝" w:hAnsi="ＭＳ 明朝" w:cs="Kochi Mincho"/>
    </w:rPr>
  </w:style>
  <w:style w:type="paragraph" w:customStyle="1" w:styleId="enb">
    <w:name w:val="目次目（en）"/>
    <w:basedOn w:val="jab"/>
    <w:rsid w:val="00953277"/>
    <w:rPr>
      <w:rFonts w:ascii="Century" w:eastAsia="Century" w:hAnsi="Century"/>
    </w:rPr>
  </w:style>
  <w:style w:type="paragraph" w:customStyle="1" w:styleId="jac">
    <w:name w:val="目次附則（ja）"/>
    <w:basedOn w:val="a"/>
    <w:rsid w:val="00953277"/>
    <w:pPr>
      <w:widowControl w:val="0"/>
      <w:ind w:left="439" w:hanging="219"/>
    </w:pPr>
    <w:rPr>
      <w:rFonts w:ascii="ＭＳ 明朝" w:eastAsia="ＭＳ 明朝" w:hAnsi="ＭＳ 明朝" w:cs="Kochi Mincho"/>
    </w:rPr>
  </w:style>
  <w:style w:type="paragraph" w:customStyle="1" w:styleId="enc">
    <w:name w:val="目次附則（en）"/>
    <w:basedOn w:val="jac"/>
    <w:rsid w:val="00953277"/>
    <w:rPr>
      <w:rFonts w:ascii="Century" w:eastAsia="Century" w:hAnsi="Century" w:cs="Century"/>
    </w:rPr>
  </w:style>
  <w:style w:type="paragraph" w:customStyle="1" w:styleId="jad">
    <w:name w:val="目次前文（ja）"/>
    <w:basedOn w:val="jac"/>
    <w:rsid w:val="00953277"/>
  </w:style>
  <w:style w:type="paragraph" w:customStyle="1" w:styleId="end">
    <w:name w:val="目次前文（en）"/>
    <w:basedOn w:val="enc"/>
    <w:rsid w:val="00953277"/>
  </w:style>
  <w:style w:type="paragraph" w:customStyle="1" w:styleId="jae">
    <w:name w:val="制定文（ja）"/>
    <w:basedOn w:val="a"/>
    <w:rsid w:val="00953277"/>
    <w:pPr>
      <w:widowControl w:val="0"/>
      <w:ind w:firstLine="219"/>
    </w:pPr>
    <w:rPr>
      <w:rFonts w:ascii="ＭＳ 明朝" w:eastAsia="ＭＳ 明朝" w:hAnsi="ＭＳ 明朝" w:cs="ＭＳ 明朝"/>
    </w:rPr>
  </w:style>
  <w:style w:type="paragraph" w:customStyle="1" w:styleId="ene">
    <w:name w:val="制定文（en）"/>
    <w:basedOn w:val="jae"/>
    <w:rsid w:val="00953277"/>
    <w:rPr>
      <w:rFonts w:ascii="Century" w:eastAsia="Century" w:hAnsi="Century" w:cs="Century"/>
    </w:rPr>
  </w:style>
  <w:style w:type="paragraph" w:customStyle="1" w:styleId="jaf">
    <w:name w:val="法令番号（ja）"/>
    <w:basedOn w:val="a"/>
    <w:rsid w:val="00953277"/>
    <w:pPr>
      <w:widowControl w:val="0"/>
      <w:jc w:val="right"/>
    </w:pPr>
    <w:rPr>
      <w:rFonts w:ascii="ＭＳ 明朝" w:eastAsia="ＭＳ 明朝" w:hAnsi="ＭＳ 明朝" w:cs="Kochi Mincho"/>
    </w:rPr>
  </w:style>
  <w:style w:type="paragraph" w:customStyle="1" w:styleId="enf">
    <w:name w:val="法令番号（en）"/>
    <w:basedOn w:val="jaf"/>
    <w:rsid w:val="00953277"/>
    <w:rPr>
      <w:rFonts w:ascii="Century" w:eastAsia="Century" w:hAnsi="Century" w:cs="Century"/>
    </w:rPr>
  </w:style>
  <w:style w:type="paragraph" w:customStyle="1" w:styleId="jaf0">
    <w:name w:val="目次（ja）"/>
    <w:basedOn w:val="a"/>
    <w:rsid w:val="00953277"/>
    <w:rPr>
      <w:rFonts w:ascii="ＭＳ 明朝" w:eastAsia="ＭＳ 明朝" w:hAnsi="ＭＳ 明朝"/>
    </w:rPr>
  </w:style>
  <w:style w:type="paragraph" w:customStyle="1" w:styleId="enf0">
    <w:name w:val="目次（en）"/>
    <w:basedOn w:val="jaf0"/>
    <w:rsid w:val="00953277"/>
    <w:rPr>
      <w:rFonts w:ascii="Century" w:eastAsia="Century" w:hAnsi="Century"/>
    </w:rPr>
  </w:style>
  <w:style w:type="paragraph" w:customStyle="1" w:styleId="jaf1">
    <w:name w:val="編（ja）"/>
    <w:basedOn w:val="a"/>
    <w:rsid w:val="00953277"/>
    <w:pPr>
      <w:widowControl w:val="0"/>
      <w:ind w:left="661" w:hanging="221"/>
    </w:pPr>
    <w:rPr>
      <w:rFonts w:ascii="ＭＳ 明朝" w:eastAsia="ＭＳ 明朝" w:hAnsi="ＭＳ 明朝" w:cs="ＭＳ 明朝"/>
      <w:b/>
    </w:rPr>
  </w:style>
  <w:style w:type="paragraph" w:customStyle="1" w:styleId="enf1">
    <w:name w:val="編（en）"/>
    <w:basedOn w:val="jaf1"/>
    <w:rsid w:val="00953277"/>
    <w:rPr>
      <w:rFonts w:ascii="Century" w:eastAsia="Century" w:hAnsi="Century" w:cs="Century"/>
    </w:rPr>
  </w:style>
  <w:style w:type="paragraph" w:customStyle="1" w:styleId="jaf2">
    <w:name w:val="節（ja）"/>
    <w:basedOn w:val="a"/>
    <w:rsid w:val="00953277"/>
    <w:pPr>
      <w:widowControl w:val="0"/>
      <w:ind w:left="1101" w:hanging="221"/>
    </w:pPr>
    <w:rPr>
      <w:rFonts w:ascii="ＭＳ 明朝" w:eastAsia="ＭＳ 明朝" w:hAnsi="ＭＳ 明朝" w:cs="ＭＳ 明朝"/>
      <w:b/>
    </w:rPr>
  </w:style>
  <w:style w:type="paragraph" w:customStyle="1" w:styleId="enf2">
    <w:name w:val="節（en）"/>
    <w:basedOn w:val="jaf2"/>
    <w:rsid w:val="00953277"/>
    <w:rPr>
      <w:rFonts w:ascii="Century" w:eastAsia="Century" w:hAnsi="Century" w:cs="Century"/>
    </w:rPr>
  </w:style>
  <w:style w:type="paragraph" w:customStyle="1" w:styleId="jaf3">
    <w:name w:val="条（ja）"/>
    <w:basedOn w:val="a"/>
    <w:rsid w:val="00953277"/>
    <w:pPr>
      <w:widowControl w:val="0"/>
      <w:ind w:left="219" w:hanging="219"/>
    </w:pPr>
    <w:rPr>
      <w:rFonts w:ascii="ＭＳ 明朝" w:eastAsia="ＭＳ 明朝" w:hAnsi="ＭＳ 明朝" w:cs="ＭＳ 明朝"/>
    </w:rPr>
  </w:style>
  <w:style w:type="paragraph" w:customStyle="1" w:styleId="enf3">
    <w:name w:val="条（en）"/>
    <w:basedOn w:val="jaf3"/>
    <w:rsid w:val="00953277"/>
    <w:rPr>
      <w:rFonts w:ascii="Century" w:eastAsia="Century" w:hAnsi="Century" w:cs="Century"/>
    </w:rPr>
  </w:style>
  <w:style w:type="paragraph" w:customStyle="1" w:styleId="jaf4">
    <w:name w:val="項（ja）"/>
    <w:basedOn w:val="a"/>
    <w:rsid w:val="00953277"/>
    <w:pPr>
      <w:widowControl w:val="0"/>
      <w:ind w:left="219" w:hanging="219"/>
    </w:pPr>
    <w:rPr>
      <w:rFonts w:ascii="ＭＳ 明朝" w:eastAsia="ＭＳ 明朝" w:hAnsi="ＭＳ 明朝" w:cs="ＭＳ 明朝"/>
    </w:rPr>
  </w:style>
  <w:style w:type="paragraph" w:customStyle="1" w:styleId="enf4">
    <w:name w:val="項（en）"/>
    <w:basedOn w:val="jaf4"/>
    <w:rsid w:val="00953277"/>
    <w:rPr>
      <w:rFonts w:ascii="Century" w:eastAsia="Century" w:hAnsi="Century" w:cs="Century"/>
    </w:rPr>
  </w:style>
  <w:style w:type="paragraph" w:customStyle="1" w:styleId="jaf5">
    <w:name w:val="項　番号なし（ja）"/>
    <w:basedOn w:val="a"/>
    <w:rsid w:val="00953277"/>
    <w:pPr>
      <w:widowControl w:val="0"/>
      <w:ind w:firstLine="221"/>
    </w:pPr>
    <w:rPr>
      <w:rFonts w:ascii="ＭＳ 明朝" w:eastAsia="ＭＳ 明朝" w:hAnsi="ＭＳ 明朝" w:cs="ＭＳ 明朝"/>
    </w:rPr>
  </w:style>
  <w:style w:type="paragraph" w:customStyle="1" w:styleId="enf5">
    <w:name w:val="項　番号なし（en）"/>
    <w:basedOn w:val="jaf5"/>
    <w:rsid w:val="00953277"/>
    <w:rPr>
      <w:rFonts w:ascii="Century" w:eastAsia="Century" w:hAnsi="Century" w:cs="Century"/>
    </w:rPr>
  </w:style>
  <w:style w:type="paragraph" w:customStyle="1" w:styleId="jaf6">
    <w:name w:val="号（ja）"/>
    <w:basedOn w:val="a"/>
    <w:rsid w:val="00953277"/>
    <w:pPr>
      <w:widowControl w:val="0"/>
      <w:ind w:left="439" w:hanging="219"/>
    </w:pPr>
    <w:rPr>
      <w:rFonts w:ascii="ＭＳ 明朝" w:eastAsia="ＭＳ 明朝" w:hAnsi="ＭＳ 明朝" w:cs="ＭＳ 明朝"/>
    </w:rPr>
  </w:style>
  <w:style w:type="paragraph" w:customStyle="1" w:styleId="enf6">
    <w:name w:val="号（en）"/>
    <w:basedOn w:val="jaf6"/>
    <w:rsid w:val="00953277"/>
    <w:rPr>
      <w:rFonts w:ascii="Century" w:eastAsia="Century" w:hAnsi="Century" w:cs="Century"/>
    </w:rPr>
  </w:style>
  <w:style w:type="paragraph" w:customStyle="1" w:styleId="jaf7">
    <w:name w:val="号　番号なし（ja）"/>
    <w:basedOn w:val="a"/>
    <w:rsid w:val="00953277"/>
    <w:pPr>
      <w:widowControl w:val="0"/>
      <w:ind w:left="221" w:firstLine="221"/>
    </w:pPr>
    <w:rPr>
      <w:rFonts w:ascii="ＭＳ 明朝" w:eastAsia="ＭＳ 明朝" w:hAnsi="ＭＳ 明朝" w:cs="ＭＳ 明朝"/>
    </w:rPr>
  </w:style>
  <w:style w:type="paragraph" w:customStyle="1" w:styleId="enf7">
    <w:name w:val="号　番号なし（en）"/>
    <w:basedOn w:val="jaf7"/>
    <w:rsid w:val="00953277"/>
    <w:rPr>
      <w:rFonts w:ascii="Century" w:eastAsia="Century" w:hAnsi="Century" w:cs="Century"/>
    </w:rPr>
  </w:style>
  <w:style w:type="paragraph" w:customStyle="1" w:styleId="jaf8">
    <w:name w:val="備考号（ja）"/>
    <w:basedOn w:val="a"/>
    <w:rsid w:val="00953277"/>
    <w:pPr>
      <w:widowControl w:val="0"/>
      <w:ind w:left="659" w:hanging="219"/>
    </w:pPr>
    <w:rPr>
      <w:rFonts w:ascii="ＭＳ 明朝" w:eastAsia="ＭＳ 明朝" w:hAnsi="ＭＳ 明朝" w:cs="ＭＳ 明朝"/>
    </w:rPr>
  </w:style>
  <w:style w:type="paragraph" w:customStyle="1" w:styleId="enf8">
    <w:name w:val="備考号（en）"/>
    <w:basedOn w:val="jaf8"/>
    <w:rsid w:val="00953277"/>
    <w:rPr>
      <w:rFonts w:ascii="Century" w:eastAsia="Century" w:hAnsi="Century" w:cs="Century"/>
    </w:rPr>
  </w:style>
  <w:style w:type="paragraph" w:customStyle="1" w:styleId="jaf9">
    <w:name w:val="号細分（ja）"/>
    <w:basedOn w:val="a"/>
    <w:rsid w:val="00953277"/>
    <w:pPr>
      <w:widowControl w:val="0"/>
      <w:ind w:left="659" w:hanging="219"/>
    </w:pPr>
    <w:rPr>
      <w:rFonts w:ascii="ＭＳ 明朝" w:eastAsia="ＭＳ 明朝" w:hAnsi="ＭＳ 明朝" w:cs="ＭＳ 明朝"/>
    </w:rPr>
  </w:style>
  <w:style w:type="paragraph" w:customStyle="1" w:styleId="enf9">
    <w:name w:val="号細分（en）"/>
    <w:basedOn w:val="jaf9"/>
    <w:rsid w:val="00953277"/>
    <w:rPr>
      <w:rFonts w:ascii="Century" w:eastAsia="Century" w:hAnsi="Century" w:cs="Century"/>
    </w:rPr>
  </w:style>
  <w:style w:type="paragraph" w:customStyle="1" w:styleId="jafa">
    <w:name w:val="号細分　番号なし（ja）"/>
    <w:basedOn w:val="a"/>
    <w:rsid w:val="00953277"/>
    <w:pPr>
      <w:widowControl w:val="0"/>
      <w:ind w:left="439"/>
    </w:pPr>
    <w:rPr>
      <w:rFonts w:ascii="ＭＳ 明朝" w:eastAsia="ＭＳ 明朝" w:hAnsi="ＭＳ 明朝" w:cs="ＭＳ 明朝"/>
    </w:rPr>
  </w:style>
  <w:style w:type="paragraph" w:customStyle="1" w:styleId="enfa">
    <w:name w:val="号細分　番号なし（en）"/>
    <w:basedOn w:val="jafa"/>
    <w:rsid w:val="00953277"/>
    <w:rPr>
      <w:rFonts w:ascii="Century" w:eastAsia="Century" w:hAnsi="Century" w:cs="Century"/>
    </w:rPr>
  </w:style>
  <w:style w:type="paragraph" w:customStyle="1" w:styleId="jafb">
    <w:name w:val="備考号細分（ja）"/>
    <w:basedOn w:val="a"/>
    <w:rsid w:val="00953277"/>
    <w:pPr>
      <w:widowControl w:val="0"/>
      <w:ind w:left="1099" w:hanging="439"/>
    </w:pPr>
    <w:rPr>
      <w:rFonts w:ascii="ＭＳ 明朝" w:eastAsia="ＭＳ 明朝" w:hAnsi="ＭＳ 明朝" w:cs="ＭＳ 明朝"/>
    </w:rPr>
  </w:style>
  <w:style w:type="paragraph" w:customStyle="1" w:styleId="enfb">
    <w:name w:val="備考号細分（en）"/>
    <w:basedOn w:val="jafb"/>
    <w:rsid w:val="00953277"/>
    <w:rPr>
      <w:rFonts w:ascii="Century" w:eastAsia="Century" w:hAnsi="Century" w:cs="Century"/>
    </w:rPr>
  </w:style>
  <w:style w:type="paragraph" w:customStyle="1" w:styleId="jafc">
    <w:name w:val="号細細分（ja）"/>
    <w:basedOn w:val="a"/>
    <w:rsid w:val="00953277"/>
    <w:pPr>
      <w:widowControl w:val="0"/>
      <w:ind w:left="1099" w:hanging="439"/>
    </w:pPr>
    <w:rPr>
      <w:rFonts w:ascii="ＭＳ 明朝" w:eastAsia="ＭＳ 明朝" w:hAnsi="ＭＳ 明朝" w:cs="ＭＳ 明朝"/>
    </w:rPr>
  </w:style>
  <w:style w:type="paragraph" w:customStyle="1" w:styleId="enfc">
    <w:name w:val="号細細分（en）"/>
    <w:basedOn w:val="jafc"/>
    <w:rsid w:val="00953277"/>
    <w:rPr>
      <w:rFonts w:ascii="Century" w:eastAsia="Century" w:hAnsi="Century" w:cs="Century"/>
    </w:rPr>
  </w:style>
  <w:style w:type="paragraph" w:customStyle="1" w:styleId="jafd">
    <w:name w:val="号細細分　番号なし（ja）"/>
    <w:basedOn w:val="a"/>
    <w:rsid w:val="00953277"/>
    <w:pPr>
      <w:widowControl w:val="0"/>
      <w:ind w:left="659"/>
    </w:pPr>
    <w:rPr>
      <w:rFonts w:ascii="ＭＳ 明朝" w:eastAsia="ＭＳ 明朝" w:hAnsi="ＭＳ 明朝" w:cs="ＭＳ 明朝"/>
    </w:rPr>
  </w:style>
  <w:style w:type="paragraph" w:customStyle="1" w:styleId="enfd">
    <w:name w:val="号細細分　番号なし（en）"/>
    <w:basedOn w:val="jafd"/>
    <w:rsid w:val="00953277"/>
    <w:rPr>
      <w:rFonts w:ascii="Century" w:eastAsia="Century" w:hAnsi="Century" w:cs="Century"/>
    </w:rPr>
  </w:style>
  <w:style w:type="paragraph" w:customStyle="1" w:styleId="jafe">
    <w:name w:val="備考号細細分（ja）"/>
    <w:basedOn w:val="a"/>
    <w:rsid w:val="00953277"/>
    <w:pPr>
      <w:widowControl w:val="0"/>
      <w:ind w:left="1319" w:hanging="439"/>
    </w:pPr>
    <w:rPr>
      <w:rFonts w:ascii="ＭＳ 明朝" w:eastAsia="ＭＳ 明朝" w:hAnsi="ＭＳ 明朝" w:cs="ＭＳ 明朝"/>
    </w:rPr>
  </w:style>
  <w:style w:type="paragraph" w:customStyle="1" w:styleId="enfe">
    <w:name w:val="備考号細細分（en）"/>
    <w:basedOn w:val="jafe"/>
    <w:rsid w:val="00953277"/>
    <w:rPr>
      <w:rFonts w:ascii="Century" w:eastAsia="Century" w:hAnsi="Century" w:cs="Century"/>
    </w:rPr>
  </w:style>
  <w:style w:type="paragraph" w:customStyle="1" w:styleId="jaff">
    <w:name w:val="号細細細分（ja）"/>
    <w:basedOn w:val="a"/>
    <w:rsid w:val="00953277"/>
    <w:pPr>
      <w:widowControl w:val="0"/>
      <w:ind w:left="1319" w:hanging="439"/>
    </w:pPr>
    <w:rPr>
      <w:rFonts w:ascii="ＭＳ 明朝" w:eastAsia="ＭＳ 明朝" w:hAnsi="ＭＳ 明朝" w:cs="ＭＳ 明朝"/>
    </w:rPr>
  </w:style>
  <w:style w:type="paragraph" w:customStyle="1" w:styleId="enff">
    <w:name w:val="号細細細分（en）"/>
    <w:basedOn w:val="jaff"/>
    <w:rsid w:val="00953277"/>
    <w:rPr>
      <w:rFonts w:ascii="Century" w:eastAsia="Century" w:hAnsi="Century" w:cs="Century"/>
    </w:rPr>
  </w:style>
  <w:style w:type="paragraph" w:customStyle="1" w:styleId="jaff0">
    <w:name w:val="号細細細分　番号なし（ja）"/>
    <w:basedOn w:val="a"/>
    <w:rsid w:val="00953277"/>
    <w:pPr>
      <w:widowControl w:val="0"/>
      <w:ind w:left="879"/>
    </w:pPr>
    <w:rPr>
      <w:rFonts w:ascii="ＭＳ 明朝" w:eastAsia="ＭＳ 明朝" w:hAnsi="ＭＳ 明朝" w:cs="ＭＳ 明朝"/>
    </w:rPr>
  </w:style>
  <w:style w:type="paragraph" w:customStyle="1" w:styleId="enff0">
    <w:name w:val="号細細細分　番号なし（en）"/>
    <w:basedOn w:val="jaff0"/>
    <w:rsid w:val="00953277"/>
    <w:rPr>
      <w:rFonts w:ascii="Century" w:eastAsia="Century" w:hAnsi="Century" w:cs="Century"/>
    </w:rPr>
  </w:style>
  <w:style w:type="paragraph" w:customStyle="1" w:styleId="jaff1">
    <w:name w:val="備考号細細細分（ja）"/>
    <w:basedOn w:val="a"/>
    <w:rsid w:val="009532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953277"/>
    <w:rPr>
      <w:rFonts w:ascii="Century" w:eastAsia="Century" w:hAnsi="Century" w:cs="Century"/>
    </w:rPr>
  </w:style>
  <w:style w:type="paragraph" w:customStyle="1" w:styleId="jaff2">
    <w:name w:val="類（ja）"/>
    <w:basedOn w:val="a"/>
    <w:rsid w:val="00953277"/>
    <w:pPr>
      <w:widowControl w:val="0"/>
      <w:ind w:left="439" w:hanging="219"/>
    </w:pPr>
    <w:rPr>
      <w:rFonts w:ascii="ＭＳ 明朝" w:eastAsia="ＭＳ 明朝" w:hAnsi="ＭＳ 明朝" w:cs="ＭＳ 明朝"/>
    </w:rPr>
  </w:style>
  <w:style w:type="paragraph" w:customStyle="1" w:styleId="enff2">
    <w:name w:val="類（en）"/>
    <w:basedOn w:val="jaff2"/>
    <w:rsid w:val="00953277"/>
    <w:rPr>
      <w:rFonts w:ascii="Century" w:eastAsia="Century" w:hAnsi="Century" w:cs="Century"/>
    </w:rPr>
  </w:style>
  <w:style w:type="paragraph" w:customStyle="1" w:styleId="jaff3">
    <w:name w:val="公布文（ja）"/>
    <w:basedOn w:val="a"/>
    <w:rsid w:val="00953277"/>
    <w:pPr>
      <w:widowControl w:val="0"/>
      <w:ind w:firstLine="219"/>
    </w:pPr>
    <w:rPr>
      <w:rFonts w:ascii="ＭＳ 明朝" w:eastAsia="ＭＳ 明朝" w:hAnsi="ＭＳ 明朝" w:cs="ＭＳ 明朝"/>
    </w:rPr>
  </w:style>
  <w:style w:type="paragraph" w:customStyle="1" w:styleId="enff3">
    <w:name w:val="公布文（en）"/>
    <w:basedOn w:val="jaff3"/>
    <w:rsid w:val="00953277"/>
    <w:rPr>
      <w:rFonts w:ascii="Century" w:eastAsia="Century" w:hAnsi="Century" w:cs="Century"/>
    </w:rPr>
  </w:style>
  <w:style w:type="paragraph" w:customStyle="1" w:styleId="jaen">
    <w:name w:val="表（ja：en）"/>
    <w:basedOn w:val="a"/>
    <w:rsid w:val="00953277"/>
    <w:pPr>
      <w:widowControl w:val="0"/>
      <w:snapToGrid w:val="0"/>
    </w:pPr>
    <w:rPr>
      <w:rFonts w:ascii="Century" w:eastAsia="ＭＳ 明朝" w:hAnsi="Century"/>
    </w:rPr>
  </w:style>
  <w:style w:type="paragraph" w:customStyle="1" w:styleId="jaff4">
    <w:name w:val="備考（ja）"/>
    <w:basedOn w:val="a"/>
    <w:rsid w:val="00953277"/>
    <w:pPr>
      <w:widowControl w:val="0"/>
      <w:ind w:left="439" w:hanging="219"/>
    </w:pPr>
    <w:rPr>
      <w:rFonts w:ascii="ＭＳ 明朝" w:eastAsia="ＭＳ 明朝" w:hAnsi="ＭＳ 明朝" w:cs="ＭＳ 明朝"/>
    </w:rPr>
  </w:style>
  <w:style w:type="paragraph" w:customStyle="1" w:styleId="enff4">
    <w:name w:val="備考（en）"/>
    <w:basedOn w:val="jaff4"/>
    <w:rsid w:val="00953277"/>
    <w:rPr>
      <w:rFonts w:ascii="Century" w:eastAsia="Century" w:hAnsi="Century" w:cs="Century"/>
    </w:rPr>
  </w:style>
  <w:style w:type="paragraph" w:customStyle="1" w:styleId="jaff5">
    <w:name w:val="表タイトル（ja）"/>
    <w:basedOn w:val="a"/>
    <w:rsid w:val="00953277"/>
    <w:pPr>
      <w:widowControl w:val="0"/>
      <w:ind w:left="219"/>
    </w:pPr>
    <w:rPr>
      <w:rFonts w:ascii="ＭＳ 明朝" w:eastAsia="ＭＳ 明朝" w:hAnsi="ＭＳ 明朝" w:cs="ＭＳ 明朝"/>
    </w:rPr>
  </w:style>
  <w:style w:type="paragraph" w:customStyle="1" w:styleId="enff5">
    <w:name w:val="表タイトル（en）"/>
    <w:basedOn w:val="jaff5"/>
    <w:rsid w:val="00953277"/>
    <w:rPr>
      <w:rFonts w:ascii="Century" w:eastAsia="Century" w:hAnsi="Century" w:cs="Century"/>
    </w:rPr>
  </w:style>
  <w:style w:type="paragraph" w:customStyle="1" w:styleId="jaff6">
    <w:name w:val="改正規定文（ja）"/>
    <w:basedOn w:val="a"/>
    <w:rsid w:val="00953277"/>
    <w:pPr>
      <w:widowControl w:val="0"/>
      <w:ind w:left="219" w:firstLine="219"/>
    </w:pPr>
    <w:rPr>
      <w:rFonts w:ascii="ＭＳ 明朝" w:eastAsia="ＭＳ 明朝" w:hAnsi="ＭＳ 明朝" w:cs="ＭＳ 明朝"/>
    </w:rPr>
  </w:style>
  <w:style w:type="paragraph" w:customStyle="1" w:styleId="enff6">
    <w:name w:val="改正規定文（en）"/>
    <w:basedOn w:val="jaff6"/>
    <w:rsid w:val="00953277"/>
    <w:rPr>
      <w:rFonts w:ascii="Century" w:eastAsia="Century" w:hAnsi="Century" w:cs="Century"/>
    </w:rPr>
  </w:style>
  <w:style w:type="paragraph" w:customStyle="1" w:styleId="jaff7">
    <w:name w:val="付記（ja）"/>
    <w:basedOn w:val="a"/>
    <w:rsid w:val="00953277"/>
    <w:pPr>
      <w:widowControl w:val="0"/>
      <w:ind w:left="219" w:firstLine="219"/>
    </w:pPr>
    <w:rPr>
      <w:rFonts w:ascii="ＭＳ 明朝" w:eastAsia="ＭＳ 明朝" w:hAnsi="ＭＳ 明朝" w:cs="ＭＳ 明朝"/>
    </w:rPr>
  </w:style>
  <w:style w:type="paragraph" w:customStyle="1" w:styleId="enff7">
    <w:name w:val="付記（en）"/>
    <w:basedOn w:val="jaff7"/>
    <w:rsid w:val="00953277"/>
    <w:rPr>
      <w:rFonts w:ascii="Century" w:eastAsia="Century" w:hAnsi="Century" w:cs="Century"/>
    </w:rPr>
  </w:style>
  <w:style w:type="paragraph" w:customStyle="1" w:styleId="jaff8">
    <w:name w:val="様式名（ja）"/>
    <w:basedOn w:val="a"/>
    <w:rsid w:val="00953277"/>
    <w:pPr>
      <w:widowControl w:val="0"/>
      <w:ind w:left="439" w:hanging="219"/>
    </w:pPr>
    <w:rPr>
      <w:rFonts w:ascii="ＭＳ 明朝" w:eastAsia="ＭＳ 明朝" w:hAnsi="ＭＳ 明朝" w:cs="ＭＳ 明朝"/>
    </w:rPr>
  </w:style>
  <w:style w:type="paragraph" w:customStyle="1" w:styleId="enff8">
    <w:name w:val="様式名（en）"/>
    <w:basedOn w:val="jaff8"/>
    <w:rsid w:val="00953277"/>
    <w:rPr>
      <w:rFonts w:ascii="Century" w:eastAsia="Century" w:hAnsi="Century" w:cs="Century"/>
    </w:rPr>
  </w:style>
  <w:style w:type="paragraph" w:customStyle="1" w:styleId="jaff9">
    <w:name w:val="様式項目（ja）"/>
    <w:basedOn w:val="a"/>
    <w:rsid w:val="00953277"/>
    <w:pPr>
      <w:widowControl w:val="0"/>
      <w:ind w:left="221" w:firstLine="221"/>
    </w:pPr>
    <w:rPr>
      <w:rFonts w:ascii="ＭＳ 明朝" w:eastAsia="ＭＳ 明朝" w:hAnsi="ＭＳ 明朝" w:cs="ＭＳ 明朝"/>
    </w:rPr>
  </w:style>
  <w:style w:type="paragraph" w:customStyle="1" w:styleId="enff9">
    <w:name w:val="様式項目（en）"/>
    <w:basedOn w:val="jaff9"/>
    <w:rsid w:val="00953277"/>
    <w:rPr>
      <w:rFonts w:ascii="Century" w:eastAsia="Century" w:hAnsi="Century" w:cs="Century"/>
    </w:rPr>
  </w:style>
  <w:style w:type="table" w:customStyle="1" w:styleId="1">
    <w:name w:val="表1"/>
    <w:rsid w:val="00953277"/>
    <w:tblPr>
      <w:tblInd w:w="340" w:type="dxa"/>
      <w:tblCellMar>
        <w:top w:w="0" w:type="dxa"/>
        <w:left w:w="0" w:type="dxa"/>
        <w:bottom w:w="0" w:type="dxa"/>
        <w:right w:w="0" w:type="dxa"/>
      </w:tblCellMar>
    </w:tblPr>
  </w:style>
  <w:style w:type="numbering" w:customStyle="1" w:styleId="WW8Num1">
    <w:name w:val="WW8Num1"/>
    <w:rsid w:val="00953277"/>
    <w:pPr>
      <w:numPr>
        <w:numId w:val="2"/>
      </w:numPr>
    </w:pPr>
  </w:style>
  <w:style w:type="numbering" w:customStyle="1" w:styleId="WW8Num2">
    <w:name w:val="WW8Num2"/>
    <w:rsid w:val="00953277"/>
    <w:pPr>
      <w:numPr>
        <w:numId w:val="3"/>
      </w:numPr>
    </w:pPr>
  </w:style>
  <w:style w:type="numbering" w:customStyle="1" w:styleId="WW8Num3">
    <w:name w:val="WW8Num3"/>
    <w:rsid w:val="00953277"/>
    <w:pPr>
      <w:numPr>
        <w:numId w:val="4"/>
      </w:numPr>
    </w:pPr>
  </w:style>
  <w:style w:type="numbering" w:customStyle="1" w:styleId="WW8Num4">
    <w:name w:val="WW8Num4"/>
    <w:rsid w:val="00953277"/>
    <w:pPr>
      <w:numPr>
        <w:numId w:val="5"/>
      </w:numPr>
    </w:pPr>
  </w:style>
  <w:style w:type="numbering" w:customStyle="1" w:styleId="WW8Num5">
    <w:name w:val="WW8Num5"/>
    <w:rsid w:val="00953277"/>
    <w:pPr>
      <w:numPr>
        <w:numId w:val="6"/>
      </w:numPr>
    </w:pPr>
  </w:style>
  <w:style w:type="numbering" w:customStyle="1" w:styleId="WW8Num6">
    <w:name w:val="WW8Num6"/>
    <w:rsid w:val="00953277"/>
    <w:pPr>
      <w:numPr>
        <w:numId w:val="7"/>
      </w:numPr>
    </w:pPr>
  </w:style>
  <w:style w:type="numbering" w:customStyle="1" w:styleId="WW8Num7">
    <w:name w:val="WW8Num7"/>
    <w:rsid w:val="00953277"/>
    <w:pPr>
      <w:numPr>
        <w:numId w:val="8"/>
      </w:numPr>
    </w:pPr>
  </w:style>
  <w:style w:type="numbering" w:customStyle="1" w:styleId="WW8Num8">
    <w:name w:val="WW8Num8"/>
    <w:rsid w:val="00953277"/>
    <w:pPr>
      <w:numPr>
        <w:numId w:val="9"/>
      </w:numPr>
    </w:pPr>
  </w:style>
  <w:style w:type="numbering" w:customStyle="1" w:styleId="WW8Num9">
    <w:name w:val="WW8Num9"/>
    <w:rsid w:val="00953277"/>
    <w:pPr>
      <w:numPr>
        <w:numId w:val="10"/>
      </w:numPr>
    </w:pPr>
  </w:style>
  <w:style w:type="numbering" w:customStyle="1" w:styleId="WW8Num10">
    <w:name w:val="WW8Num10"/>
    <w:rsid w:val="00953277"/>
    <w:pPr>
      <w:numPr>
        <w:numId w:val="11"/>
      </w:numPr>
    </w:pPr>
  </w:style>
  <w:style w:type="numbering" w:customStyle="1" w:styleId="WW8Num11">
    <w:name w:val="WW8Num11"/>
    <w:rsid w:val="00953277"/>
    <w:pPr>
      <w:numPr>
        <w:numId w:val="12"/>
      </w:numPr>
    </w:pPr>
  </w:style>
  <w:style w:type="numbering" w:customStyle="1" w:styleId="WW8Num12">
    <w:name w:val="WW8Num12"/>
    <w:rsid w:val="00953277"/>
    <w:pPr>
      <w:numPr>
        <w:numId w:val="13"/>
      </w:numPr>
    </w:pPr>
  </w:style>
  <w:style w:type="paragraph" w:styleId="a4">
    <w:name w:val="header"/>
    <w:basedOn w:val="a"/>
    <w:link w:val="a5"/>
    <w:uiPriority w:val="99"/>
    <w:unhideWhenUsed/>
    <w:rsid w:val="00D02859"/>
    <w:pPr>
      <w:tabs>
        <w:tab w:val="center" w:pos="4252"/>
        <w:tab w:val="right" w:pos="8504"/>
      </w:tabs>
      <w:snapToGrid w:val="0"/>
    </w:pPr>
  </w:style>
  <w:style w:type="character" w:customStyle="1" w:styleId="a5">
    <w:name w:val="ヘッダー (文字)"/>
    <w:basedOn w:val="a0"/>
    <w:link w:val="a4"/>
    <w:uiPriority w:val="99"/>
    <w:rsid w:val="00D0285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5223</Words>
  <Characters>29775</Characters>
  <Application>Microsoft Office Word</Application>
  <DocSecurity>0</DocSecurity>
  <Lines>248</Lines>
  <Paragraphs>69</Paragraphs>
  <ScaleCrop>false</ScaleCrop>
  <Company/>
  <LinksUpToDate>false</LinksUpToDate>
  <CharactersWithSpaces>34929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2022-01-04T07:55:00Z</dcterms:created>
  <dcterms:modified xsi:type="dcterms:W3CDTF">2022-01-04T07:55:00Z</dcterms:modified>
</cp:coreProperties>
</file>