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DE7" w:rsidRDefault="00DA5778">
      <w:pPr>
        <w:pStyle w:val="en"/>
      </w:pPr>
      <w:r>
        <w:t>Ministerial Order to Provide Technical Standards for Electrical Appliances and Materials</w:t>
      </w:r>
    </w:p>
    <w:p w:rsidR="00DD7DE7" w:rsidRDefault="00DD7DE7"/>
    <w:p w:rsidR="00DD7DE7" w:rsidRDefault="00DA5778">
      <w:pPr>
        <w:pStyle w:val="enf"/>
      </w:pPr>
      <w:r>
        <w:t>(Order of the Ministry of Economy, Trade and Industry No. 34 of July 1, 2013)</w:t>
      </w:r>
    </w:p>
    <w:p w:rsidR="00DD7DE7" w:rsidRDefault="00DD7DE7"/>
    <w:p w:rsidR="00DD7DE7" w:rsidRDefault="00DA5778">
      <w:pPr>
        <w:pStyle w:val="ene"/>
      </w:pPr>
      <w:r>
        <w:t xml:space="preserve">In accordance with the provisions of Article 8, paragraph (1) of the </w:t>
      </w:r>
      <w:r>
        <w:t xml:space="preserve">Electrical Appliances and Materials Safety Act (Act No. 234 of 1961), a ministerial order to amend the Ministerial Order to Provide Technical Standards for Electrical Appliances and Materials (Order of the Ministry of Economy, Trade and Industry No. 85 of </w:t>
      </w:r>
      <w:r>
        <w:t>1962) in its entirety is hereby prescribed as follows.</w:t>
      </w:r>
    </w:p>
    <w:p w:rsidR="00DD7DE7" w:rsidRDefault="00DD7DE7"/>
    <w:p w:rsidR="00DD7DE7" w:rsidRDefault="00DA5778">
      <w:pPr>
        <w:pStyle w:val="enf0"/>
      </w:pPr>
      <w:r>
        <w:t>Table of contents</w:t>
      </w:r>
    </w:p>
    <w:p w:rsidR="00DD7DE7" w:rsidRDefault="00DA5778">
      <w:pPr>
        <w:pStyle w:val="en5"/>
      </w:pPr>
      <w:r>
        <w:t>Chapter I General Provisions (Article 1)</w:t>
      </w:r>
    </w:p>
    <w:p w:rsidR="00DD7DE7" w:rsidRDefault="00DA5778">
      <w:pPr>
        <w:pStyle w:val="en5"/>
      </w:pPr>
      <w:r>
        <w:t>Chapter II General Requirements (Articles 2 to 6)</w:t>
      </w:r>
    </w:p>
    <w:p w:rsidR="00DD7DE7" w:rsidRDefault="00DA5778">
      <w:pPr>
        <w:pStyle w:val="en5"/>
      </w:pPr>
      <w:r>
        <w:t>Chapter III Protection against Hazards (Articles 7 to 17)</w:t>
      </w:r>
    </w:p>
    <w:p w:rsidR="00DD7DE7" w:rsidRDefault="00DA5778">
      <w:pPr>
        <w:pStyle w:val="en5"/>
      </w:pPr>
      <w:r>
        <w:t>Chapter IV Noise Level (Article 1</w:t>
      </w:r>
      <w:r>
        <w:t>8)</w:t>
      </w:r>
    </w:p>
    <w:p w:rsidR="00DD7DE7" w:rsidRDefault="00DA5778">
      <w:pPr>
        <w:pStyle w:val="en5"/>
      </w:pPr>
      <w:r>
        <w:t>Chapter V Labels (Articles 19 and 20)</w:t>
      </w:r>
    </w:p>
    <w:p w:rsidR="00DD7DE7" w:rsidRDefault="00DA5778">
      <w:pPr>
        <w:pStyle w:val="enc"/>
      </w:pPr>
      <w:r>
        <w:t>Supplementary Provisions</w:t>
      </w:r>
    </w:p>
    <w:p w:rsidR="00DD7DE7" w:rsidRDefault="00DD7DE7"/>
    <w:p w:rsidR="00DD7DE7" w:rsidRDefault="00DA5778">
      <w:pPr>
        <w:pStyle w:val="en3"/>
      </w:pPr>
      <w:r>
        <w:t>Chapter I General Provisions</w:t>
      </w:r>
    </w:p>
    <w:p w:rsidR="00DD7DE7" w:rsidRDefault="00DD7DE7"/>
    <w:p w:rsidR="00DD7DE7" w:rsidRDefault="00DA5778">
      <w:pPr>
        <w:pStyle w:val="enf3"/>
      </w:pPr>
      <w:r>
        <w:t>Article 1  This Ministerial Order is to provide technical standards to be prescribed by Order of the Ministry of Economy, Trade and Industry as prescribed in A</w:t>
      </w:r>
      <w:r>
        <w:t>rticle 8, paragraph (1) of the Electrical Appliances and Materials Safety Act.</w:t>
      </w:r>
    </w:p>
    <w:p w:rsidR="00DD7DE7" w:rsidRDefault="00DD7DE7"/>
    <w:p w:rsidR="00DD7DE7" w:rsidRDefault="00DA5778">
      <w:pPr>
        <w:pStyle w:val="en3"/>
      </w:pPr>
      <w:r>
        <w:t>Chapter II General Requirements</w:t>
      </w:r>
    </w:p>
    <w:p w:rsidR="00DD7DE7" w:rsidRDefault="00DD7DE7"/>
    <w:p w:rsidR="00DD7DE7" w:rsidRDefault="00DA5778">
      <w:pPr>
        <w:pStyle w:val="ena"/>
      </w:pPr>
      <w:r>
        <w:t>(Safety Principle)</w:t>
      </w:r>
    </w:p>
    <w:p w:rsidR="00DD7DE7" w:rsidRDefault="00DA5778">
      <w:pPr>
        <w:pStyle w:val="enf3"/>
      </w:pPr>
      <w:r>
        <w:t>Article 2  (1) Electrical appliances and materials are to be designed to mitigate the risk of causing personal injury or pro</w:t>
      </w:r>
      <w:r>
        <w:t>perty damage under normal use.</w:t>
      </w:r>
    </w:p>
    <w:p w:rsidR="00DD7DE7" w:rsidRDefault="00DA5778">
      <w:pPr>
        <w:pStyle w:val="enf4"/>
      </w:pPr>
      <w:r>
        <w:t>(2) Electrical appliances and materials are to be properly designed in terms of shape, well assembled, and operated smoothly in order to ensure their safety.</w:t>
      </w:r>
    </w:p>
    <w:p w:rsidR="00DD7DE7" w:rsidRDefault="00DD7DE7"/>
    <w:p w:rsidR="00DD7DE7" w:rsidRDefault="00DA5778">
      <w:pPr>
        <w:pStyle w:val="ena"/>
      </w:pPr>
      <w:r>
        <w:t>(Design with Safety Functions)</w:t>
      </w:r>
    </w:p>
    <w:p w:rsidR="00DD7DE7" w:rsidRDefault="00DA5778">
      <w:pPr>
        <w:pStyle w:val="enf3"/>
      </w:pPr>
      <w:r>
        <w:t>Article 3  (1) In furtherance of th</w:t>
      </w:r>
      <w:r>
        <w:t>e principles set out in the preceding Article, electrical appliances and materials are to be designed to have safety functions to prevent the occurrence of hazardous conditions and minimize damage that may arise when the conditions occur.</w:t>
      </w:r>
    </w:p>
    <w:p w:rsidR="00DD7DE7" w:rsidRDefault="00DA5778">
      <w:pPr>
        <w:pStyle w:val="enf4"/>
      </w:pPr>
      <w:r>
        <w:t>(2) If it is foun</w:t>
      </w:r>
      <w:r>
        <w:t xml:space="preserve">d to be difficult to ensure the safety of electrical appliances and </w:t>
      </w:r>
      <w:r>
        <w:lastRenderedPageBreak/>
        <w:t>materials only by taking measures under the provisions of the preceding paragraph, information and instructions for use necessary to ensure the safety of electrical appliances and material</w:t>
      </w:r>
      <w:r>
        <w:t>s are to be displayed or described on them or in the instruction manuals, etc. provided with them.</w:t>
      </w:r>
    </w:p>
    <w:p w:rsidR="00DD7DE7" w:rsidRDefault="00DD7DE7"/>
    <w:p w:rsidR="00DD7DE7" w:rsidRDefault="00DA5778">
      <w:pPr>
        <w:pStyle w:val="ena"/>
      </w:pPr>
      <w:r>
        <w:t>(Maintenance of Safety Functions during In-service Period)</w:t>
      </w:r>
    </w:p>
    <w:p w:rsidR="00DD7DE7" w:rsidRDefault="00DA5778">
      <w:pPr>
        <w:pStyle w:val="enf3"/>
      </w:pPr>
      <w:r>
        <w:t xml:space="preserve">Article 4  Electrical appliances and materials are to be configured so as to maintain their </w:t>
      </w:r>
      <w:r>
        <w:t>safety functions during their normally expected in-service period.</w:t>
      </w:r>
    </w:p>
    <w:p w:rsidR="00DD7DE7" w:rsidRDefault="00DD7DE7"/>
    <w:p w:rsidR="00DD7DE7" w:rsidRDefault="00DA5778">
      <w:pPr>
        <w:pStyle w:val="ena"/>
      </w:pPr>
      <w:r>
        <w:t>(Safety Design Based on Users and Places of Use)</w:t>
      </w:r>
    </w:p>
    <w:p w:rsidR="00DD7DE7" w:rsidRDefault="00DA5778">
      <w:pPr>
        <w:pStyle w:val="enf3"/>
      </w:pPr>
      <w:r>
        <w:t>Article 5  Electrical appliances and materials are to be designed to mitigate the risk of causing physical injury or property damage in con</w:t>
      </w:r>
      <w:r>
        <w:t>sideration of the expected users and places of use, and are to be labeled appropriately as may be necessary.</w:t>
      </w:r>
    </w:p>
    <w:p w:rsidR="00DD7DE7" w:rsidRDefault="00DD7DE7"/>
    <w:p w:rsidR="00DD7DE7" w:rsidRDefault="00DA5778">
      <w:pPr>
        <w:pStyle w:val="ena"/>
      </w:pPr>
      <w:r>
        <w:t>(Use of Components and Materials with Heat Resistance)</w:t>
      </w:r>
    </w:p>
    <w:p w:rsidR="00DD7DE7" w:rsidRDefault="00DA5778">
      <w:pPr>
        <w:pStyle w:val="enf3"/>
      </w:pPr>
      <w:r>
        <w:t>Article 6  Electrical appliances and materials are to be made using components and material</w:t>
      </w:r>
      <w:r>
        <w:t>s with appropriate heat resistance, insulation properties and any other properties according to their normally expected environment of use.</w:t>
      </w:r>
    </w:p>
    <w:p w:rsidR="00DD7DE7" w:rsidRDefault="00DD7DE7"/>
    <w:p w:rsidR="00DD7DE7" w:rsidRDefault="00DA5778">
      <w:pPr>
        <w:pStyle w:val="en3"/>
      </w:pPr>
      <w:r>
        <w:t>Chapter III Protection against Hazards</w:t>
      </w:r>
    </w:p>
    <w:p w:rsidR="00DD7DE7" w:rsidRDefault="00DD7DE7"/>
    <w:p w:rsidR="00DD7DE7" w:rsidRDefault="00DA5778">
      <w:pPr>
        <w:pStyle w:val="ena"/>
      </w:pPr>
      <w:r>
        <w:t>(Protection against Electric Shocks)</w:t>
      </w:r>
    </w:p>
    <w:p w:rsidR="00DD7DE7" w:rsidRDefault="00DA5778">
      <w:pPr>
        <w:pStyle w:val="enf3"/>
      </w:pPr>
      <w:r>
        <w:t>Article 7  Electrical appliances and m</w:t>
      </w:r>
      <w:r>
        <w:t>aterials are to incorporate the following measures to mitigate the risk of electric shocks in accordance with the conditions of the place of use and the electrical voltage:</w:t>
      </w:r>
    </w:p>
    <w:p w:rsidR="00DD7DE7" w:rsidRDefault="00DA5778">
      <w:pPr>
        <w:pStyle w:val="enf6"/>
      </w:pPr>
      <w:r>
        <w:t>(i) prevent human contact to hazardous live parts, and as may be necessary, appropr</w:t>
      </w:r>
      <w:r>
        <w:t>iately protect these parts from human access; and</w:t>
      </w:r>
    </w:p>
    <w:p w:rsidR="00DD7DE7" w:rsidRDefault="00DA5778">
      <w:pPr>
        <w:pStyle w:val="enf6"/>
      </w:pPr>
      <w:r>
        <w:t>(ii) control the contact current so that it has no effect on the human body.</w:t>
      </w:r>
    </w:p>
    <w:p w:rsidR="00DD7DE7" w:rsidRDefault="00DD7DE7"/>
    <w:p w:rsidR="00DD7DE7" w:rsidRDefault="00DA5778">
      <w:pPr>
        <w:pStyle w:val="ena"/>
      </w:pPr>
      <w:r>
        <w:t>(Maintenance of Insulation Performance)</w:t>
      </w:r>
    </w:p>
    <w:p w:rsidR="00DD7DE7" w:rsidRDefault="00DA5778">
      <w:pPr>
        <w:pStyle w:val="enf3"/>
      </w:pPr>
      <w:r>
        <w:t>Article 8  Electrical appliances and materials are to be made to maintain the insulation</w:t>
      </w:r>
      <w:r>
        <w:t xml:space="preserve"> performance in consideration of internal and external actions to which they are likely to be exposed under normal use, and in accordance with the conditions of the place of use.</w:t>
      </w:r>
    </w:p>
    <w:p w:rsidR="00DD7DE7" w:rsidRDefault="00DD7DE7"/>
    <w:p w:rsidR="00DD7DE7" w:rsidRDefault="00DA5778">
      <w:pPr>
        <w:pStyle w:val="ena"/>
      </w:pPr>
      <w:r>
        <w:t>(Protection against Fire Hazards)</w:t>
      </w:r>
    </w:p>
    <w:p w:rsidR="00DD7DE7" w:rsidRDefault="00DA5778">
      <w:pPr>
        <w:pStyle w:val="enf3"/>
      </w:pPr>
      <w:r>
        <w:t>Article 9  Electrical appliances and mater</w:t>
      </w:r>
      <w:r>
        <w:t xml:space="preserve">ials are to incorporate measures to mitigate the risk of causing physical injury or property damage due to ignition, including adopting a configuration that prevents them from reaching ignition </w:t>
      </w:r>
      <w:r>
        <w:lastRenderedPageBreak/>
        <w:t>temperature, and using flame-resistant components and material</w:t>
      </w:r>
      <w:r>
        <w:t>s.</w:t>
      </w:r>
    </w:p>
    <w:p w:rsidR="00DD7DE7" w:rsidRDefault="00DD7DE7"/>
    <w:p w:rsidR="00DD7DE7" w:rsidRDefault="00DA5778">
      <w:pPr>
        <w:pStyle w:val="ena"/>
      </w:pPr>
      <w:r>
        <w:t>(Prevention of Burns)</w:t>
      </w:r>
    </w:p>
    <w:p w:rsidR="00DD7DE7" w:rsidRDefault="00DA5778">
      <w:pPr>
        <w:pStyle w:val="enf3"/>
      </w:pPr>
      <w:r>
        <w:t>Article 10  Electrical appliances and materials are to incorporate designs and other measures to prevent burns, such as by ensuring that they will not reach a temperature that is likely to cause physical injury or their heat-gener</w:t>
      </w:r>
      <w:r>
        <w:t>ating parts will not be easily exposed under normal use.</w:t>
      </w:r>
    </w:p>
    <w:p w:rsidR="00DD7DE7" w:rsidRDefault="00DD7DE7"/>
    <w:p w:rsidR="00DD7DE7" w:rsidRDefault="00DA5778">
      <w:pPr>
        <w:pStyle w:val="ena"/>
      </w:pPr>
      <w:r>
        <w:t>(Prevention of Harm due to Mechanical Hazards)</w:t>
      </w:r>
    </w:p>
    <w:p w:rsidR="00DD7DE7" w:rsidRDefault="00DA5778">
      <w:pPr>
        <w:pStyle w:val="enf3"/>
      </w:pPr>
      <w:r>
        <w:t xml:space="preserve">Article 11  (1) Electrical appliances and materials are to incorporate appropriate designs and other measures to mitigate the risk of causing physical </w:t>
      </w:r>
      <w:r>
        <w:t>injury or property damage due to the overturning thereof resulting from their instability, human contact to the moving parts or sharp edges thereof or other reasons.</w:t>
      </w:r>
    </w:p>
    <w:p w:rsidR="00DD7DE7" w:rsidRDefault="00DA5778">
      <w:pPr>
        <w:pStyle w:val="enf4"/>
      </w:pPr>
      <w:r>
        <w:t xml:space="preserve">(2) Electrical appliances and materials are to incorporate designs to provide </w:t>
      </w:r>
      <w:r>
        <w:t>necessary strength and other measures to mitigate the risk of causing physical injury or property damage due to hazards caused by external mechanical actions that can normally take place.</w:t>
      </w:r>
    </w:p>
    <w:p w:rsidR="00DD7DE7" w:rsidRDefault="00DD7DE7"/>
    <w:p w:rsidR="00DD7DE7" w:rsidRDefault="00DA5778">
      <w:pPr>
        <w:pStyle w:val="ena"/>
      </w:pPr>
      <w:r>
        <w:t>(Prevention of Harm or Damage due to Chemical Hazards)</w:t>
      </w:r>
    </w:p>
    <w:p w:rsidR="00DD7DE7" w:rsidRDefault="00DA5778">
      <w:pPr>
        <w:pStyle w:val="enf3"/>
      </w:pPr>
      <w:r>
        <w:t xml:space="preserve">Article 12  </w:t>
      </w:r>
      <w:r>
        <w:t>Electrical appliances and materials are to be made to pose no risk of causing physical injury or property damage due to leaking or melting of chemical substances contained in them.</w:t>
      </w:r>
    </w:p>
    <w:p w:rsidR="00DD7DE7" w:rsidRDefault="00DD7DE7"/>
    <w:p w:rsidR="00DD7DE7" w:rsidRDefault="00DA5778">
      <w:pPr>
        <w:pStyle w:val="ena"/>
      </w:pPr>
      <w:r>
        <w:t>(Prevention of Harm due to Electromagnetic Waves Emitted from Electrical A</w:t>
      </w:r>
      <w:r>
        <w:t>ppliances and Materials)</w:t>
      </w:r>
    </w:p>
    <w:p w:rsidR="00DD7DE7" w:rsidRDefault="00DA5778">
      <w:pPr>
        <w:pStyle w:val="enf3"/>
      </w:pPr>
      <w:r>
        <w:t>Article 13  Electrical appliances and materials are to be made to not externally emit electromagnetic waves that are likely to cause physical injury.</w:t>
      </w:r>
    </w:p>
    <w:p w:rsidR="00DD7DE7" w:rsidRDefault="00DD7DE7"/>
    <w:p w:rsidR="00DD7DE7" w:rsidRDefault="00DA5778">
      <w:pPr>
        <w:pStyle w:val="ena"/>
      </w:pPr>
      <w:r>
        <w:t>(Safety Designs Based on Method of Use)</w:t>
      </w:r>
    </w:p>
    <w:p w:rsidR="00DD7DE7" w:rsidRDefault="00DA5778">
      <w:pPr>
        <w:pStyle w:val="enf3"/>
      </w:pPr>
      <w:r>
        <w:t>Article 14  Electrical appliances and ma</w:t>
      </w:r>
      <w:r>
        <w:t>terials are to be designed to mitigate the risk of causing physical injury or property damage even in their normally expected unattended operation, and are to be labeled appropriately as may be necessary.</w:t>
      </w:r>
    </w:p>
    <w:p w:rsidR="00DD7DE7" w:rsidRDefault="00DD7DE7"/>
    <w:p w:rsidR="00DD7DE7" w:rsidRDefault="00DA5778">
      <w:pPr>
        <w:pStyle w:val="ena"/>
      </w:pPr>
      <w:r>
        <w:t>(Prevention of Harm due to Start, Restart and Stop</w:t>
      </w:r>
      <w:r>
        <w:t xml:space="preserve"> of Operation)</w:t>
      </w:r>
    </w:p>
    <w:p w:rsidR="00DD7DE7" w:rsidRDefault="00DA5778">
      <w:pPr>
        <w:pStyle w:val="enf3"/>
      </w:pPr>
      <w:r>
        <w:t>Article 15  (1) Electrical appliances and materials are to be made to pose no risk of causing physical injury or property damage due to a sudden start of operation.</w:t>
      </w:r>
    </w:p>
    <w:p w:rsidR="00DD7DE7" w:rsidRDefault="00DA5778">
      <w:pPr>
        <w:pStyle w:val="enf4"/>
      </w:pPr>
      <w:r>
        <w:t>(2) Electrical appliances and materials are to be made to pose no risk of ca</w:t>
      </w:r>
      <w:r>
        <w:t>using physical injury or property damage due to a restart of operation following the suspension or stop of operation.</w:t>
      </w:r>
    </w:p>
    <w:p w:rsidR="00DD7DE7" w:rsidRDefault="00DA5778">
      <w:pPr>
        <w:pStyle w:val="enf4"/>
      </w:pPr>
      <w:r>
        <w:t xml:space="preserve">(3) Electrical appliances and materials are to be made to pose no risk of causing physical injury or property damage due to a sudden stop </w:t>
      </w:r>
      <w:r>
        <w:t>of operation.</w:t>
      </w:r>
    </w:p>
    <w:p w:rsidR="00DD7DE7" w:rsidRDefault="00DD7DE7"/>
    <w:p w:rsidR="00DD7DE7" w:rsidRDefault="00DA5778">
      <w:pPr>
        <w:pStyle w:val="ena"/>
      </w:pPr>
      <w:r>
        <w:t>(Protective Coordination and Combination)</w:t>
      </w:r>
    </w:p>
    <w:p w:rsidR="00DD7DE7" w:rsidRDefault="00DA5778">
      <w:pPr>
        <w:pStyle w:val="enf3"/>
      </w:pPr>
      <w:r>
        <w:t xml:space="preserve">Article 16  Taking into account the power distribution systems to which they are connected and other electrical appliances and materials with which they are combined, electrical appliances and </w:t>
      </w:r>
      <w:r>
        <w:t>materials are to be made by setting the operating characteristics of the safety devices so that the safety devices will effectively operate in response to an abnormal electric current, and ensuring that the circuits will be able to withstand an abnormal el</w:t>
      </w:r>
      <w:r>
        <w:t>ectric current until the safety devices operate.</w:t>
      </w:r>
    </w:p>
    <w:p w:rsidR="00DD7DE7" w:rsidRDefault="00DD7DE7"/>
    <w:p w:rsidR="00DD7DE7" w:rsidRDefault="00DA5778">
      <w:pPr>
        <w:pStyle w:val="ena"/>
      </w:pPr>
      <w:r>
        <w:t>(Resistance to Electromagnetic Interference)</w:t>
      </w:r>
    </w:p>
    <w:p w:rsidR="00DD7DE7" w:rsidRDefault="00DA5778">
      <w:pPr>
        <w:pStyle w:val="enf3"/>
      </w:pPr>
      <w:r>
        <w:t>Article 17  Electrical appliances and materials are to be configured to prevent any disturbance to their safety functions from being caused by electric, magnetic</w:t>
      </w:r>
      <w:r>
        <w:t xml:space="preserve"> or electromagnetic interference.</w:t>
      </w:r>
    </w:p>
    <w:p w:rsidR="00DD7DE7" w:rsidRDefault="00DD7DE7"/>
    <w:p w:rsidR="00DD7DE7" w:rsidRDefault="00DA5778">
      <w:pPr>
        <w:pStyle w:val="en3"/>
      </w:pPr>
      <w:r>
        <w:t>Chapter IV Noise Level</w:t>
      </w:r>
    </w:p>
    <w:p w:rsidR="00DD7DE7" w:rsidRDefault="00DD7DE7"/>
    <w:p w:rsidR="00DD7DE7" w:rsidRDefault="00DA5778">
      <w:pPr>
        <w:pStyle w:val="enf3"/>
      </w:pPr>
      <w:r>
        <w:t xml:space="preserve">Article 18  Electrical appliances and materials are to be made to pose no risk of generating noise to a level that disturbs the functions of broadcast reception and telecommunications under normal </w:t>
      </w:r>
      <w:r>
        <w:t>use.</w:t>
      </w:r>
    </w:p>
    <w:p w:rsidR="00DD7DE7" w:rsidRDefault="00DD7DE7"/>
    <w:p w:rsidR="00DD7DE7" w:rsidRDefault="00DA5778">
      <w:pPr>
        <w:pStyle w:val="en3"/>
      </w:pPr>
      <w:r>
        <w:t>Chapter V Labels</w:t>
      </w:r>
    </w:p>
    <w:p w:rsidR="00DD7DE7" w:rsidRDefault="00DD7DE7"/>
    <w:p w:rsidR="00DD7DE7" w:rsidRDefault="00DA5778">
      <w:pPr>
        <w:pStyle w:val="ena"/>
      </w:pPr>
      <w:r>
        <w:t>(General Rule)</w:t>
      </w:r>
    </w:p>
    <w:p w:rsidR="00DD7DE7" w:rsidRDefault="00DA5778">
      <w:pPr>
        <w:pStyle w:val="enf3"/>
      </w:pPr>
      <w:r>
        <w:t xml:space="preserve">Article 19  Electrical appliances and materials are to be labeled with necessary safety information and instructions for use (excluding those required under the Household Goods Quality Labeling Act (Act No. 104 of </w:t>
      </w:r>
      <w:r>
        <w:t>1962)), in visible places thereon and in a not easily removable manner.</w:t>
      </w:r>
    </w:p>
    <w:p w:rsidR="00DD7DE7" w:rsidRDefault="00DD7DE7"/>
    <w:p w:rsidR="00DD7DE7" w:rsidRDefault="00DA5778">
      <w:pPr>
        <w:pStyle w:val="ena"/>
      </w:pPr>
      <w:r>
        <w:t>(Labeling under Long-term Use Products Safety Inspection Labeling System)</w:t>
      </w:r>
    </w:p>
    <w:p w:rsidR="00DD7DE7" w:rsidRDefault="00DA5778">
      <w:pPr>
        <w:pStyle w:val="enf3"/>
      </w:pPr>
      <w:r>
        <w:t>Article 20  Labeling of products set forth in the following items is to be conducted as prescribed in the res</w:t>
      </w:r>
      <w:r>
        <w:t>pective items beyond the provisions of the preceding Article:</w:t>
      </w:r>
    </w:p>
    <w:p w:rsidR="00DD7DE7" w:rsidRDefault="00DA5778">
      <w:pPr>
        <w:pStyle w:val="enf6"/>
      </w:pPr>
      <w:r>
        <w:t>(i) electric room fans and ventilation fans (excluding those for industrial use or those that also function as electric dryers (limited to those with electric heating devices for bathroom use, a</w:t>
      </w:r>
      <w:r>
        <w:t>nd excluding electric hair dryers)): indicate the following matters in a visible place on the product body, in a legible and not easily removable manner:</w:t>
      </w:r>
    </w:p>
    <w:p w:rsidR="00DD7DE7" w:rsidRDefault="00DA5778">
      <w:pPr>
        <w:pStyle w:val="enfa"/>
      </w:pPr>
      <w:r>
        <w:t>(a) the year of manufacture;</w:t>
      </w:r>
    </w:p>
    <w:p w:rsidR="00DD7DE7" w:rsidRDefault="00DA5778">
      <w:pPr>
        <w:pStyle w:val="enfa"/>
      </w:pPr>
      <w:r>
        <w:t xml:space="preserve">(b) the design-based standard period of use (meaning the design standard </w:t>
      </w:r>
      <w:r>
        <w:t>use period prescribed in Article 32-3, paragraph (1), item (i) of the Consumer Product Safety Act (Act No. 31 of 1973); the same applies hereinafter); and</w:t>
      </w:r>
    </w:p>
    <w:p w:rsidR="00DD7DE7" w:rsidRDefault="00DA5778">
      <w:pPr>
        <w:pStyle w:val="enfa"/>
      </w:pPr>
      <w:r>
        <w:t>(c) a note that the use of the product beyond its design-based standard period of use is likely to re</w:t>
      </w:r>
      <w:r>
        <w:t>sult in an accident such as ignition or injury due to wear and tear;</w:t>
      </w:r>
    </w:p>
    <w:p w:rsidR="00DD7DE7" w:rsidRDefault="00DA5778">
      <w:pPr>
        <w:pStyle w:val="enf6"/>
      </w:pPr>
      <w:r>
        <w:t>(ii) electric air conditioners (excluding those for industrial use): indicate the following matters in a visible place on the product body, in a legible and not easily removable manner:</w:t>
      </w:r>
    </w:p>
    <w:p w:rsidR="00DD7DE7" w:rsidRDefault="00DA5778">
      <w:pPr>
        <w:pStyle w:val="enfa"/>
      </w:pPr>
      <w:r>
        <w:t>(</w:t>
      </w:r>
      <w:r>
        <w:t>a) the year of manufacture;</w:t>
      </w:r>
    </w:p>
    <w:p w:rsidR="00DD7DE7" w:rsidRDefault="00DA5778">
      <w:pPr>
        <w:pStyle w:val="enfa"/>
      </w:pPr>
      <w:r>
        <w:t>(b) the design-based standard period of use; and</w:t>
      </w:r>
    </w:p>
    <w:p w:rsidR="00DD7DE7" w:rsidRDefault="00DA5778">
      <w:pPr>
        <w:pStyle w:val="enfa"/>
      </w:pPr>
      <w:r>
        <w:t>(c) a note that the use of the product beyond its design-based standard period of use is likely to result in an accident such as ignition or injury due to aging degradation;</w:t>
      </w:r>
    </w:p>
    <w:p w:rsidR="00DD7DE7" w:rsidRDefault="00DA5778">
      <w:pPr>
        <w:pStyle w:val="enf6"/>
      </w:pPr>
      <w:r>
        <w:t>(iii)</w:t>
      </w:r>
      <w:r>
        <w:t xml:space="preserve"> electric washing machines (excluding those for industrial use and those with drying devices) and electric spin extractors (limited to those integrated in electric washing machines, and excluding those for industrial use): indicate the following matters in</w:t>
      </w:r>
      <w:r>
        <w:t xml:space="preserve"> a visible place on the product body, in a legible and not easily removable manner:</w:t>
      </w:r>
    </w:p>
    <w:p w:rsidR="00DD7DE7" w:rsidRDefault="00DA5778">
      <w:pPr>
        <w:pStyle w:val="enfa"/>
      </w:pPr>
      <w:r>
        <w:t>(a) the year of manufacture;</w:t>
      </w:r>
    </w:p>
    <w:p w:rsidR="00DD7DE7" w:rsidRDefault="00DA5778">
      <w:pPr>
        <w:pStyle w:val="enfa"/>
      </w:pPr>
      <w:r>
        <w:t>(b) the design-based standard period of use; and</w:t>
      </w:r>
    </w:p>
    <w:p w:rsidR="00DD7DE7" w:rsidRDefault="00DA5778">
      <w:pPr>
        <w:pStyle w:val="enfa"/>
      </w:pPr>
      <w:r>
        <w:t>(c) a note that the use of the product beyond its design-based standard period of use is likel</w:t>
      </w:r>
      <w:r>
        <w:t>y to result in an accident such as ignition or injury due to wear and tear; and</w:t>
      </w:r>
    </w:p>
    <w:p w:rsidR="00DD7DE7" w:rsidRDefault="00DA5778">
      <w:pPr>
        <w:pStyle w:val="enf6"/>
      </w:pPr>
      <w:r>
        <w:t>(iv) television receivers (limited to those with cathode-ray tubes, and excluding those for industrial use): indicate the following matters in a visible place on the product bo</w:t>
      </w:r>
      <w:r>
        <w:t>dy, in a legible and not easily removable manner:</w:t>
      </w:r>
    </w:p>
    <w:p w:rsidR="00DD7DE7" w:rsidRDefault="00DA5778">
      <w:pPr>
        <w:pStyle w:val="enfa"/>
      </w:pPr>
      <w:r>
        <w:t>(a) the year of manufacture;</w:t>
      </w:r>
    </w:p>
    <w:p w:rsidR="00DD7DE7" w:rsidRDefault="00DA5778">
      <w:pPr>
        <w:pStyle w:val="enfa"/>
      </w:pPr>
      <w:r>
        <w:t>(b) the design-based standard period of use; and</w:t>
      </w:r>
    </w:p>
    <w:p w:rsidR="00DD7DE7" w:rsidRDefault="00DA5778">
      <w:pPr>
        <w:pStyle w:val="enfa"/>
      </w:pPr>
      <w:r>
        <w:t>(c) a note that the use of the product beyond its design-based standard period of use is likely to result in an accident such as</w:t>
      </w:r>
      <w:r>
        <w:t xml:space="preserve"> ignition or injury due to wear and tear.</w:t>
      </w:r>
    </w:p>
    <w:p w:rsidR="00DD7DE7" w:rsidRDefault="00DD7DE7"/>
    <w:p w:rsidR="00DD7DE7" w:rsidRDefault="00DA5778">
      <w:pPr>
        <w:pStyle w:val="en2"/>
      </w:pPr>
      <w:r>
        <w:t>Supplementary Provisions</w:t>
      </w:r>
    </w:p>
    <w:p w:rsidR="00DD7DE7" w:rsidRDefault="00DD7DE7"/>
    <w:p w:rsidR="00DD7DE7" w:rsidRDefault="00DA5778">
      <w:pPr>
        <w:pStyle w:val="enf4"/>
      </w:pPr>
      <w:r>
        <w:t>(1) This Ministerial Order comes into effect as of January 1, 2014.</w:t>
      </w:r>
    </w:p>
    <w:p w:rsidR="00DD7DE7" w:rsidRDefault="00DA5778">
      <w:pPr>
        <w:pStyle w:val="enf4"/>
      </w:pPr>
      <w:r>
        <w:t>(2) The prior Ministerial Order continues to govern technical standards for electrical appliances and materials manufac</w:t>
      </w:r>
      <w:r>
        <w:t>tured or imported before this Ministerial Order comes into effect, notwithstanding the provisions amended by this Ministerial Order.</w:t>
      </w:r>
    </w:p>
    <w:sectPr w:rsidR="00DD7DE7" w:rsidSect="00DD7D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DE7" w:rsidRDefault="00DD7DE7" w:rsidP="00DD7DE7">
      <w:r>
        <w:separator/>
      </w:r>
    </w:p>
  </w:endnote>
  <w:endnote w:type="continuationSeparator" w:id="0">
    <w:p w:rsidR="00DD7DE7" w:rsidRDefault="00DD7DE7" w:rsidP="00DD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DE7" w:rsidRDefault="00DD7DE7">
    <w:pPr>
      <w:pStyle w:val="a3"/>
    </w:pPr>
    <w:r>
      <w:fldChar w:fldCharType="begin"/>
    </w:r>
    <w:r>
      <w:instrText xml:space="preserve"> PAGE  \* MERGEFORMAT </w:instrText>
    </w:r>
    <w:r>
      <w:fldChar w:fldCharType="separate"/>
    </w:r>
    <w:r w:rsidR="00DA57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DE7" w:rsidRDefault="00DD7DE7" w:rsidP="00DD7DE7">
      <w:r>
        <w:separator/>
      </w:r>
    </w:p>
  </w:footnote>
  <w:footnote w:type="continuationSeparator" w:id="0">
    <w:p w:rsidR="00DD7DE7" w:rsidRDefault="00DD7DE7" w:rsidP="00DD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7F4"/>
    <w:multiLevelType w:val="multilevel"/>
    <w:tmpl w:val="E75E8C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E49A2"/>
    <w:multiLevelType w:val="multilevel"/>
    <w:tmpl w:val="11A2BD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122481"/>
    <w:multiLevelType w:val="multilevel"/>
    <w:tmpl w:val="62A4BC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A3D12"/>
    <w:multiLevelType w:val="multilevel"/>
    <w:tmpl w:val="29DAF1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F20DE"/>
    <w:multiLevelType w:val="multilevel"/>
    <w:tmpl w:val="37A2A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176E6"/>
    <w:multiLevelType w:val="multilevel"/>
    <w:tmpl w:val="369E99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C6685"/>
    <w:multiLevelType w:val="multilevel"/>
    <w:tmpl w:val="93B05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764286"/>
    <w:multiLevelType w:val="multilevel"/>
    <w:tmpl w:val="BABC38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2474FD"/>
    <w:multiLevelType w:val="multilevel"/>
    <w:tmpl w:val="987C6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64CEB"/>
    <w:multiLevelType w:val="multilevel"/>
    <w:tmpl w:val="219A6E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8338DB"/>
    <w:multiLevelType w:val="multilevel"/>
    <w:tmpl w:val="C2444F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474B0"/>
    <w:multiLevelType w:val="multilevel"/>
    <w:tmpl w:val="E4C4CC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9E705F"/>
    <w:multiLevelType w:val="multilevel"/>
    <w:tmpl w:val="73DE7C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8"/>
  </w:num>
  <w:num w:numId="4">
    <w:abstractNumId w:val="9"/>
  </w:num>
  <w:num w:numId="5">
    <w:abstractNumId w:val="3"/>
  </w:num>
  <w:num w:numId="6">
    <w:abstractNumId w:val="7"/>
  </w:num>
  <w:num w:numId="7">
    <w:abstractNumId w:val="0"/>
  </w:num>
  <w:num w:numId="8">
    <w:abstractNumId w:val="10"/>
  </w:num>
  <w:num w:numId="9">
    <w:abstractNumId w:val="4"/>
  </w:num>
  <w:num w:numId="10">
    <w:abstractNumId w:val="5"/>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DE7"/>
    <w:rsid w:val="00DA5778"/>
    <w:rsid w:val="00DD7D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D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7D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7DE7"/>
    <w:rPr>
      <w:rFonts w:ascii="Century" w:eastAsia="Century" w:hAnsi="Century"/>
    </w:rPr>
  </w:style>
  <w:style w:type="paragraph" w:customStyle="1" w:styleId="ja0">
    <w:name w:val="款（ja）"/>
    <w:basedOn w:val="a"/>
    <w:rsid w:val="00DD7DE7"/>
    <w:pPr>
      <w:widowControl w:val="0"/>
      <w:ind w:left="1321" w:hanging="221"/>
    </w:pPr>
    <w:rPr>
      <w:rFonts w:ascii="ＭＳ 明朝" w:eastAsia="ＭＳ 明朝" w:hAnsi="ＭＳ 明朝" w:cs="ＭＳ 明朝"/>
      <w:b/>
    </w:rPr>
  </w:style>
  <w:style w:type="paragraph" w:customStyle="1" w:styleId="en0">
    <w:name w:val="款（en）"/>
    <w:basedOn w:val="ja0"/>
    <w:rsid w:val="00DD7DE7"/>
    <w:rPr>
      <w:rFonts w:ascii="Century" w:eastAsia="Century" w:hAnsi="Century" w:cs="Century"/>
    </w:rPr>
  </w:style>
  <w:style w:type="paragraph" w:customStyle="1" w:styleId="ja1">
    <w:name w:val="前文（ja）"/>
    <w:basedOn w:val="a"/>
    <w:rsid w:val="00DD7DE7"/>
    <w:pPr>
      <w:widowControl w:val="0"/>
      <w:ind w:firstLine="219"/>
    </w:pPr>
    <w:rPr>
      <w:rFonts w:ascii="ＭＳ 明朝" w:eastAsia="ＭＳ 明朝" w:hAnsi="ＭＳ 明朝" w:cs="ＭＳ 明朝"/>
    </w:rPr>
  </w:style>
  <w:style w:type="paragraph" w:customStyle="1" w:styleId="en1">
    <w:name w:val="前文（en）"/>
    <w:basedOn w:val="ja1"/>
    <w:rsid w:val="00DD7DE7"/>
    <w:rPr>
      <w:rFonts w:ascii="Century" w:eastAsia="Century" w:hAnsi="Century" w:cs="Century"/>
    </w:rPr>
  </w:style>
  <w:style w:type="paragraph" w:customStyle="1" w:styleId="ja2">
    <w:name w:val="附則（ja）"/>
    <w:basedOn w:val="a"/>
    <w:rsid w:val="00DD7DE7"/>
    <w:pPr>
      <w:widowControl w:val="0"/>
      <w:ind w:left="881" w:hanging="221"/>
    </w:pPr>
    <w:rPr>
      <w:rFonts w:ascii="ＭＳ 明朝" w:eastAsia="ＭＳ 明朝" w:hAnsi="ＭＳ 明朝" w:cs="ＭＳ 明朝"/>
      <w:b/>
    </w:rPr>
  </w:style>
  <w:style w:type="paragraph" w:customStyle="1" w:styleId="en2">
    <w:name w:val="附則（en）"/>
    <w:basedOn w:val="ja2"/>
    <w:rsid w:val="00DD7DE7"/>
    <w:rPr>
      <w:rFonts w:ascii="Century" w:hAnsi="Century" w:cs="Century"/>
    </w:rPr>
  </w:style>
  <w:style w:type="paragraph" w:customStyle="1" w:styleId="ja3">
    <w:name w:val="章（ja）"/>
    <w:basedOn w:val="a"/>
    <w:rsid w:val="00DD7DE7"/>
    <w:pPr>
      <w:widowControl w:val="0"/>
      <w:ind w:left="881" w:hanging="221"/>
    </w:pPr>
    <w:rPr>
      <w:rFonts w:ascii="ＭＳ 明朝" w:eastAsia="ＭＳ 明朝" w:hAnsi="ＭＳ 明朝" w:cs="ＭＳ 明朝"/>
      <w:b/>
    </w:rPr>
  </w:style>
  <w:style w:type="paragraph" w:customStyle="1" w:styleId="en3">
    <w:name w:val="章（en）"/>
    <w:basedOn w:val="ja3"/>
    <w:rsid w:val="00DD7DE7"/>
    <w:rPr>
      <w:rFonts w:ascii="Century" w:eastAsia="Century" w:hAnsi="Century" w:cs="Century"/>
    </w:rPr>
  </w:style>
  <w:style w:type="paragraph" w:customStyle="1" w:styleId="ja4">
    <w:name w:val="目次編（ja）"/>
    <w:basedOn w:val="a"/>
    <w:rsid w:val="00DD7DE7"/>
    <w:pPr>
      <w:widowControl w:val="0"/>
      <w:ind w:left="219" w:hanging="219"/>
    </w:pPr>
    <w:rPr>
      <w:rFonts w:ascii="ＭＳ 明朝" w:eastAsia="ＭＳ 明朝" w:hAnsi="ＭＳ 明朝"/>
    </w:rPr>
  </w:style>
  <w:style w:type="paragraph" w:customStyle="1" w:styleId="en4">
    <w:name w:val="目次編（en）"/>
    <w:basedOn w:val="ja4"/>
    <w:rsid w:val="00DD7DE7"/>
    <w:rPr>
      <w:rFonts w:ascii="Century" w:eastAsia="Century" w:hAnsi="Century"/>
    </w:rPr>
  </w:style>
  <w:style w:type="paragraph" w:customStyle="1" w:styleId="ja5">
    <w:name w:val="目次章（ja）"/>
    <w:basedOn w:val="a"/>
    <w:rsid w:val="00DD7DE7"/>
    <w:pPr>
      <w:widowControl w:val="0"/>
      <w:ind w:left="439" w:hanging="219"/>
    </w:pPr>
    <w:rPr>
      <w:rFonts w:ascii="ＭＳ 明朝" w:eastAsia="ＭＳ 明朝" w:hAnsi="ＭＳ 明朝"/>
    </w:rPr>
  </w:style>
  <w:style w:type="paragraph" w:customStyle="1" w:styleId="en5">
    <w:name w:val="目次章（en）"/>
    <w:basedOn w:val="ja5"/>
    <w:rsid w:val="00DD7DE7"/>
    <w:rPr>
      <w:rFonts w:ascii="Century" w:eastAsia="Century" w:hAnsi="Century"/>
    </w:rPr>
  </w:style>
  <w:style w:type="paragraph" w:customStyle="1" w:styleId="ja6">
    <w:name w:val="目次節（ja）"/>
    <w:basedOn w:val="a"/>
    <w:rsid w:val="00DD7DE7"/>
    <w:pPr>
      <w:widowControl w:val="0"/>
      <w:ind w:left="659" w:hanging="219"/>
    </w:pPr>
    <w:rPr>
      <w:rFonts w:ascii="ＭＳ 明朝" w:eastAsia="ＭＳ 明朝" w:hAnsi="ＭＳ 明朝"/>
    </w:rPr>
  </w:style>
  <w:style w:type="paragraph" w:customStyle="1" w:styleId="en6">
    <w:name w:val="目次節（en）"/>
    <w:basedOn w:val="ja6"/>
    <w:rsid w:val="00DD7DE7"/>
    <w:rPr>
      <w:rFonts w:ascii="Century" w:eastAsia="Century" w:hAnsi="Century"/>
    </w:rPr>
  </w:style>
  <w:style w:type="paragraph" w:customStyle="1" w:styleId="ja7">
    <w:name w:val="目次款（ja）"/>
    <w:basedOn w:val="a"/>
    <w:rsid w:val="00DD7DE7"/>
    <w:pPr>
      <w:widowControl w:val="0"/>
      <w:ind w:left="879" w:hanging="219"/>
    </w:pPr>
    <w:rPr>
      <w:rFonts w:ascii="ＭＳ 明朝" w:eastAsia="ＭＳ 明朝" w:hAnsi="ＭＳ 明朝" w:cs="Kochi Mincho"/>
    </w:rPr>
  </w:style>
  <w:style w:type="paragraph" w:customStyle="1" w:styleId="en7">
    <w:name w:val="目次款（en）"/>
    <w:basedOn w:val="ja7"/>
    <w:rsid w:val="00DD7DE7"/>
    <w:rPr>
      <w:rFonts w:ascii="Century" w:eastAsia="Century" w:hAnsi="Century"/>
    </w:rPr>
  </w:style>
  <w:style w:type="paragraph" w:customStyle="1" w:styleId="ja8">
    <w:name w:val="別表名（ja）"/>
    <w:basedOn w:val="a"/>
    <w:rsid w:val="00DD7D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7DE7"/>
    <w:rPr>
      <w:rFonts w:ascii="Century" w:eastAsia="Century" w:hAnsi="Century" w:cs="Century"/>
    </w:rPr>
  </w:style>
  <w:style w:type="paragraph" w:customStyle="1" w:styleId="ja9">
    <w:name w:val="目（ja）"/>
    <w:basedOn w:val="a"/>
    <w:rsid w:val="00DD7DE7"/>
    <w:pPr>
      <w:widowControl w:val="0"/>
      <w:ind w:left="1541" w:hanging="221"/>
    </w:pPr>
    <w:rPr>
      <w:rFonts w:ascii="ＭＳ 明朝" w:eastAsia="ＭＳ 明朝" w:hAnsi="ＭＳ 明朝" w:cs="ＭＳ 明朝"/>
      <w:b/>
    </w:rPr>
  </w:style>
  <w:style w:type="paragraph" w:customStyle="1" w:styleId="en9">
    <w:name w:val="目（en）"/>
    <w:basedOn w:val="ja9"/>
    <w:rsid w:val="00DD7DE7"/>
    <w:rPr>
      <w:rFonts w:ascii="Century" w:eastAsia="Century" w:hAnsi="Century" w:cs="Century"/>
    </w:rPr>
  </w:style>
  <w:style w:type="paragraph" w:customStyle="1" w:styleId="jaa">
    <w:name w:val="見出し（ja）"/>
    <w:basedOn w:val="a"/>
    <w:rsid w:val="00DD7DE7"/>
    <w:pPr>
      <w:widowControl w:val="0"/>
      <w:ind w:left="439" w:hanging="219"/>
    </w:pPr>
    <w:rPr>
      <w:rFonts w:ascii="ＭＳ 明朝" w:eastAsia="ＭＳ 明朝" w:hAnsi="ＭＳ 明朝" w:cs="ＭＳ 明朝"/>
    </w:rPr>
  </w:style>
  <w:style w:type="paragraph" w:customStyle="1" w:styleId="ena">
    <w:name w:val="見出し（en）"/>
    <w:basedOn w:val="jaa"/>
    <w:rsid w:val="00DD7DE7"/>
    <w:rPr>
      <w:rFonts w:ascii="Century" w:eastAsia="Century" w:hAnsi="Century" w:cs="Century"/>
    </w:rPr>
  </w:style>
  <w:style w:type="paragraph" w:styleId="a3">
    <w:name w:val="footer"/>
    <w:basedOn w:val="a"/>
    <w:rsid w:val="00DD7D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7DE7"/>
    <w:pPr>
      <w:widowControl w:val="0"/>
      <w:ind w:left="1099" w:hanging="219"/>
    </w:pPr>
    <w:rPr>
      <w:rFonts w:ascii="ＭＳ 明朝" w:eastAsia="ＭＳ 明朝" w:hAnsi="ＭＳ 明朝" w:cs="Kochi Mincho"/>
    </w:rPr>
  </w:style>
  <w:style w:type="paragraph" w:customStyle="1" w:styleId="enb">
    <w:name w:val="目次目（en）"/>
    <w:basedOn w:val="jab"/>
    <w:rsid w:val="00DD7DE7"/>
    <w:rPr>
      <w:rFonts w:ascii="Century" w:eastAsia="Century" w:hAnsi="Century"/>
    </w:rPr>
  </w:style>
  <w:style w:type="paragraph" w:customStyle="1" w:styleId="jac">
    <w:name w:val="目次附則（ja）"/>
    <w:basedOn w:val="a"/>
    <w:rsid w:val="00DD7DE7"/>
    <w:pPr>
      <w:widowControl w:val="0"/>
      <w:ind w:left="439" w:hanging="219"/>
    </w:pPr>
    <w:rPr>
      <w:rFonts w:ascii="ＭＳ 明朝" w:eastAsia="ＭＳ 明朝" w:hAnsi="ＭＳ 明朝" w:cs="Kochi Mincho"/>
    </w:rPr>
  </w:style>
  <w:style w:type="paragraph" w:customStyle="1" w:styleId="enc">
    <w:name w:val="目次附則（en）"/>
    <w:basedOn w:val="jac"/>
    <w:rsid w:val="00DD7DE7"/>
    <w:rPr>
      <w:rFonts w:ascii="Century" w:eastAsia="Century" w:hAnsi="Century" w:cs="Century"/>
    </w:rPr>
  </w:style>
  <w:style w:type="paragraph" w:customStyle="1" w:styleId="jad">
    <w:name w:val="目次前文（ja）"/>
    <w:basedOn w:val="jac"/>
    <w:rsid w:val="00DD7DE7"/>
  </w:style>
  <w:style w:type="paragraph" w:customStyle="1" w:styleId="end">
    <w:name w:val="目次前文（en）"/>
    <w:basedOn w:val="enc"/>
    <w:rsid w:val="00DD7DE7"/>
  </w:style>
  <w:style w:type="paragraph" w:customStyle="1" w:styleId="jae">
    <w:name w:val="制定文（ja）"/>
    <w:basedOn w:val="a"/>
    <w:rsid w:val="00DD7DE7"/>
    <w:pPr>
      <w:widowControl w:val="0"/>
      <w:ind w:firstLine="219"/>
    </w:pPr>
    <w:rPr>
      <w:rFonts w:ascii="ＭＳ 明朝" w:eastAsia="ＭＳ 明朝" w:hAnsi="ＭＳ 明朝" w:cs="ＭＳ 明朝"/>
    </w:rPr>
  </w:style>
  <w:style w:type="paragraph" w:customStyle="1" w:styleId="ene">
    <w:name w:val="制定文（en）"/>
    <w:basedOn w:val="jae"/>
    <w:rsid w:val="00DD7DE7"/>
    <w:rPr>
      <w:rFonts w:ascii="Century" w:eastAsia="Century" w:hAnsi="Century" w:cs="Century"/>
    </w:rPr>
  </w:style>
  <w:style w:type="paragraph" w:customStyle="1" w:styleId="jaf">
    <w:name w:val="法令番号（ja）"/>
    <w:basedOn w:val="a"/>
    <w:rsid w:val="00DD7DE7"/>
    <w:pPr>
      <w:widowControl w:val="0"/>
      <w:jc w:val="right"/>
    </w:pPr>
    <w:rPr>
      <w:rFonts w:ascii="ＭＳ 明朝" w:eastAsia="ＭＳ 明朝" w:hAnsi="ＭＳ 明朝" w:cs="Kochi Mincho"/>
    </w:rPr>
  </w:style>
  <w:style w:type="paragraph" w:customStyle="1" w:styleId="enf">
    <w:name w:val="法令番号（en）"/>
    <w:basedOn w:val="jaf"/>
    <w:rsid w:val="00DD7DE7"/>
    <w:rPr>
      <w:rFonts w:ascii="Century" w:eastAsia="Century" w:hAnsi="Century" w:cs="Century"/>
    </w:rPr>
  </w:style>
  <w:style w:type="paragraph" w:customStyle="1" w:styleId="jaf0">
    <w:name w:val="目次（ja）"/>
    <w:basedOn w:val="a"/>
    <w:rsid w:val="00DD7DE7"/>
    <w:rPr>
      <w:rFonts w:ascii="ＭＳ 明朝" w:eastAsia="ＭＳ 明朝" w:hAnsi="ＭＳ 明朝"/>
    </w:rPr>
  </w:style>
  <w:style w:type="paragraph" w:customStyle="1" w:styleId="enf0">
    <w:name w:val="目次（en）"/>
    <w:basedOn w:val="jaf0"/>
    <w:rsid w:val="00DD7DE7"/>
    <w:rPr>
      <w:rFonts w:ascii="Century" w:eastAsia="Century" w:hAnsi="Century"/>
    </w:rPr>
  </w:style>
  <w:style w:type="paragraph" w:customStyle="1" w:styleId="jaf1">
    <w:name w:val="編（ja）"/>
    <w:basedOn w:val="a"/>
    <w:rsid w:val="00DD7DE7"/>
    <w:pPr>
      <w:widowControl w:val="0"/>
      <w:ind w:left="661" w:hanging="221"/>
    </w:pPr>
    <w:rPr>
      <w:rFonts w:ascii="ＭＳ 明朝" w:eastAsia="ＭＳ 明朝" w:hAnsi="ＭＳ 明朝" w:cs="ＭＳ 明朝"/>
      <w:b/>
    </w:rPr>
  </w:style>
  <w:style w:type="paragraph" w:customStyle="1" w:styleId="enf1">
    <w:name w:val="編（en）"/>
    <w:basedOn w:val="jaf1"/>
    <w:rsid w:val="00DD7DE7"/>
    <w:rPr>
      <w:rFonts w:ascii="Century" w:eastAsia="Century" w:hAnsi="Century" w:cs="Century"/>
    </w:rPr>
  </w:style>
  <w:style w:type="paragraph" w:customStyle="1" w:styleId="jaf2">
    <w:name w:val="節（ja）"/>
    <w:basedOn w:val="a"/>
    <w:rsid w:val="00DD7DE7"/>
    <w:pPr>
      <w:widowControl w:val="0"/>
      <w:ind w:left="1101" w:hanging="221"/>
    </w:pPr>
    <w:rPr>
      <w:rFonts w:ascii="ＭＳ 明朝" w:eastAsia="ＭＳ 明朝" w:hAnsi="ＭＳ 明朝" w:cs="ＭＳ 明朝"/>
      <w:b/>
    </w:rPr>
  </w:style>
  <w:style w:type="paragraph" w:customStyle="1" w:styleId="enf2">
    <w:name w:val="節（en）"/>
    <w:basedOn w:val="jaf2"/>
    <w:rsid w:val="00DD7DE7"/>
    <w:rPr>
      <w:rFonts w:ascii="Century" w:eastAsia="Century" w:hAnsi="Century" w:cs="Century"/>
    </w:rPr>
  </w:style>
  <w:style w:type="paragraph" w:customStyle="1" w:styleId="jaf3">
    <w:name w:val="条（ja）"/>
    <w:basedOn w:val="a"/>
    <w:rsid w:val="00DD7DE7"/>
    <w:pPr>
      <w:widowControl w:val="0"/>
      <w:ind w:left="219" w:hanging="219"/>
    </w:pPr>
    <w:rPr>
      <w:rFonts w:ascii="ＭＳ 明朝" w:eastAsia="ＭＳ 明朝" w:hAnsi="ＭＳ 明朝" w:cs="ＭＳ 明朝"/>
    </w:rPr>
  </w:style>
  <w:style w:type="paragraph" w:customStyle="1" w:styleId="enf3">
    <w:name w:val="条（en）"/>
    <w:basedOn w:val="jaf3"/>
    <w:rsid w:val="00DD7DE7"/>
    <w:rPr>
      <w:rFonts w:ascii="Century" w:eastAsia="Century" w:hAnsi="Century" w:cs="Century"/>
    </w:rPr>
  </w:style>
  <w:style w:type="paragraph" w:customStyle="1" w:styleId="jaf4">
    <w:name w:val="項（ja）"/>
    <w:basedOn w:val="a"/>
    <w:rsid w:val="00DD7DE7"/>
    <w:pPr>
      <w:widowControl w:val="0"/>
      <w:ind w:left="219" w:hanging="219"/>
    </w:pPr>
    <w:rPr>
      <w:rFonts w:ascii="ＭＳ 明朝" w:eastAsia="ＭＳ 明朝" w:hAnsi="ＭＳ 明朝" w:cs="ＭＳ 明朝"/>
    </w:rPr>
  </w:style>
  <w:style w:type="paragraph" w:customStyle="1" w:styleId="enf4">
    <w:name w:val="項（en）"/>
    <w:basedOn w:val="jaf4"/>
    <w:rsid w:val="00DD7DE7"/>
    <w:rPr>
      <w:rFonts w:ascii="Century" w:eastAsia="Century" w:hAnsi="Century" w:cs="Century"/>
    </w:rPr>
  </w:style>
  <w:style w:type="paragraph" w:customStyle="1" w:styleId="jaf5">
    <w:name w:val="項　番号なし（ja）"/>
    <w:basedOn w:val="a"/>
    <w:rsid w:val="00DD7DE7"/>
    <w:pPr>
      <w:widowControl w:val="0"/>
      <w:ind w:firstLine="221"/>
    </w:pPr>
    <w:rPr>
      <w:rFonts w:ascii="ＭＳ 明朝" w:eastAsia="ＭＳ 明朝" w:hAnsi="ＭＳ 明朝" w:cs="ＭＳ 明朝"/>
    </w:rPr>
  </w:style>
  <w:style w:type="paragraph" w:customStyle="1" w:styleId="enf5">
    <w:name w:val="項　番号なし（en）"/>
    <w:basedOn w:val="jaf5"/>
    <w:rsid w:val="00DD7DE7"/>
    <w:rPr>
      <w:rFonts w:ascii="Century" w:eastAsia="Century" w:hAnsi="Century" w:cs="Century"/>
    </w:rPr>
  </w:style>
  <w:style w:type="paragraph" w:customStyle="1" w:styleId="jaf6">
    <w:name w:val="号（ja）"/>
    <w:basedOn w:val="a"/>
    <w:rsid w:val="00DD7DE7"/>
    <w:pPr>
      <w:widowControl w:val="0"/>
      <w:ind w:left="439" w:hanging="219"/>
    </w:pPr>
    <w:rPr>
      <w:rFonts w:ascii="ＭＳ 明朝" w:eastAsia="ＭＳ 明朝" w:hAnsi="ＭＳ 明朝" w:cs="ＭＳ 明朝"/>
    </w:rPr>
  </w:style>
  <w:style w:type="paragraph" w:customStyle="1" w:styleId="enf6">
    <w:name w:val="号（en）"/>
    <w:basedOn w:val="jaf6"/>
    <w:rsid w:val="00DD7DE7"/>
    <w:rPr>
      <w:rFonts w:ascii="Century" w:eastAsia="Century" w:hAnsi="Century" w:cs="Century"/>
    </w:rPr>
  </w:style>
  <w:style w:type="paragraph" w:customStyle="1" w:styleId="jaf7">
    <w:name w:val="号　番号なし（ja）"/>
    <w:basedOn w:val="a"/>
    <w:rsid w:val="00DD7DE7"/>
    <w:pPr>
      <w:widowControl w:val="0"/>
      <w:ind w:left="221" w:firstLine="221"/>
    </w:pPr>
    <w:rPr>
      <w:rFonts w:ascii="ＭＳ 明朝" w:eastAsia="ＭＳ 明朝" w:hAnsi="ＭＳ 明朝" w:cs="ＭＳ 明朝"/>
    </w:rPr>
  </w:style>
  <w:style w:type="paragraph" w:customStyle="1" w:styleId="enf7">
    <w:name w:val="号　番号なし（en）"/>
    <w:basedOn w:val="jaf7"/>
    <w:rsid w:val="00DD7DE7"/>
    <w:rPr>
      <w:rFonts w:ascii="Century" w:eastAsia="Century" w:hAnsi="Century" w:cs="Century"/>
    </w:rPr>
  </w:style>
  <w:style w:type="paragraph" w:customStyle="1" w:styleId="jaf8">
    <w:name w:val="備考号（ja）"/>
    <w:basedOn w:val="a"/>
    <w:rsid w:val="00DD7DE7"/>
    <w:pPr>
      <w:widowControl w:val="0"/>
      <w:ind w:left="659" w:hanging="219"/>
    </w:pPr>
    <w:rPr>
      <w:rFonts w:ascii="ＭＳ 明朝" w:eastAsia="ＭＳ 明朝" w:hAnsi="ＭＳ 明朝" w:cs="ＭＳ 明朝"/>
    </w:rPr>
  </w:style>
  <w:style w:type="paragraph" w:customStyle="1" w:styleId="enf8">
    <w:name w:val="備考号（en）"/>
    <w:basedOn w:val="jaf8"/>
    <w:rsid w:val="00DD7DE7"/>
    <w:rPr>
      <w:rFonts w:ascii="Century" w:eastAsia="Century" w:hAnsi="Century" w:cs="Century"/>
    </w:rPr>
  </w:style>
  <w:style w:type="paragraph" w:customStyle="1" w:styleId="jaf9">
    <w:name w:val="号細分（ja）"/>
    <w:basedOn w:val="a"/>
    <w:rsid w:val="00DD7DE7"/>
    <w:pPr>
      <w:widowControl w:val="0"/>
      <w:ind w:left="659" w:hanging="219"/>
    </w:pPr>
    <w:rPr>
      <w:rFonts w:ascii="ＭＳ 明朝" w:eastAsia="ＭＳ 明朝" w:hAnsi="ＭＳ 明朝" w:cs="ＭＳ 明朝"/>
    </w:rPr>
  </w:style>
  <w:style w:type="paragraph" w:customStyle="1" w:styleId="enf9">
    <w:name w:val="号細分（en）"/>
    <w:basedOn w:val="jaf9"/>
    <w:rsid w:val="00DD7DE7"/>
    <w:rPr>
      <w:rFonts w:ascii="Century" w:eastAsia="Century" w:hAnsi="Century" w:cs="Century"/>
    </w:rPr>
  </w:style>
  <w:style w:type="paragraph" w:customStyle="1" w:styleId="jafa">
    <w:name w:val="号細分　番号なし（ja）"/>
    <w:basedOn w:val="a"/>
    <w:rsid w:val="00DD7DE7"/>
    <w:pPr>
      <w:widowControl w:val="0"/>
      <w:ind w:left="439"/>
    </w:pPr>
    <w:rPr>
      <w:rFonts w:ascii="ＭＳ 明朝" w:eastAsia="ＭＳ 明朝" w:hAnsi="ＭＳ 明朝" w:cs="ＭＳ 明朝"/>
    </w:rPr>
  </w:style>
  <w:style w:type="paragraph" w:customStyle="1" w:styleId="enfa">
    <w:name w:val="号細分　番号なし（en）"/>
    <w:basedOn w:val="jafa"/>
    <w:rsid w:val="00DD7DE7"/>
    <w:rPr>
      <w:rFonts w:ascii="Century" w:eastAsia="Century" w:hAnsi="Century" w:cs="Century"/>
    </w:rPr>
  </w:style>
  <w:style w:type="paragraph" w:customStyle="1" w:styleId="jafb">
    <w:name w:val="備考号細分（ja）"/>
    <w:basedOn w:val="a"/>
    <w:rsid w:val="00DD7DE7"/>
    <w:pPr>
      <w:widowControl w:val="0"/>
      <w:ind w:left="1099" w:hanging="439"/>
    </w:pPr>
    <w:rPr>
      <w:rFonts w:ascii="ＭＳ 明朝" w:eastAsia="ＭＳ 明朝" w:hAnsi="ＭＳ 明朝" w:cs="ＭＳ 明朝"/>
    </w:rPr>
  </w:style>
  <w:style w:type="paragraph" w:customStyle="1" w:styleId="enfb">
    <w:name w:val="備考号細分（en）"/>
    <w:basedOn w:val="jafb"/>
    <w:rsid w:val="00DD7DE7"/>
    <w:rPr>
      <w:rFonts w:ascii="Century" w:eastAsia="Century" w:hAnsi="Century" w:cs="Century"/>
    </w:rPr>
  </w:style>
  <w:style w:type="paragraph" w:customStyle="1" w:styleId="jafc">
    <w:name w:val="号細細分（ja）"/>
    <w:basedOn w:val="a"/>
    <w:rsid w:val="00DD7DE7"/>
    <w:pPr>
      <w:widowControl w:val="0"/>
      <w:ind w:left="1099" w:hanging="439"/>
    </w:pPr>
    <w:rPr>
      <w:rFonts w:ascii="ＭＳ 明朝" w:eastAsia="ＭＳ 明朝" w:hAnsi="ＭＳ 明朝" w:cs="ＭＳ 明朝"/>
    </w:rPr>
  </w:style>
  <w:style w:type="paragraph" w:customStyle="1" w:styleId="enfc">
    <w:name w:val="号細細分（en）"/>
    <w:basedOn w:val="jafc"/>
    <w:rsid w:val="00DD7DE7"/>
    <w:rPr>
      <w:rFonts w:ascii="Century" w:eastAsia="Century" w:hAnsi="Century" w:cs="Century"/>
    </w:rPr>
  </w:style>
  <w:style w:type="paragraph" w:customStyle="1" w:styleId="jafd">
    <w:name w:val="号細細分　番号なし（ja）"/>
    <w:basedOn w:val="a"/>
    <w:rsid w:val="00DD7DE7"/>
    <w:pPr>
      <w:widowControl w:val="0"/>
      <w:ind w:left="659"/>
    </w:pPr>
    <w:rPr>
      <w:rFonts w:ascii="ＭＳ 明朝" w:eastAsia="ＭＳ 明朝" w:hAnsi="ＭＳ 明朝" w:cs="ＭＳ 明朝"/>
    </w:rPr>
  </w:style>
  <w:style w:type="paragraph" w:customStyle="1" w:styleId="enfd">
    <w:name w:val="号細細分　番号なし（en）"/>
    <w:basedOn w:val="jafd"/>
    <w:rsid w:val="00DD7DE7"/>
    <w:rPr>
      <w:rFonts w:ascii="Century" w:eastAsia="Century" w:hAnsi="Century" w:cs="Century"/>
    </w:rPr>
  </w:style>
  <w:style w:type="paragraph" w:customStyle="1" w:styleId="jafe">
    <w:name w:val="備考号細細分（ja）"/>
    <w:basedOn w:val="a"/>
    <w:rsid w:val="00DD7DE7"/>
    <w:pPr>
      <w:widowControl w:val="0"/>
      <w:ind w:left="1319" w:hanging="439"/>
    </w:pPr>
    <w:rPr>
      <w:rFonts w:ascii="ＭＳ 明朝" w:eastAsia="ＭＳ 明朝" w:hAnsi="ＭＳ 明朝" w:cs="ＭＳ 明朝"/>
    </w:rPr>
  </w:style>
  <w:style w:type="paragraph" w:customStyle="1" w:styleId="enfe">
    <w:name w:val="備考号細細分（en）"/>
    <w:basedOn w:val="jafe"/>
    <w:rsid w:val="00DD7DE7"/>
    <w:rPr>
      <w:rFonts w:ascii="Century" w:eastAsia="Century" w:hAnsi="Century" w:cs="Century"/>
    </w:rPr>
  </w:style>
  <w:style w:type="paragraph" w:customStyle="1" w:styleId="jaff">
    <w:name w:val="号細細細分（ja）"/>
    <w:basedOn w:val="a"/>
    <w:rsid w:val="00DD7DE7"/>
    <w:pPr>
      <w:widowControl w:val="0"/>
      <w:ind w:left="1319" w:hanging="439"/>
    </w:pPr>
    <w:rPr>
      <w:rFonts w:ascii="ＭＳ 明朝" w:eastAsia="ＭＳ 明朝" w:hAnsi="ＭＳ 明朝" w:cs="ＭＳ 明朝"/>
    </w:rPr>
  </w:style>
  <w:style w:type="paragraph" w:customStyle="1" w:styleId="enff">
    <w:name w:val="号細細細分（en）"/>
    <w:basedOn w:val="jaff"/>
    <w:rsid w:val="00DD7DE7"/>
    <w:rPr>
      <w:rFonts w:ascii="Century" w:eastAsia="Century" w:hAnsi="Century" w:cs="Century"/>
    </w:rPr>
  </w:style>
  <w:style w:type="paragraph" w:customStyle="1" w:styleId="jaff0">
    <w:name w:val="号細細細分　番号なし（ja）"/>
    <w:basedOn w:val="a"/>
    <w:rsid w:val="00DD7DE7"/>
    <w:pPr>
      <w:widowControl w:val="0"/>
      <w:ind w:left="879"/>
    </w:pPr>
    <w:rPr>
      <w:rFonts w:ascii="ＭＳ 明朝" w:eastAsia="ＭＳ 明朝" w:hAnsi="ＭＳ 明朝" w:cs="ＭＳ 明朝"/>
    </w:rPr>
  </w:style>
  <w:style w:type="paragraph" w:customStyle="1" w:styleId="enff0">
    <w:name w:val="号細細細分　番号なし（en）"/>
    <w:basedOn w:val="jaff0"/>
    <w:rsid w:val="00DD7DE7"/>
    <w:rPr>
      <w:rFonts w:ascii="Century" w:eastAsia="Century" w:hAnsi="Century" w:cs="Century"/>
    </w:rPr>
  </w:style>
  <w:style w:type="paragraph" w:customStyle="1" w:styleId="jaff1">
    <w:name w:val="備考号細細細分（ja）"/>
    <w:basedOn w:val="a"/>
    <w:rsid w:val="00DD7D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7DE7"/>
    <w:rPr>
      <w:rFonts w:ascii="Century" w:eastAsia="Century" w:hAnsi="Century" w:cs="Century"/>
    </w:rPr>
  </w:style>
  <w:style w:type="paragraph" w:customStyle="1" w:styleId="jaff2">
    <w:name w:val="類（ja）"/>
    <w:basedOn w:val="a"/>
    <w:rsid w:val="00DD7DE7"/>
    <w:pPr>
      <w:widowControl w:val="0"/>
      <w:ind w:left="439" w:hanging="219"/>
    </w:pPr>
    <w:rPr>
      <w:rFonts w:ascii="ＭＳ 明朝" w:eastAsia="ＭＳ 明朝" w:hAnsi="ＭＳ 明朝" w:cs="ＭＳ 明朝"/>
    </w:rPr>
  </w:style>
  <w:style w:type="paragraph" w:customStyle="1" w:styleId="enff2">
    <w:name w:val="類（en）"/>
    <w:basedOn w:val="jaff2"/>
    <w:rsid w:val="00DD7DE7"/>
    <w:rPr>
      <w:rFonts w:ascii="Century" w:eastAsia="Century" w:hAnsi="Century" w:cs="Century"/>
    </w:rPr>
  </w:style>
  <w:style w:type="paragraph" w:customStyle="1" w:styleId="jaff3">
    <w:name w:val="公布文（ja）"/>
    <w:basedOn w:val="a"/>
    <w:rsid w:val="00DD7DE7"/>
    <w:pPr>
      <w:widowControl w:val="0"/>
      <w:ind w:firstLine="219"/>
    </w:pPr>
    <w:rPr>
      <w:rFonts w:ascii="ＭＳ 明朝" w:eastAsia="ＭＳ 明朝" w:hAnsi="ＭＳ 明朝" w:cs="ＭＳ 明朝"/>
    </w:rPr>
  </w:style>
  <w:style w:type="paragraph" w:customStyle="1" w:styleId="enff3">
    <w:name w:val="公布文（en）"/>
    <w:basedOn w:val="jaff3"/>
    <w:rsid w:val="00DD7DE7"/>
    <w:rPr>
      <w:rFonts w:ascii="Century" w:eastAsia="Century" w:hAnsi="Century" w:cs="Century"/>
    </w:rPr>
  </w:style>
  <w:style w:type="paragraph" w:customStyle="1" w:styleId="jaen">
    <w:name w:val="表（ja：en）"/>
    <w:basedOn w:val="a"/>
    <w:rsid w:val="00DD7DE7"/>
    <w:pPr>
      <w:widowControl w:val="0"/>
      <w:snapToGrid w:val="0"/>
    </w:pPr>
    <w:rPr>
      <w:rFonts w:ascii="Century" w:eastAsia="ＭＳ 明朝" w:hAnsi="Century"/>
    </w:rPr>
  </w:style>
  <w:style w:type="paragraph" w:customStyle="1" w:styleId="jaff4">
    <w:name w:val="備考（ja）"/>
    <w:basedOn w:val="a"/>
    <w:rsid w:val="00DD7DE7"/>
    <w:pPr>
      <w:widowControl w:val="0"/>
      <w:ind w:left="439" w:hanging="219"/>
    </w:pPr>
    <w:rPr>
      <w:rFonts w:ascii="ＭＳ 明朝" w:eastAsia="ＭＳ 明朝" w:hAnsi="ＭＳ 明朝" w:cs="ＭＳ 明朝"/>
    </w:rPr>
  </w:style>
  <w:style w:type="paragraph" w:customStyle="1" w:styleId="enff4">
    <w:name w:val="備考（en）"/>
    <w:basedOn w:val="jaff4"/>
    <w:rsid w:val="00DD7DE7"/>
    <w:rPr>
      <w:rFonts w:ascii="Century" w:eastAsia="Century" w:hAnsi="Century" w:cs="Century"/>
    </w:rPr>
  </w:style>
  <w:style w:type="paragraph" w:customStyle="1" w:styleId="jaff5">
    <w:name w:val="表タイトル（ja）"/>
    <w:basedOn w:val="a"/>
    <w:rsid w:val="00DD7DE7"/>
    <w:pPr>
      <w:widowControl w:val="0"/>
      <w:ind w:left="219"/>
    </w:pPr>
    <w:rPr>
      <w:rFonts w:ascii="ＭＳ 明朝" w:eastAsia="ＭＳ 明朝" w:hAnsi="ＭＳ 明朝" w:cs="ＭＳ 明朝"/>
    </w:rPr>
  </w:style>
  <w:style w:type="paragraph" w:customStyle="1" w:styleId="enff5">
    <w:name w:val="表タイトル（en）"/>
    <w:basedOn w:val="jaff5"/>
    <w:rsid w:val="00DD7DE7"/>
    <w:rPr>
      <w:rFonts w:ascii="Century" w:eastAsia="Century" w:hAnsi="Century" w:cs="Century"/>
    </w:rPr>
  </w:style>
  <w:style w:type="paragraph" w:customStyle="1" w:styleId="jaff6">
    <w:name w:val="改正規定文（ja）"/>
    <w:basedOn w:val="a"/>
    <w:rsid w:val="00DD7DE7"/>
    <w:pPr>
      <w:widowControl w:val="0"/>
      <w:ind w:left="219" w:firstLine="219"/>
    </w:pPr>
    <w:rPr>
      <w:rFonts w:ascii="ＭＳ 明朝" w:eastAsia="ＭＳ 明朝" w:hAnsi="ＭＳ 明朝" w:cs="ＭＳ 明朝"/>
    </w:rPr>
  </w:style>
  <w:style w:type="paragraph" w:customStyle="1" w:styleId="enff6">
    <w:name w:val="改正規定文（en）"/>
    <w:basedOn w:val="jaff6"/>
    <w:rsid w:val="00DD7DE7"/>
    <w:rPr>
      <w:rFonts w:ascii="Century" w:eastAsia="Century" w:hAnsi="Century" w:cs="Century"/>
    </w:rPr>
  </w:style>
  <w:style w:type="paragraph" w:customStyle="1" w:styleId="jaff7">
    <w:name w:val="付記（ja）"/>
    <w:basedOn w:val="a"/>
    <w:rsid w:val="00DD7DE7"/>
    <w:pPr>
      <w:widowControl w:val="0"/>
      <w:ind w:left="219" w:firstLine="219"/>
    </w:pPr>
    <w:rPr>
      <w:rFonts w:ascii="ＭＳ 明朝" w:eastAsia="ＭＳ 明朝" w:hAnsi="ＭＳ 明朝" w:cs="ＭＳ 明朝"/>
    </w:rPr>
  </w:style>
  <w:style w:type="paragraph" w:customStyle="1" w:styleId="enff7">
    <w:name w:val="付記（en）"/>
    <w:basedOn w:val="jaff7"/>
    <w:rsid w:val="00DD7DE7"/>
    <w:rPr>
      <w:rFonts w:ascii="Century" w:eastAsia="Century" w:hAnsi="Century" w:cs="Century"/>
    </w:rPr>
  </w:style>
  <w:style w:type="paragraph" w:customStyle="1" w:styleId="jaff8">
    <w:name w:val="様式名（ja）"/>
    <w:basedOn w:val="a"/>
    <w:rsid w:val="00DD7DE7"/>
    <w:pPr>
      <w:widowControl w:val="0"/>
      <w:ind w:left="439" w:hanging="219"/>
    </w:pPr>
    <w:rPr>
      <w:rFonts w:ascii="ＭＳ 明朝" w:eastAsia="ＭＳ 明朝" w:hAnsi="ＭＳ 明朝" w:cs="ＭＳ 明朝"/>
    </w:rPr>
  </w:style>
  <w:style w:type="paragraph" w:customStyle="1" w:styleId="enff8">
    <w:name w:val="様式名（en）"/>
    <w:basedOn w:val="jaff8"/>
    <w:rsid w:val="00DD7DE7"/>
    <w:rPr>
      <w:rFonts w:ascii="Century" w:eastAsia="Century" w:hAnsi="Century" w:cs="Century"/>
    </w:rPr>
  </w:style>
  <w:style w:type="paragraph" w:customStyle="1" w:styleId="jaff9">
    <w:name w:val="様式項目（ja）"/>
    <w:basedOn w:val="a"/>
    <w:rsid w:val="00DD7DE7"/>
    <w:pPr>
      <w:widowControl w:val="0"/>
      <w:ind w:left="221" w:firstLine="221"/>
    </w:pPr>
    <w:rPr>
      <w:rFonts w:ascii="ＭＳ 明朝" w:eastAsia="ＭＳ 明朝" w:hAnsi="ＭＳ 明朝" w:cs="ＭＳ 明朝"/>
    </w:rPr>
  </w:style>
  <w:style w:type="paragraph" w:customStyle="1" w:styleId="enff9">
    <w:name w:val="様式項目（en）"/>
    <w:basedOn w:val="jaff9"/>
    <w:rsid w:val="00DD7DE7"/>
    <w:rPr>
      <w:rFonts w:ascii="Century" w:eastAsia="Century" w:hAnsi="Century" w:cs="Century"/>
    </w:rPr>
  </w:style>
  <w:style w:type="table" w:customStyle="1" w:styleId="1">
    <w:name w:val="表1"/>
    <w:rsid w:val="00DD7DE7"/>
    <w:tblPr>
      <w:tblInd w:w="340" w:type="dxa"/>
      <w:tblCellMar>
        <w:top w:w="0" w:type="dxa"/>
        <w:left w:w="0" w:type="dxa"/>
        <w:bottom w:w="0" w:type="dxa"/>
        <w:right w:w="0" w:type="dxa"/>
      </w:tblCellMar>
    </w:tblPr>
  </w:style>
  <w:style w:type="numbering" w:customStyle="1" w:styleId="WW8Num1">
    <w:name w:val="WW8Num1"/>
    <w:rsid w:val="00DD7DE7"/>
    <w:pPr>
      <w:numPr>
        <w:numId w:val="2"/>
      </w:numPr>
    </w:pPr>
  </w:style>
  <w:style w:type="numbering" w:customStyle="1" w:styleId="WW8Num2">
    <w:name w:val="WW8Num2"/>
    <w:rsid w:val="00DD7DE7"/>
    <w:pPr>
      <w:numPr>
        <w:numId w:val="3"/>
      </w:numPr>
    </w:pPr>
  </w:style>
  <w:style w:type="numbering" w:customStyle="1" w:styleId="WW8Num3">
    <w:name w:val="WW8Num3"/>
    <w:rsid w:val="00DD7DE7"/>
    <w:pPr>
      <w:numPr>
        <w:numId w:val="4"/>
      </w:numPr>
    </w:pPr>
  </w:style>
  <w:style w:type="numbering" w:customStyle="1" w:styleId="WW8Num4">
    <w:name w:val="WW8Num4"/>
    <w:rsid w:val="00DD7DE7"/>
    <w:pPr>
      <w:numPr>
        <w:numId w:val="5"/>
      </w:numPr>
    </w:pPr>
  </w:style>
  <w:style w:type="numbering" w:customStyle="1" w:styleId="WW8Num5">
    <w:name w:val="WW8Num5"/>
    <w:rsid w:val="00DD7DE7"/>
    <w:pPr>
      <w:numPr>
        <w:numId w:val="6"/>
      </w:numPr>
    </w:pPr>
  </w:style>
  <w:style w:type="numbering" w:customStyle="1" w:styleId="WW8Num6">
    <w:name w:val="WW8Num6"/>
    <w:rsid w:val="00DD7DE7"/>
    <w:pPr>
      <w:numPr>
        <w:numId w:val="7"/>
      </w:numPr>
    </w:pPr>
  </w:style>
  <w:style w:type="numbering" w:customStyle="1" w:styleId="WW8Num7">
    <w:name w:val="WW8Num7"/>
    <w:rsid w:val="00DD7DE7"/>
    <w:pPr>
      <w:numPr>
        <w:numId w:val="8"/>
      </w:numPr>
    </w:pPr>
  </w:style>
  <w:style w:type="numbering" w:customStyle="1" w:styleId="WW8Num8">
    <w:name w:val="WW8Num8"/>
    <w:rsid w:val="00DD7DE7"/>
    <w:pPr>
      <w:numPr>
        <w:numId w:val="9"/>
      </w:numPr>
    </w:pPr>
  </w:style>
  <w:style w:type="numbering" w:customStyle="1" w:styleId="WW8Num9">
    <w:name w:val="WW8Num9"/>
    <w:rsid w:val="00DD7DE7"/>
    <w:pPr>
      <w:numPr>
        <w:numId w:val="10"/>
      </w:numPr>
    </w:pPr>
  </w:style>
  <w:style w:type="numbering" w:customStyle="1" w:styleId="WW8Num10">
    <w:name w:val="WW8Num10"/>
    <w:rsid w:val="00DD7DE7"/>
    <w:pPr>
      <w:numPr>
        <w:numId w:val="11"/>
      </w:numPr>
    </w:pPr>
  </w:style>
  <w:style w:type="numbering" w:customStyle="1" w:styleId="WW8Num11">
    <w:name w:val="WW8Num11"/>
    <w:rsid w:val="00DD7DE7"/>
    <w:pPr>
      <w:numPr>
        <w:numId w:val="12"/>
      </w:numPr>
    </w:pPr>
  </w:style>
  <w:style w:type="numbering" w:customStyle="1" w:styleId="WW8Num12">
    <w:name w:val="WW8Num12"/>
    <w:rsid w:val="00DD7DE7"/>
    <w:pPr>
      <w:numPr>
        <w:numId w:val="13"/>
      </w:numPr>
    </w:pPr>
  </w:style>
  <w:style w:type="paragraph" w:styleId="a4">
    <w:name w:val="header"/>
    <w:basedOn w:val="a"/>
    <w:link w:val="a5"/>
    <w:uiPriority w:val="99"/>
    <w:unhideWhenUsed/>
    <w:rsid w:val="00DA5778"/>
    <w:pPr>
      <w:tabs>
        <w:tab w:val="center" w:pos="4252"/>
        <w:tab w:val="right" w:pos="8504"/>
      </w:tabs>
      <w:snapToGrid w:val="0"/>
    </w:pPr>
  </w:style>
  <w:style w:type="character" w:customStyle="1" w:styleId="a5">
    <w:name w:val="ヘッダー (文字)"/>
    <w:basedOn w:val="a0"/>
    <w:link w:val="a4"/>
    <w:uiPriority w:val="99"/>
    <w:rsid w:val="00DA57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2022-01-04T08:32:00Z</dcterms:created>
  <dcterms:modified xsi:type="dcterms:W3CDTF">2022-01-04T08:32:00Z</dcterms:modified>
</cp:coreProperties>
</file>