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8E7" w:rsidRDefault="00023C90">
      <w:pPr>
        <w:pStyle w:val="en"/>
      </w:pPr>
      <w:r>
        <w:t>Order for Enforcement of the Act on the Deposit Transaction Agreements of Specified Commodities</w:t>
      </w:r>
    </w:p>
    <w:p w:rsidR="00B648E7" w:rsidRDefault="00B648E7"/>
    <w:p w:rsidR="00B648E7" w:rsidRDefault="00023C90">
      <w:pPr>
        <w:pStyle w:val="enf"/>
      </w:pPr>
      <w:r>
        <w:t>(Cabinet Order No. 340 of November 11, 1986)</w:t>
      </w:r>
    </w:p>
    <w:p w:rsidR="00B648E7" w:rsidRDefault="00B648E7"/>
    <w:p w:rsidR="00B648E7" w:rsidRDefault="00023C90">
      <w:pPr>
        <w:pStyle w:val="ene"/>
      </w:pPr>
      <w:r>
        <w:t xml:space="preserve">The Cabinet has enacted this Cabinet Order based on the provisions of Article 2, paragraphs (1) and (2), </w:t>
      </w:r>
      <w:r>
        <w:t>Article 4 and Article 10, paragraph (1) of the Act on the Deposit Transaction Agreements of Specified Commodities (Act No. 62 of 1986).</w:t>
      </w:r>
    </w:p>
    <w:p w:rsidR="00B648E7" w:rsidRDefault="00B648E7"/>
    <w:p w:rsidR="00B648E7" w:rsidRDefault="00023C90">
      <w:pPr>
        <w:pStyle w:val="ena"/>
      </w:pPr>
      <w:r>
        <w:t>(Specified Commodities)</w:t>
      </w:r>
    </w:p>
    <w:p w:rsidR="00B648E7" w:rsidRDefault="00023C90">
      <w:pPr>
        <w:pStyle w:val="enf3"/>
      </w:pPr>
      <w:r>
        <w:t>Article 1  (1) The goods specified by Cabinet Order in Article 2, paragraph (1), item (i) of th</w:t>
      </w:r>
      <w:r>
        <w:t>e Act on the Deposit Transaction Agreements of Specified Commodities (hereinafter referred to as "the Act") means the goods described below (hereinafter referred to as "specified commodities"):</w:t>
      </w:r>
    </w:p>
    <w:p w:rsidR="00B648E7" w:rsidRDefault="00023C90">
      <w:pPr>
        <w:pStyle w:val="enf6"/>
      </w:pPr>
      <w:r>
        <w:t>(i) precious stones, semi-precious stones, pearls, precious me</w:t>
      </w:r>
      <w:r>
        <w:t>tals (gold, silver, platinum and alloys thereof), ornamental furniture and accessories with these items;</w:t>
      </w:r>
    </w:p>
    <w:p w:rsidR="00B648E7" w:rsidRDefault="00023C90">
      <w:pPr>
        <w:pStyle w:val="enf6"/>
      </w:pPr>
      <w:r>
        <w:t>(ii) bonsai trees, potted flowers and other ornamental plants (excluding cut flowers and lopped branches);</w:t>
      </w:r>
    </w:p>
    <w:p w:rsidR="00B648E7" w:rsidRDefault="00023C90">
      <w:pPr>
        <w:pStyle w:val="enf6"/>
      </w:pPr>
      <w:r>
        <w:t>(iii) mammals or birds that are raised by pe</w:t>
      </w:r>
      <w:r>
        <w:t>ople;</w:t>
      </w:r>
    </w:p>
    <w:p w:rsidR="00B648E7" w:rsidRDefault="00023C90">
      <w:pPr>
        <w:pStyle w:val="enf6"/>
      </w:pPr>
      <w:r>
        <w:t>(iv) vending machines and automatic service machines;</w:t>
      </w:r>
    </w:p>
    <w:p w:rsidR="00B648E7" w:rsidRDefault="00023C90">
      <w:pPr>
        <w:pStyle w:val="enf6"/>
      </w:pPr>
      <w:r>
        <w:t>(v) processed animals and plants (limited to those which are not for general eating or drinking) to be taken by people (excluding pharmaceuticals (which mean the pharmaceuticals described in Artic</w:t>
      </w:r>
      <w:r>
        <w:t>le 2, paragraph (1) of the Act on Ensuring Quality, Efficacy and Safety of Products Including Pharmaceuticals and Medical Devices (Act No. 145 of 1960))); and</w:t>
      </w:r>
    </w:p>
    <w:p w:rsidR="00B648E7" w:rsidRDefault="00023C90">
      <w:pPr>
        <w:pStyle w:val="enf6"/>
      </w:pPr>
      <w:r>
        <w:t>(vi) household therapeutic devices.</w:t>
      </w:r>
    </w:p>
    <w:p w:rsidR="00B648E7" w:rsidRDefault="00023C90">
      <w:pPr>
        <w:pStyle w:val="enf4"/>
      </w:pPr>
      <w:r>
        <w:t>(2) The facility use rights specified by Cabinet Order in Art</w:t>
      </w:r>
      <w:r>
        <w:t>icle 2, paragraph (1), item (ii) of the Act means the rights described below (hereinafter referred to as "facility use rights"):</w:t>
      </w:r>
    </w:p>
    <w:p w:rsidR="00B648E7" w:rsidRDefault="00023C90">
      <w:pPr>
        <w:pStyle w:val="enf6"/>
      </w:pPr>
      <w:r>
        <w:t>(i) right to use a golf course;</w:t>
      </w:r>
    </w:p>
    <w:p w:rsidR="00B648E7" w:rsidRDefault="00023C90">
      <w:pPr>
        <w:pStyle w:val="enf6"/>
      </w:pPr>
      <w:r>
        <w:t>(ii) right to use a facility for mooring a yacht, a motorboat or a boat for sports or recreatio</w:t>
      </w:r>
      <w:r>
        <w:t>n; and</w:t>
      </w:r>
    </w:p>
    <w:p w:rsidR="00B648E7" w:rsidRDefault="00023C90">
      <w:pPr>
        <w:pStyle w:val="enf6"/>
      </w:pPr>
      <w:r>
        <w:t>(iii) right to use a facility for language learning.</w:t>
      </w:r>
    </w:p>
    <w:p w:rsidR="00B648E7" w:rsidRDefault="00B648E7"/>
    <w:p w:rsidR="00B648E7" w:rsidRDefault="00023C90">
      <w:pPr>
        <w:pStyle w:val="ena"/>
      </w:pPr>
      <w:r>
        <w:t>(Those who are Specified by Cabinet Order in Article 2, Paragraph (2) of the Act)</w:t>
      </w:r>
    </w:p>
    <w:p w:rsidR="00B648E7" w:rsidRDefault="00023C90">
      <w:pPr>
        <w:pStyle w:val="enf3"/>
      </w:pPr>
      <w:r>
        <w:t>Article 2  Those who are specified by Cabinet Order in Article 2, paragraph (2) of the Act means banks, the Shoko</w:t>
      </w:r>
      <w:r>
        <w:t xml:space="preserve"> Chukin Bank, Ltd., the Norinchukin Bank, shinkin banks, the Federation of Shinkin Banks, labor banks, the Rokinren </w:t>
      </w:r>
      <w:r>
        <w:lastRenderedPageBreak/>
        <w:t>Bank, credit cooperatives, the Federation of Cooperatives that conducts the business described in Article 9-9, item (i) of the Small and Med</w:t>
      </w:r>
      <w:r>
        <w:t>ium-Sized Enterprise Cooperatives Act (Act No. 181 of 1949), the agricultural cooperatives and the Federation of Agricultural Cooperatives that conduct the business described in Article 10, paragraph (1), item (iii) of the Agricultural Co-operatives Act (A</w:t>
      </w:r>
      <w:r>
        <w:t>ct No. 132 of 1947), the Japan Fisheries Cooperatives that conduct the business described in Article 11, paragraph (1), item (iv) of the Fishery Cooperative Act (Act No. 242 of 1948), the National Federation of JFs that conducts the business described in A</w:t>
      </w:r>
      <w:r>
        <w:t>rticle 87, paragraph (1), item (iv) of the Fishery Cooperative Act, the seafood processing cooperatives that conduct the business described in Article 93, paragraph (1), item (ii) of the Fishery Cooperative Act, Zensui Kakoren that conducts the business de</w:t>
      </w:r>
      <w:r>
        <w:t>scribed in Article 97, paragraph (1), item (ii) of the Fishery Cooperative Act, the financial instruments business operators provided in Article 2, paragraph (9) of the Financial Instruments and Exchange Act (Act No. 25 of 1948) (limited to those who condu</w:t>
      </w:r>
      <w:r>
        <w:t>ct Type I financial instruments business provided in Article 28, paragraph (1) of the Financial Instruments and Exchange Act) and the securities finance companies provided in Article 2, paragraph (30) of the Financial Instruments and Exchange Act.</w:t>
      </w:r>
    </w:p>
    <w:p w:rsidR="00B648E7" w:rsidRDefault="00B648E7"/>
    <w:p w:rsidR="00B648E7" w:rsidRDefault="00023C90">
      <w:pPr>
        <w:pStyle w:val="ena"/>
      </w:pPr>
      <w:r>
        <w:t>(Import</w:t>
      </w:r>
      <w:r>
        <w:t>ant Matters that would Affect the Decision of a Customer or Depositor)</w:t>
      </w:r>
    </w:p>
    <w:p w:rsidR="00B648E7" w:rsidRDefault="00023C90">
      <w:pPr>
        <w:pStyle w:val="enf3"/>
      </w:pPr>
      <w:r>
        <w:t>Article 3  (1) The matters specified by Cabinet Order in Article 4, paragraph (1) of the Act means as follows:</w:t>
      </w:r>
    </w:p>
    <w:p w:rsidR="00B648E7" w:rsidRDefault="00023C90">
      <w:pPr>
        <w:pStyle w:val="enf6"/>
      </w:pPr>
      <w:r>
        <w:t>(i) prices of specified commodities or facility use rights, and fluctuatio</w:t>
      </w:r>
      <w:r>
        <w:t>ns thereof;</w:t>
      </w:r>
    </w:p>
    <w:p w:rsidR="00B648E7" w:rsidRDefault="00023C90">
      <w:pPr>
        <w:pStyle w:val="enf6"/>
      </w:pPr>
      <w:r>
        <w:t>(ii) prices of goods provided in lieu of return of specified commodities or the facility use rights, and fluctuations thereof;</w:t>
      </w:r>
    </w:p>
    <w:p w:rsidR="00B648E7" w:rsidRDefault="00023C90">
      <w:pPr>
        <w:pStyle w:val="enf6"/>
      </w:pPr>
      <w:r>
        <w:t>(iii) prices of goods and fluctuations thereof, in the case where the relevant goods are provided as economic benefit</w:t>
      </w:r>
      <w:r>
        <w:t>s regarding the deposit of specified commodities or the management of facility use rights;</w:t>
      </w:r>
    </w:p>
    <w:p w:rsidR="00B648E7" w:rsidRDefault="00023C90">
      <w:pPr>
        <w:pStyle w:val="enf6"/>
      </w:pPr>
      <w:r>
        <w:t>(iv) status of possession of specified commodities to be purchased for the purpose of deposit, etc. transaction agreements; and</w:t>
      </w:r>
    </w:p>
    <w:p w:rsidR="00B648E7" w:rsidRDefault="00023C90">
      <w:pPr>
        <w:pStyle w:val="enf6"/>
      </w:pPr>
      <w:r>
        <w:t xml:space="preserve">(v) name, location, scale and </w:t>
      </w:r>
      <w:r>
        <w:t>name of owners of facilities related to facility use rights to be purchased for the purpose of deposit, etc. transaction agreements.</w:t>
      </w:r>
    </w:p>
    <w:p w:rsidR="00B648E7" w:rsidRDefault="00023C90">
      <w:pPr>
        <w:pStyle w:val="enf4"/>
      </w:pPr>
      <w:r>
        <w:t>(2) The matters specified by Cabinet Order in Article 4, paragraph (2) of the Act means those set forth in the items (i) th</w:t>
      </w:r>
      <w:r>
        <w:t>rough (iii) in the preceding paragraph.</w:t>
      </w:r>
    </w:p>
    <w:p w:rsidR="00B648E7" w:rsidRDefault="00B648E7"/>
    <w:p w:rsidR="00B648E7" w:rsidRDefault="00023C90">
      <w:pPr>
        <w:pStyle w:val="ena"/>
      </w:pPr>
      <w:r>
        <w:t>(Collection of Reports)</w:t>
      </w:r>
    </w:p>
    <w:p w:rsidR="00B648E7" w:rsidRDefault="00023C90">
      <w:pPr>
        <w:pStyle w:val="enf3"/>
      </w:pPr>
      <w:r>
        <w:t>Article 4  Pursuant to the provisions of Article 10, paragraph (1) of the Act, the Prime Minister may request deposit, etc. servicers or solicitors to report on the items set forth in the rig</w:t>
      </w:r>
      <w:r>
        <w:t xml:space="preserve">ht-hand column of below table corresponding to the </w:t>
      </w:r>
      <w:r>
        <w:lastRenderedPageBreak/>
        <w:t>categories set forth in the left-hand column of the same table.</w:t>
      </w:r>
    </w:p>
    <w:p w:rsidR="00B648E7" w:rsidRDefault="00B648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57"/>
        <w:gridCol w:w="7542"/>
      </w:tblGrid>
      <w:tr w:rsidR="00B648E7">
        <w:tblPrEx>
          <w:tblCellMar>
            <w:top w:w="0" w:type="dxa"/>
            <w:left w:w="0" w:type="dxa"/>
            <w:bottom w:w="0" w:type="dxa"/>
            <w:right w:w="0" w:type="dxa"/>
          </w:tblCellMar>
        </w:tblPrEx>
        <w:trPr>
          <w:cantSplit/>
        </w:trPr>
        <w:tc>
          <w:tcPr>
            <w:tcW w:w="1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648E7" w:rsidRDefault="00023C90">
            <w:pPr>
              <w:pStyle w:val="jaen"/>
            </w:pPr>
            <w:r>
              <w:t>Ddeposit, etc. Sservicers</w:t>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(i) items regarding the solicitation for the conclusion or renewal of deposit, etc. transaction agreements conduct</w:t>
            </w:r>
            <w:r>
              <w:t>ed by deposit, etc. servicers (including the solicitation for the purchase of the relevant specified commodities or facility use rights for the purpose of the relevant deposit, etc. transaction agreements; hereinafter the same applies)</w:t>
            </w:r>
          </w:p>
        </w:tc>
      </w:tr>
      <w:tr w:rsidR="00B648E7">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(ii) items regard</w:t>
            </w:r>
            <w:r>
              <w:t>ing the solicitation for the conclusion or renewal of deposit, etc. transaction agreements conducted by solicitors under the instruction of the relevant deposit, etc. servicers</w:t>
            </w:r>
          </w:p>
        </w:tc>
      </w:tr>
      <w:tr w:rsidR="00B648E7">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 xml:space="preserve">(iii) items regarding the conclusion of deposit, etc. transaction </w:t>
            </w:r>
            <w:r>
              <w:t>agreements conducted by the relevant deposit, etc. servicers</w:t>
            </w:r>
          </w:p>
        </w:tc>
      </w:tr>
      <w:tr w:rsidR="00B648E7">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(iv) items regarding the contents and performance of deposit, etc. transaction agreements signed by the relevant deposit, etc. servicers</w:t>
            </w:r>
          </w:p>
        </w:tc>
      </w:tr>
      <w:tr w:rsidR="00B648E7">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(v) items regarding the cancellation of deposit, etc</w:t>
            </w:r>
            <w:r>
              <w:t>. transaction agreements signed by the relevant deposit, etc. servicers</w:t>
            </w:r>
          </w:p>
        </w:tc>
      </w:tr>
      <w:tr w:rsidR="00B648E7">
        <w:tblPrEx>
          <w:tblCellMar>
            <w:top w:w="0" w:type="dxa"/>
            <w:left w:w="0" w:type="dxa"/>
            <w:bottom w:w="0" w:type="dxa"/>
            <w:right w:w="0" w:type="dxa"/>
          </w:tblCellMar>
        </w:tblPrEx>
        <w:trPr>
          <w:cantSplit/>
        </w:trPr>
        <w:tc>
          <w:tcPr>
            <w:tcW w:w="1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br w:type="textWrapping" w:clear="all"/>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(vi) items regarding the documents that should be stored by the relevant deposit, etc. servicers in accordance with Article 6 of the Act, and the browsing thereof</w:t>
            </w:r>
          </w:p>
        </w:tc>
      </w:tr>
      <w:tr w:rsidR="00B648E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Ssolicitors</w:t>
            </w:r>
          </w:p>
        </w:tc>
        <w:tc>
          <w:tcPr>
            <w:tcW w:w="7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8E7" w:rsidRDefault="00023C90">
            <w:pPr>
              <w:pStyle w:val="jaen"/>
            </w:pPr>
            <w:r>
              <w:t>items</w:t>
            </w:r>
            <w:r>
              <w:t xml:space="preserve"> regarding the solicitation for the conclusion or renewal of deposit, etc. transaction agreements conducted by the relevant solicitors</w:t>
            </w:r>
          </w:p>
        </w:tc>
      </w:tr>
      <w:tr w:rsidR="00B648E7">
        <w:tblPrEx>
          <w:tblCellMar>
            <w:top w:w="0" w:type="dxa"/>
            <w:left w:w="0" w:type="dxa"/>
            <w:bottom w:w="0" w:type="dxa"/>
            <w:right w:w="0" w:type="dxa"/>
          </w:tblCellMar>
        </w:tblPrEx>
        <w:trPr>
          <w:cantSplit/>
        </w:trPr>
        <w:tc>
          <w:tcPr>
            <w:tcW w:w="1157" w:type="dxa"/>
            <w:tcMar>
              <w:top w:w="0" w:type="dxa"/>
              <w:left w:w="108" w:type="dxa"/>
              <w:bottom w:w="0" w:type="dxa"/>
              <w:right w:w="108" w:type="dxa"/>
            </w:tcMar>
          </w:tcPr>
          <w:p w:rsidR="00B648E7" w:rsidRDefault="00B648E7">
            <w:pPr>
              <w:pStyle w:val="jaen"/>
            </w:pPr>
          </w:p>
        </w:tc>
        <w:tc>
          <w:tcPr>
            <w:tcW w:w="7542" w:type="dxa"/>
            <w:tcMar>
              <w:top w:w="0" w:type="dxa"/>
              <w:left w:w="108" w:type="dxa"/>
              <w:bottom w:w="0" w:type="dxa"/>
              <w:right w:w="108" w:type="dxa"/>
            </w:tcMar>
          </w:tcPr>
          <w:p w:rsidR="00B648E7" w:rsidRDefault="00B648E7">
            <w:pPr>
              <w:pStyle w:val="jaen"/>
            </w:pPr>
          </w:p>
        </w:tc>
      </w:tr>
    </w:tbl>
    <w:p w:rsidR="00B648E7" w:rsidRDefault="00B648E7"/>
    <w:p w:rsidR="00B648E7" w:rsidRDefault="00023C90">
      <w:pPr>
        <w:pStyle w:val="ena"/>
      </w:pPr>
      <w:r>
        <w:t>(Authority not Delegated to the Secretary-General of the Consumer Affairs Agency)</w:t>
      </w:r>
    </w:p>
    <w:p w:rsidR="00B648E7" w:rsidRDefault="00023C90">
      <w:pPr>
        <w:pStyle w:val="enf3"/>
      </w:pPr>
      <w:r>
        <w:t xml:space="preserve">Article 5  The authority </w:t>
      </w:r>
      <w:r>
        <w:t>specified by Cabinet Order in Article 13-2 of the Act means those under the provisions of Articles 11-2 and 13 of the Act (the authority under the same Article are limited to those related to the Minister of State).</w:t>
      </w:r>
    </w:p>
    <w:p w:rsidR="00B648E7" w:rsidRDefault="00B648E7"/>
    <w:p w:rsidR="00B648E7" w:rsidRDefault="00023C90">
      <w:pPr>
        <w:pStyle w:val="en2"/>
      </w:pPr>
      <w:r>
        <w:t>Supplementary Provisions</w:t>
      </w:r>
    </w:p>
    <w:p w:rsidR="00B648E7" w:rsidRDefault="00B648E7"/>
    <w:p w:rsidR="00B648E7" w:rsidRDefault="00023C90">
      <w:pPr>
        <w:pStyle w:val="enf5"/>
      </w:pPr>
      <w:r>
        <w:t xml:space="preserve">This Cabinet </w:t>
      </w:r>
      <w:r>
        <w:t>Order comes into effect as of the date of the enforcement of the Act (November 22, 1986).</w:t>
      </w:r>
    </w:p>
    <w:p w:rsidR="00B648E7" w:rsidRDefault="00B648E7"/>
    <w:p w:rsidR="00B648E7" w:rsidRDefault="00023C90">
      <w:pPr>
        <w:pStyle w:val="en2"/>
      </w:pPr>
      <w:r>
        <w:t>Supplementary Provisions  [Cabinet Order No. 273 of August 4, 1987]</w:t>
      </w:r>
    </w:p>
    <w:p w:rsidR="00B648E7" w:rsidRDefault="00B648E7"/>
    <w:p w:rsidR="00B648E7" w:rsidRDefault="00023C90">
      <w:pPr>
        <w:pStyle w:val="ena"/>
      </w:pPr>
      <w:r>
        <w:t>(Effective Date)</w:t>
      </w:r>
    </w:p>
    <w:p w:rsidR="00B648E7" w:rsidRDefault="00023C90">
      <w:pPr>
        <w:pStyle w:val="enf4"/>
      </w:pPr>
      <w:r>
        <w:t>(1) This Cabinet Order comes into effect as of August 15, 1987.</w:t>
      </w:r>
    </w:p>
    <w:p w:rsidR="00B648E7" w:rsidRDefault="00B648E7"/>
    <w:p w:rsidR="00B648E7" w:rsidRDefault="00023C90">
      <w:pPr>
        <w:pStyle w:val="ena"/>
      </w:pPr>
      <w:r>
        <w:t>(Transitional Measures)</w:t>
      </w:r>
    </w:p>
    <w:p w:rsidR="00B648E7" w:rsidRDefault="00023C90">
      <w:pPr>
        <w:pStyle w:val="enf4"/>
      </w:pPr>
      <w:r>
        <w:t xml:space="preserve">(2) The provisions of Article 3, paragraph (2), Articles 8 and 9 of the Act on the Deposit Transaction Agreements of Specified Commodities do not apply to the deposit, etc. transaction agreements for the rights mentioned in Article </w:t>
      </w:r>
      <w:r>
        <w:t>1, paragraph (2), item (iii) of the amended Act that were concluded prior to the enforcement of this Cabinet Order.</w:t>
      </w:r>
    </w:p>
    <w:p w:rsidR="00B648E7" w:rsidRDefault="00B648E7"/>
    <w:p w:rsidR="00B648E7" w:rsidRDefault="00023C90">
      <w:pPr>
        <w:pStyle w:val="en2"/>
      </w:pPr>
      <w:r>
        <w:t>Supplementary Provisions  [Cabinet Order No. 242 of August 9, 1988]</w:t>
      </w:r>
    </w:p>
    <w:p w:rsidR="00B648E7" w:rsidRDefault="00B648E7"/>
    <w:p w:rsidR="00B648E7" w:rsidRDefault="00023C90">
      <w:pPr>
        <w:pStyle w:val="enf5"/>
      </w:pPr>
      <w:r>
        <w:t>This Cabinet Order comes into effect as of August 23, 1988.</w:t>
      </w:r>
    </w:p>
    <w:p w:rsidR="00B648E7" w:rsidRDefault="00B648E7"/>
    <w:p w:rsidR="00B648E7" w:rsidRDefault="00023C90">
      <w:pPr>
        <w:pStyle w:val="en2"/>
      </w:pPr>
      <w:r>
        <w:t>Supplementary Provisions  [Cabinet Order No. 254 of July 25, 1997]</w:t>
      </w:r>
    </w:p>
    <w:p w:rsidR="00B648E7" w:rsidRDefault="00B648E7"/>
    <w:p w:rsidR="00B648E7" w:rsidRDefault="00023C90">
      <w:pPr>
        <w:pStyle w:val="ena"/>
      </w:pPr>
      <w:r>
        <w:t>(Effective Date)</w:t>
      </w:r>
    </w:p>
    <w:p w:rsidR="00B648E7" w:rsidRDefault="00023C90">
      <w:pPr>
        <w:pStyle w:val="enf4"/>
      </w:pPr>
      <w:r>
        <w:t>(1) This Cabinet Order comes into effect as of August 4, 1997.</w:t>
      </w:r>
    </w:p>
    <w:p w:rsidR="00B648E7" w:rsidRDefault="00B648E7"/>
    <w:p w:rsidR="00B648E7" w:rsidRDefault="00023C90">
      <w:pPr>
        <w:pStyle w:val="ena"/>
      </w:pPr>
      <w:r>
        <w:t>(Transitional Measures)</w:t>
      </w:r>
    </w:p>
    <w:p w:rsidR="00B648E7" w:rsidRDefault="00023C90">
      <w:pPr>
        <w:pStyle w:val="enf4"/>
      </w:pPr>
      <w:r>
        <w:t xml:space="preserve">(2) The provisions of Article 3, paragraph (2), Articles 8 and 9 of the Act on the </w:t>
      </w:r>
      <w:r>
        <w:t xml:space="preserve">Deposit Transaction Agreements of Specified Commodities do not apply to the deposit, etc. transaction agreements for specified commodities mentioned in Article 1, paragraph (1), item (iii) of the amended Act that were concluded prior to the enforcement of </w:t>
      </w:r>
      <w:r>
        <w:t>this Cabinet Order.</w:t>
      </w:r>
    </w:p>
    <w:p w:rsidR="00B648E7" w:rsidRDefault="00B648E7"/>
    <w:p w:rsidR="00B648E7" w:rsidRDefault="00023C90">
      <w:pPr>
        <w:pStyle w:val="en2"/>
      </w:pPr>
      <w:r>
        <w:t>Supplementary Provisions  [Cabinet Order No. 369 of November 20, 1998 Extract]  [Extract]</w:t>
      </w:r>
    </w:p>
    <w:p w:rsidR="00B648E7" w:rsidRDefault="00B648E7"/>
    <w:p w:rsidR="00B648E7" w:rsidRDefault="00023C90">
      <w:pPr>
        <w:pStyle w:val="ena"/>
      </w:pPr>
      <w:r>
        <w:t>(Effective Date)</w:t>
      </w:r>
    </w:p>
    <w:p w:rsidR="00B648E7" w:rsidRDefault="00023C90">
      <w:pPr>
        <w:pStyle w:val="enf3"/>
      </w:pPr>
      <w:r>
        <w:t>Article 1  This Cabinet Order comes into effect as of December 1, 1998.</w:t>
      </w:r>
    </w:p>
    <w:p w:rsidR="00B648E7" w:rsidRDefault="00B648E7"/>
    <w:p w:rsidR="00B648E7" w:rsidRDefault="00023C90">
      <w:pPr>
        <w:pStyle w:val="en2"/>
      </w:pPr>
      <w:r>
        <w:t>Supplementary Provisions  [Cabinet Order No. 483 of No</w:t>
      </w:r>
      <w:r>
        <w:t>vember 17, 2000 Extract]  [Extract]</w:t>
      </w:r>
    </w:p>
    <w:p w:rsidR="00B648E7" w:rsidRDefault="00B648E7"/>
    <w:p w:rsidR="00B648E7" w:rsidRDefault="00023C90">
      <w:pPr>
        <w:pStyle w:val="ena"/>
      </w:pPr>
      <w:r>
        <w:t>(Effective Date)</w:t>
      </w:r>
    </w:p>
    <w:p w:rsidR="00B648E7" w:rsidRDefault="00023C90">
      <w:pPr>
        <w:pStyle w:val="enf3"/>
      </w:pPr>
      <w:r>
        <w:t>Article 1  This Cabinet Order comes into effect on the date of the enforcement of the Act on the Partial Revision of the Securities and Exchange Act and the Financial Futures Trading Act (December 1, 20</w:t>
      </w:r>
      <w:r>
        <w:t>00).</w:t>
      </w:r>
    </w:p>
    <w:p w:rsidR="00B648E7" w:rsidRDefault="00B648E7"/>
    <w:p w:rsidR="00B648E7" w:rsidRDefault="00023C90">
      <w:pPr>
        <w:pStyle w:val="en2"/>
      </w:pPr>
      <w:r>
        <w:t>Supplementary Provisions  [Cabinet Order No. 286 of September 5, 2001 Extract]  [Extract]</w:t>
      </w:r>
    </w:p>
    <w:p w:rsidR="00B648E7" w:rsidRDefault="00B648E7"/>
    <w:p w:rsidR="00B648E7" w:rsidRDefault="00023C90">
      <w:pPr>
        <w:pStyle w:val="ena"/>
      </w:pPr>
      <w:r>
        <w:t>(Effective Date)</w:t>
      </w:r>
    </w:p>
    <w:p w:rsidR="00B648E7" w:rsidRDefault="00023C90">
      <w:pPr>
        <w:pStyle w:val="enf3"/>
      </w:pPr>
      <w:r>
        <w:t>Article 1  This Cabinet Order comes into effect as of January 1, 2002.</w:t>
      </w:r>
    </w:p>
    <w:p w:rsidR="00B648E7" w:rsidRDefault="00B648E7"/>
    <w:p w:rsidR="00B648E7" w:rsidRDefault="00023C90">
      <w:pPr>
        <w:pStyle w:val="en2"/>
      </w:pPr>
      <w:r>
        <w:t xml:space="preserve">Supplementary Provisions  [Cabinet Order No. 307 of October 2, </w:t>
      </w:r>
      <w:r>
        <w:t>2002 Extract]  [Extract]</w:t>
      </w:r>
    </w:p>
    <w:p w:rsidR="00B648E7" w:rsidRDefault="00B648E7"/>
    <w:p w:rsidR="00B648E7" w:rsidRDefault="00023C90">
      <w:pPr>
        <w:pStyle w:val="ena"/>
      </w:pPr>
      <w:r>
        <w:t>(Effective Date)</w:t>
      </w:r>
    </w:p>
    <w:p w:rsidR="00B648E7" w:rsidRDefault="00023C90">
      <w:pPr>
        <w:pStyle w:val="enf3"/>
      </w:pPr>
      <w:r>
        <w:t>Article 1  This Cabinet Order comes into effect as of January 1, 2003.</w:t>
      </w:r>
    </w:p>
    <w:p w:rsidR="00B648E7" w:rsidRDefault="00B648E7"/>
    <w:p w:rsidR="00B648E7" w:rsidRDefault="00023C90">
      <w:pPr>
        <w:pStyle w:val="en2"/>
      </w:pPr>
      <w:r>
        <w:t>Supplementary Provisions  [Cabinet Order No. 363 of December 6, 2002 Extract]  [Extract]</w:t>
      </w:r>
    </w:p>
    <w:p w:rsidR="00B648E7" w:rsidRDefault="00B648E7"/>
    <w:p w:rsidR="00B648E7" w:rsidRDefault="00023C90">
      <w:pPr>
        <w:pStyle w:val="ena"/>
      </w:pPr>
      <w:r>
        <w:t>(Effective Date)</w:t>
      </w:r>
    </w:p>
    <w:p w:rsidR="00B648E7" w:rsidRDefault="00023C90">
      <w:pPr>
        <w:pStyle w:val="enf3"/>
      </w:pPr>
      <w:r>
        <w:t>Article 1  This Cabinet Order come</w:t>
      </w:r>
      <w:r>
        <w:t>s into effect as of January 6, 2003.</w:t>
      </w:r>
    </w:p>
    <w:p w:rsidR="00B648E7" w:rsidRDefault="00B648E7"/>
    <w:p w:rsidR="00B648E7" w:rsidRDefault="00023C90">
      <w:pPr>
        <w:pStyle w:val="ena"/>
      </w:pPr>
      <w:r>
        <w:t>(Transitional Measures Concerning Penal Provisions)</w:t>
      </w:r>
    </w:p>
    <w:p w:rsidR="00B648E7" w:rsidRDefault="00023C90">
      <w:pPr>
        <w:pStyle w:val="enf3"/>
      </w:pPr>
      <w:r>
        <w:t>Article 6  Prior laws continue to govern the applicability of penal provisions to conduct that a person engages in before this Cabinet Order comes into effect.</w:t>
      </w:r>
    </w:p>
    <w:p w:rsidR="00B648E7" w:rsidRDefault="00B648E7"/>
    <w:p w:rsidR="00B648E7" w:rsidRDefault="00023C90">
      <w:pPr>
        <w:pStyle w:val="en2"/>
      </w:pPr>
      <w:r>
        <w:t>Suppl</w:t>
      </w:r>
      <w:r>
        <w:t>ementary Provisions  [Cabinet Order No. 9 of January 30, 2004 Extract]  [Extract]</w:t>
      </w:r>
    </w:p>
    <w:p w:rsidR="00B648E7" w:rsidRDefault="00B648E7"/>
    <w:p w:rsidR="00B648E7" w:rsidRDefault="00023C90">
      <w:pPr>
        <w:pStyle w:val="ena"/>
      </w:pPr>
      <w:r>
        <w:t>(Effective Date)</w:t>
      </w:r>
    </w:p>
    <w:p w:rsidR="00B648E7" w:rsidRDefault="00023C90">
      <w:pPr>
        <w:pStyle w:val="enf3"/>
      </w:pPr>
      <w:r>
        <w:t>Article 1  This Cabinet Order comes into effect as of April 1, 2004.</w:t>
      </w:r>
    </w:p>
    <w:p w:rsidR="00B648E7" w:rsidRDefault="00B648E7"/>
    <w:p w:rsidR="00B648E7" w:rsidRDefault="00023C90">
      <w:pPr>
        <w:pStyle w:val="ena"/>
      </w:pPr>
      <w:r>
        <w:t>(Transitional Measures Concerning Penal Provisions)</w:t>
      </w:r>
    </w:p>
    <w:p w:rsidR="00B648E7" w:rsidRDefault="00023C90">
      <w:pPr>
        <w:pStyle w:val="enf3"/>
      </w:pPr>
      <w:r>
        <w:t xml:space="preserve">Article 2  Prior laws continue to </w:t>
      </w:r>
      <w:r>
        <w:t>govern the applicability of penal provisions to conduct that a person engages in before this Cabinet Order comes into effect.</w:t>
      </w:r>
    </w:p>
    <w:p w:rsidR="00B648E7" w:rsidRDefault="00B648E7"/>
    <w:p w:rsidR="00B648E7" w:rsidRDefault="00023C90">
      <w:pPr>
        <w:pStyle w:val="en2"/>
      </w:pPr>
      <w:r>
        <w:t>Supplementary Provisions  [Cabinet Order No. 233 of August 3, 2007 Extract]  [Extract]</w:t>
      </w:r>
    </w:p>
    <w:p w:rsidR="00B648E7" w:rsidRDefault="00B648E7"/>
    <w:p w:rsidR="00B648E7" w:rsidRDefault="00023C90">
      <w:pPr>
        <w:pStyle w:val="ena"/>
      </w:pPr>
      <w:r>
        <w:t>(Effective Date)</w:t>
      </w:r>
    </w:p>
    <w:p w:rsidR="00B648E7" w:rsidRDefault="00023C90">
      <w:pPr>
        <w:pStyle w:val="enf3"/>
      </w:pPr>
      <w:r>
        <w:t xml:space="preserve">Article 1  This Cabinet </w:t>
      </w:r>
      <w:r>
        <w:t>Order comes into effect as of the date of the enforcement of the amended Act.</w:t>
      </w:r>
    </w:p>
    <w:p w:rsidR="00B648E7" w:rsidRDefault="00B648E7"/>
    <w:p w:rsidR="00B648E7" w:rsidRDefault="00023C90">
      <w:pPr>
        <w:pStyle w:val="ena"/>
      </w:pPr>
      <w:r>
        <w:t>(Transitional Measures Concerning Penal Provisions)</w:t>
      </w:r>
    </w:p>
    <w:p w:rsidR="00B648E7" w:rsidRDefault="00023C90">
      <w:pPr>
        <w:pStyle w:val="enf3"/>
      </w:pPr>
      <w:r>
        <w:t xml:space="preserve">Article 64  Prior laws continue to govern the applicability of penal provisions to conduct that a person engages in </w:t>
      </w:r>
      <w:r>
        <w:t>before the effective date, and to conduct that a person engages in after the effective date but which, pursuant to these Supplementary Provisions, is to continue to be governed by the laws previously in force.</w:t>
      </w:r>
    </w:p>
    <w:p w:rsidR="00B648E7" w:rsidRDefault="00B648E7"/>
    <w:p w:rsidR="00B648E7" w:rsidRDefault="00023C90">
      <w:pPr>
        <w:pStyle w:val="en2"/>
      </w:pPr>
      <w:r>
        <w:t xml:space="preserve">Supplementary Provisions  [Cabinet Order No. </w:t>
      </w:r>
      <w:r>
        <w:t>180 of May 21, 2008 Extract]  [Extract]</w:t>
      </w:r>
    </w:p>
    <w:p w:rsidR="00B648E7" w:rsidRDefault="00B648E7"/>
    <w:p w:rsidR="00B648E7" w:rsidRDefault="00023C90">
      <w:pPr>
        <w:pStyle w:val="ena"/>
      </w:pPr>
      <w:r>
        <w:t>(Effective Date)</w:t>
      </w:r>
    </w:p>
    <w:p w:rsidR="00B648E7" w:rsidRDefault="00023C90">
      <w:pPr>
        <w:pStyle w:val="enf3"/>
      </w:pPr>
      <w:r>
        <w:t>Article 1  This Cabinet Order comes into effect as of October 1, 2008.</w:t>
      </w:r>
    </w:p>
    <w:p w:rsidR="00B648E7" w:rsidRDefault="00B648E7"/>
    <w:p w:rsidR="00B648E7" w:rsidRDefault="00023C90">
      <w:pPr>
        <w:pStyle w:val="ena"/>
      </w:pPr>
      <w:r>
        <w:t>(Transitional Measures Concerning Penal Provisions)</w:t>
      </w:r>
    </w:p>
    <w:p w:rsidR="00B648E7" w:rsidRDefault="00023C90">
      <w:pPr>
        <w:pStyle w:val="enf3"/>
      </w:pPr>
      <w:r>
        <w:t>Article 4  Prior laws continue to govern the applicability of the penal pr</w:t>
      </w:r>
      <w:r>
        <w:t>ovisions to conduct that a person engages in before this Cabinet Order comes into effect.</w:t>
      </w:r>
    </w:p>
    <w:p w:rsidR="00B648E7" w:rsidRDefault="00B648E7"/>
    <w:p w:rsidR="00B648E7" w:rsidRDefault="00023C90">
      <w:pPr>
        <w:pStyle w:val="en2"/>
      </w:pPr>
      <w:r>
        <w:t>Supplementary Provisions  [Cabinet Order No. 217 of August 14, 2009 Extract]  [Extract]</w:t>
      </w:r>
    </w:p>
    <w:p w:rsidR="00B648E7" w:rsidRDefault="00B648E7"/>
    <w:p w:rsidR="00B648E7" w:rsidRDefault="00023C90">
      <w:pPr>
        <w:pStyle w:val="ena"/>
      </w:pPr>
      <w:r>
        <w:t>(Effective Date)</w:t>
      </w:r>
    </w:p>
    <w:p w:rsidR="00B648E7" w:rsidRDefault="00023C90">
      <w:pPr>
        <w:pStyle w:val="enf4"/>
      </w:pPr>
      <w:r>
        <w:t xml:space="preserve">(1) This Cabinet Order comes into effect as of the date of </w:t>
      </w:r>
      <w:r>
        <w:t>the enforcement of the Act for the Establishment of a Consumer Affairs Agency and Consumer Commission (September 1, 2009).</w:t>
      </w:r>
    </w:p>
    <w:p w:rsidR="00B648E7" w:rsidRDefault="00B648E7"/>
    <w:p w:rsidR="00B648E7" w:rsidRDefault="00023C90">
      <w:pPr>
        <w:pStyle w:val="ena"/>
      </w:pPr>
      <w:r>
        <w:t>(Transitional Measures Concerning Penal Provisions)</w:t>
      </w:r>
    </w:p>
    <w:p w:rsidR="00B648E7" w:rsidRDefault="00023C90">
      <w:pPr>
        <w:pStyle w:val="enf4"/>
      </w:pPr>
      <w:r>
        <w:t>(2) Prior laws continue to govern the applicability of penal provisions to condu</w:t>
      </w:r>
      <w:r>
        <w:t>ct that a person engages in before this Cabinet Order comes into effect.</w:t>
      </w:r>
    </w:p>
    <w:p w:rsidR="00B648E7" w:rsidRDefault="00B648E7"/>
    <w:p w:rsidR="00B648E7" w:rsidRDefault="00023C90">
      <w:pPr>
        <w:pStyle w:val="en2"/>
      </w:pPr>
      <w:r>
        <w:t>Supplementary Provisions  [Cabinet Order No. 218 of July 19, 2013]</w:t>
      </w:r>
    </w:p>
    <w:p w:rsidR="00B648E7" w:rsidRDefault="00B648E7"/>
    <w:p w:rsidR="00B648E7" w:rsidRDefault="00023C90">
      <w:pPr>
        <w:pStyle w:val="ena"/>
      </w:pPr>
      <w:r>
        <w:t>(Effective Date)</w:t>
      </w:r>
    </w:p>
    <w:p w:rsidR="00B648E7" w:rsidRDefault="00023C90">
      <w:pPr>
        <w:pStyle w:val="enf4"/>
      </w:pPr>
      <w:r>
        <w:t>(1) This Cabinet Order comes into effect as of September 1, 2013.</w:t>
      </w:r>
    </w:p>
    <w:p w:rsidR="00B648E7" w:rsidRDefault="00B648E7"/>
    <w:p w:rsidR="00B648E7" w:rsidRDefault="00023C90">
      <w:pPr>
        <w:pStyle w:val="ena"/>
      </w:pPr>
      <w:r>
        <w:t>(Transitional Measures)</w:t>
      </w:r>
    </w:p>
    <w:p w:rsidR="00B648E7" w:rsidRDefault="00023C90">
      <w:pPr>
        <w:pStyle w:val="enf4"/>
      </w:pPr>
      <w:r>
        <w:t>(2) Th</w:t>
      </w:r>
      <w:r>
        <w:t>e provisions of Article 3, paragraph (2), Articles 8 and 9 of the Act on the Deposit, etc. Transaction Agreements of Specified Commodities, etc. do not apply to the deposit, etc. transaction agreements for specified commodities mentioned in Article 1, para</w:t>
      </w:r>
      <w:r>
        <w:t>graph (1), items (iv) through (vi) of the amended Act that were concluded before the enforcement of this Cabinet Order.</w:t>
      </w:r>
    </w:p>
    <w:p w:rsidR="00B648E7" w:rsidRDefault="00B648E7"/>
    <w:p w:rsidR="00B648E7" w:rsidRDefault="00023C90">
      <w:pPr>
        <w:pStyle w:val="en2"/>
      </w:pPr>
      <w:r>
        <w:t>Supplementary Provisions  [Cabinet Order No. 269 of July 30, 2014 Extract]  [Extract]</w:t>
      </w:r>
    </w:p>
    <w:p w:rsidR="00B648E7" w:rsidRDefault="00B648E7"/>
    <w:p w:rsidR="00B648E7" w:rsidRDefault="00023C90">
      <w:pPr>
        <w:pStyle w:val="ena"/>
      </w:pPr>
      <w:r>
        <w:t>(Effective Date)</w:t>
      </w:r>
    </w:p>
    <w:p w:rsidR="00B648E7" w:rsidRDefault="00023C90">
      <w:pPr>
        <w:pStyle w:val="enf3"/>
      </w:pPr>
      <w:r>
        <w:t xml:space="preserve">Article 1  This Cabinet </w:t>
      </w:r>
      <w:r>
        <w:t>Order comes into effect as of the date of the enforcement of the amended Act (November 25, 2014).</w:t>
      </w:r>
    </w:p>
    <w:sectPr w:rsidR="00B648E7" w:rsidSect="00B648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8E7" w:rsidRDefault="00B648E7" w:rsidP="00B648E7">
      <w:r>
        <w:separator/>
      </w:r>
    </w:p>
  </w:endnote>
  <w:endnote w:type="continuationSeparator" w:id="0">
    <w:p w:rsidR="00B648E7" w:rsidRDefault="00B648E7" w:rsidP="00B6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8E7" w:rsidRDefault="00B648E7">
    <w:pPr>
      <w:pStyle w:val="a3"/>
    </w:pPr>
    <w:r>
      <w:fldChar w:fldCharType="begin"/>
    </w:r>
    <w:r>
      <w:instrText xml:space="preserve"> PAGE  \* MERGEFORMAT </w:instrText>
    </w:r>
    <w:r>
      <w:fldChar w:fldCharType="separate"/>
    </w:r>
    <w:r w:rsidR="00023C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8E7" w:rsidRDefault="00B648E7" w:rsidP="00B648E7">
      <w:r>
        <w:separator/>
      </w:r>
    </w:p>
  </w:footnote>
  <w:footnote w:type="continuationSeparator" w:id="0">
    <w:p w:rsidR="00B648E7" w:rsidRDefault="00B648E7" w:rsidP="00B6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2B1"/>
    <w:multiLevelType w:val="multilevel"/>
    <w:tmpl w:val="D1287F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91779"/>
    <w:multiLevelType w:val="multilevel"/>
    <w:tmpl w:val="4510D7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4B0F77"/>
    <w:multiLevelType w:val="multilevel"/>
    <w:tmpl w:val="FA1217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606A9"/>
    <w:multiLevelType w:val="multilevel"/>
    <w:tmpl w:val="771C10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30DCF"/>
    <w:multiLevelType w:val="multilevel"/>
    <w:tmpl w:val="EEF616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F32952"/>
    <w:multiLevelType w:val="multilevel"/>
    <w:tmpl w:val="C0EC8D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5420ED"/>
    <w:multiLevelType w:val="multilevel"/>
    <w:tmpl w:val="B6F689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4A5F9B"/>
    <w:multiLevelType w:val="multilevel"/>
    <w:tmpl w:val="302097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5172C2"/>
    <w:multiLevelType w:val="multilevel"/>
    <w:tmpl w:val="AE36D1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D04DB9"/>
    <w:multiLevelType w:val="multilevel"/>
    <w:tmpl w:val="0226AB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6264E1"/>
    <w:multiLevelType w:val="multilevel"/>
    <w:tmpl w:val="040228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491DDD"/>
    <w:multiLevelType w:val="multilevel"/>
    <w:tmpl w:val="9FD4FE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60E7D"/>
    <w:multiLevelType w:val="multilevel"/>
    <w:tmpl w:val="E55CB4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9"/>
  </w:num>
  <w:num w:numId="4">
    <w:abstractNumId w:val="0"/>
  </w:num>
  <w:num w:numId="5">
    <w:abstractNumId w:val="2"/>
  </w:num>
  <w:num w:numId="6">
    <w:abstractNumId w:val="7"/>
  </w:num>
  <w:num w:numId="7">
    <w:abstractNumId w:val="8"/>
  </w:num>
  <w:num w:numId="8">
    <w:abstractNumId w:val="12"/>
  </w:num>
  <w:num w:numId="9">
    <w:abstractNumId w:val="3"/>
  </w:num>
  <w:num w:numId="10">
    <w:abstractNumId w:val="4"/>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48E7"/>
    <w:rsid w:val="00023C90"/>
    <w:rsid w:val="00B648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8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48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48E7"/>
    <w:rPr>
      <w:rFonts w:ascii="Century" w:eastAsia="Century" w:hAnsi="Century"/>
    </w:rPr>
  </w:style>
  <w:style w:type="paragraph" w:customStyle="1" w:styleId="ja0">
    <w:name w:val="款（ja）"/>
    <w:basedOn w:val="a"/>
    <w:rsid w:val="00B648E7"/>
    <w:pPr>
      <w:widowControl w:val="0"/>
      <w:ind w:left="1321" w:hanging="221"/>
    </w:pPr>
    <w:rPr>
      <w:rFonts w:ascii="ＭＳ 明朝" w:eastAsia="ＭＳ 明朝" w:hAnsi="ＭＳ 明朝" w:cs="ＭＳ 明朝"/>
      <w:b/>
    </w:rPr>
  </w:style>
  <w:style w:type="paragraph" w:customStyle="1" w:styleId="en0">
    <w:name w:val="款（en）"/>
    <w:basedOn w:val="ja0"/>
    <w:rsid w:val="00B648E7"/>
    <w:rPr>
      <w:rFonts w:ascii="Century" w:eastAsia="Century" w:hAnsi="Century" w:cs="Century"/>
    </w:rPr>
  </w:style>
  <w:style w:type="paragraph" w:customStyle="1" w:styleId="ja1">
    <w:name w:val="前文（ja）"/>
    <w:basedOn w:val="a"/>
    <w:rsid w:val="00B648E7"/>
    <w:pPr>
      <w:widowControl w:val="0"/>
      <w:ind w:firstLine="219"/>
    </w:pPr>
    <w:rPr>
      <w:rFonts w:ascii="ＭＳ 明朝" w:eastAsia="ＭＳ 明朝" w:hAnsi="ＭＳ 明朝" w:cs="ＭＳ 明朝"/>
    </w:rPr>
  </w:style>
  <w:style w:type="paragraph" w:customStyle="1" w:styleId="en1">
    <w:name w:val="前文（en）"/>
    <w:basedOn w:val="ja1"/>
    <w:rsid w:val="00B648E7"/>
    <w:rPr>
      <w:rFonts w:ascii="Century" w:eastAsia="Century" w:hAnsi="Century" w:cs="Century"/>
    </w:rPr>
  </w:style>
  <w:style w:type="paragraph" w:customStyle="1" w:styleId="ja2">
    <w:name w:val="附則（ja）"/>
    <w:basedOn w:val="a"/>
    <w:rsid w:val="00B648E7"/>
    <w:pPr>
      <w:widowControl w:val="0"/>
      <w:ind w:left="881" w:hanging="221"/>
    </w:pPr>
    <w:rPr>
      <w:rFonts w:ascii="ＭＳ 明朝" w:eastAsia="ＭＳ 明朝" w:hAnsi="ＭＳ 明朝" w:cs="ＭＳ 明朝"/>
      <w:b/>
    </w:rPr>
  </w:style>
  <w:style w:type="paragraph" w:customStyle="1" w:styleId="en2">
    <w:name w:val="附則（en）"/>
    <w:basedOn w:val="ja2"/>
    <w:rsid w:val="00B648E7"/>
    <w:rPr>
      <w:rFonts w:ascii="Century" w:hAnsi="Century" w:cs="Century"/>
    </w:rPr>
  </w:style>
  <w:style w:type="paragraph" w:customStyle="1" w:styleId="ja3">
    <w:name w:val="章（ja）"/>
    <w:basedOn w:val="a"/>
    <w:rsid w:val="00B648E7"/>
    <w:pPr>
      <w:widowControl w:val="0"/>
      <w:ind w:left="881" w:hanging="221"/>
    </w:pPr>
    <w:rPr>
      <w:rFonts w:ascii="ＭＳ 明朝" w:eastAsia="ＭＳ 明朝" w:hAnsi="ＭＳ 明朝" w:cs="ＭＳ 明朝"/>
      <w:b/>
    </w:rPr>
  </w:style>
  <w:style w:type="paragraph" w:customStyle="1" w:styleId="en3">
    <w:name w:val="章（en）"/>
    <w:basedOn w:val="ja3"/>
    <w:rsid w:val="00B648E7"/>
    <w:rPr>
      <w:rFonts w:ascii="Century" w:eastAsia="Century" w:hAnsi="Century" w:cs="Century"/>
    </w:rPr>
  </w:style>
  <w:style w:type="paragraph" w:customStyle="1" w:styleId="ja4">
    <w:name w:val="目次編（ja）"/>
    <w:basedOn w:val="a"/>
    <w:rsid w:val="00B648E7"/>
    <w:pPr>
      <w:widowControl w:val="0"/>
      <w:ind w:left="219" w:hanging="219"/>
    </w:pPr>
    <w:rPr>
      <w:rFonts w:ascii="ＭＳ 明朝" w:eastAsia="ＭＳ 明朝" w:hAnsi="ＭＳ 明朝"/>
    </w:rPr>
  </w:style>
  <w:style w:type="paragraph" w:customStyle="1" w:styleId="en4">
    <w:name w:val="目次編（en）"/>
    <w:basedOn w:val="ja4"/>
    <w:rsid w:val="00B648E7"/>
    <w:rPr>
      <w:rFonts w:ascii="Century" w:eastAsia="Century" w:hAnsi="Century"/>
    </w:rPr>
  </w:style>
  <w:style w:type="paragraph" w:customStyle="1" w:styleId="ja5">
    <w:name w:val="目次章（ja）"/>
    <w:basedOn w:val="a"/>
    <w:rsid w:val="00B648E7"/>
    <w:pPr>
      <w:widowControl w:val="0"/>
      <w:ind w:left="439" w:hanging="219"/>
    </w:pPr>
    <w:rPr>
      <w:rFonts w:ascii="ＭＳ 明朝" w:eastAsia="ＭＳ 明朝" w:hAnsi="ＭＳ 明朝"/>
    </w:rPr>
  </w:style>
  <w:style w:type="paragraph" w:customStyle="1" w:styleId="en5">
    <w:name w:val="目次章（en）"/>
    <w:basedOn w:val="ja5"/>
    <w:rsid w:val="00B648E7"/>
    <w:rPr>
      <w:rFonts w:ascii="Century" w:eastAsia="Century" w:hAnsi="Century"/>
    </w:rPr>
  </w:style>
  <w:style w:type="paragraph" w:customStyle="1" w:styleId="ja6">
    <w:name w:val="目次節（ja）"/>
    <w:basedOn w:val="a"/>
    <w:rsid w:val="00B648E7"/>
    <w:pPr>
      <w:widowControl w:val="0"/>
      <w:ind w:left="659" w:hanging="219"/>
    </w:pPr>
    <w:rPr>
      <w:rFonts w:ascii="ＭＳ 明朝" w:eastAsia="ＭＳ 明朝" w:hAnsi="ＭＳ 明朝"/>
    </w:rPr>
  </w:style>
  <w:style w:type="paragraph" w:customStyle="1" w:styleId="en6">
    <w:name w:val="目次節（en）"/>
    <w:basedOn w:val="ja6"/>
    <w:rsid w:val="00B648E7"/>
    <w:rPr>
      <w:rFonts w:ascii="Century" w:eastAsia="Century" w:hAnsi="Century"/>
    </w:rPr>
  </w:style>
  <w:style w:type="paragraph" w:customStyle="1" w:styleId="ja7">
    <w:name w:val="目次款（ja）"/>
    <w:basedOn w:val="a"/>
    <w:rsid w:val="00B648E7"/>
    <w:pPr>
      <w:widowControl w:val="0"/>
      <w:ind w:left="879" w:hanging="219"/>
    </w:pPr>
    <w:rPr>
      <w:rFonts w:ascii="ＭＳ 明朝" w:eastAsia="ＭＳ 明朝" w:hAnsi="ＭＳ 明朝" w:cs="Kochi Mincho"/>
    </w:rPr>
  </w:style>
  <w:style w:type="paragraph" w:customStyle="1" w:styleId="en7">
    <w:name w:val="目次款（en）"/>
    <w:basedOn w:val="ja7"/>
    <w:rsid w:val="00B648E7"/>
    <w:rPr>
      <w:rFonts w:ascii="Century" w:eastAsia="Century" w:hAnsi="Century"/>
    </w:rPr>
  </w:style>
  <w:style w:type="paragraph" w:customStyle="1" w:styleId="ja8">
    <w:name w:val="別表名（ja）"/>
    <w:basedOn w:val="a"/>
    <w:rsid w:val="00B648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48E7"/>
    <w:rPr>
      <w:rFonts w:ascii="Century" w:eastAsia="Century" w:hAnsi="Century" w:cs="Century"/>
    </w:rPr>
  </w:style>
  <w:style w:type="paragraph" w:customStyle="1" w:styleId="ja9">
    <w:name w:val="目（ja）"/>
    <w:basedOn w:val="a"/>
    <w:rsid w:val="00B648E7"/>
    <w:pPr>
      <w:widowControl w:val="0"/>
      <w:ind w:left="1541" w:hanging="221"/>
    </w:pPr>
    <w:rPr>
      <w:rFonts w:ascii="ＭＳ 明朝" w:eastAsia="ＭＳ 明朝" w:hAnsi="ＭＳ 明朝" w:cs="ＭＳ 明朝"/>
      <w:b/>
    </w:rPr>
  </w:style>
  <w:style w:type="paragraph" w:customStyle="1" w:styleId="en9">
    <w:name w:val="目（en）"/>
    <w:basedOn w:val="ja9"/>
    <w:rsid w:val="00B648E7"/>
    <w:rPr>
      <w:rFonts w:ascii="Century" w:eastAsia="Century" w:hAnsi="Century" w:cs="Century"/>
    </w:rPr>
  </w:style>
  <w:style w:type="paragraph" w:customStyle="1" w:styleId="jaa">
    <w:name w:val="見出し（ja）"/>
    <w:basedOn w:val="a"/>
    <w:rsid w:val="00B648E7"/>
    <w:pPr>
      <w:widowControl w:val="0"/>
      <w:ind w:left="439" w:hanging="219"/>
    </w:pPr>
    <w:rPr>
      <w:rFonts w:ascii="ＭＳ 明朝" w:eastAsia="ＭＳ 明朝" w:hAnsi="ＭＳ 明朝" w:cs="ＭＳ 明朝"/>
    </w:rPr>
  </w:style>
  <w:style w:type="paragraph" w:customStyle="1" w:styleId="ena">
    <w:name w:val="見出し（en）"/>
    <w:basedOn w:val="jaa"/>
    <w:rsid w:val="00B648E7"/>
    <w:rPr>
      <w:rFonts w:ascii="Century" w:eastAsia="Century" w:hAnsi="Century" w:cs="Century"/>
    </w:rPr>
  </w:style>
  <w:style w:type="paragraph" w:styleId="a3">
    <w:name w:val="footer"/>
    <w:basedOn w:val="a"/>
    <w:rsid w:val="00B648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48E7"/>
    <w:pPr>
      <w:widowControl w:val="0"/>
      <w:ind w:left="1099" w:hanging="219"/>
    </w:pPr>
    <w:rPr>
      <w:rFonts w:ascii="ＭＳ 明朝" w:eastAsia="ＭＳ 明朝" w:hAnsi="ＭＳ 明朝" w:cs="Kochi Mincho"/>
    </w:rPr>
  </w:style>
  <w:style w:type="paragraph" w:customStyle="1" w:styleId="enb">
    <w:name w:val="目次目（en）"/>
    <w:basedOn w:val="jab"/>
    <w:rsid w:val="00B648E7"/>
    <w:rPr>
      <w:rFonts w:ascii="Century" w:eastAsia="Century" w:hAnsi="Century"/>
    </w:rPr>
  </w:style>
  <w:style w:type="paragraph" w:customStyle="1" w:styleId="jac">
    <w:name w:val="目次附則（ja）"/>
    <w:basedOn w:val="a"/>
    <w:rsid w:val="00B648E7"/>
    <w:pPr>
      <w:widowControl w:val="0"/>
      <w:ind w:left="439" w:hanging="219"/>
    </w:pPr>
    <w:rPr>
      <w:rFonts w:ascii="ＭＳ 明朝" w:eastAsia="ＭＳ 明朝" w:hAnsi="ＭＳ 明朝" w:cs="Kochi Mincho"/>
    </w:rPr>
  </w:style>
  <w:style w:type="paragraph" w:customStyle="1" w:styleId="enc">
    <w:name w:val="目次附則（en）"/>
    <w:basedOn w:val="jac"/>
    <w:rsid w:val="00B648E7"/>
    <w:rPr>
      <w:rFonts w:ascii="Century" w:eastAsia="Century" w:hAnsi="Century" w:cs="Century"/>
    </w:rPr>
  </w:style>
  <w:style w:type="paragraph" w:customStyle="1" w:styleId="jad">
    <w:name w:val="目次前文（ja）"/>
    <w:basedOn w:val="jac"/>
    <w:rsid w:val="00B648E7"/>
  </w:style>
  <w:style w:type="paragraph" w:customStyle="1" w:styleId="end">
    <w:name w:val="目次前文（en）"/>
    <w:basedOn w:val="enc"/>
    <w:rsid w:val="00B648E7"/>
  </w:style>
  <w:style w:type="paragraph" w:customStyle="1" w:styleId="jae">
    <w:name w:val="制定文（ja）"/>
    <w:basedOn w:val="a"/>
    <w:rsid w:val="00B648E7"/>
    <w:pPr>
      <w:widowControl w:val="0"/>
      <w:ind w:firstLine="219"/>
    </w:pPr>
    <w:rPr>
      <w:rFonts w:ascii="ＭＳ 明朝" w:eastAsia="ＭＳ 明朝" w:hAnsi="ＭＳ 明朝" w:cs="ＭＳ 明朝"/>
    </w:rPr>
  </w:style>
  <w:style w:type="paragraph" w:customStyle="1" w:styleId="ene">
    <w:name w:val="制定文（en）"/>
    <w:basedOn w:val="jae"/>
    <w:rsid w:val="00B648E7"/>
    <w:rPr>
      <w:rFonts w:ascii="Century" w:eastAsia="Century" w:hAnsi="Century" w:cs="Century"/>
    </w:rPr>
  </w:style>
  <w:style w:type="paragraph" w:customStyle="1" w:styleId="jaf">
    <w:name w:val="法令番号（ja）"/>
    <w:basedOn w:val="a"/>
    <w:rsid w:val="00B648E7"/>
    <w:pPr>
      <w:widowControl w:val="0"/>
      <w:jc w:val="right"/>
    </w:pPr>
    <w:rPr>
      <w:rFonts w:ascii="ＭＳ 明朝" w:eastAsia="ＭＳ 明朝" w:hAnsi="ＭＳ 明朝" w:cs="Kochi Mincho"/>
    </w:rPr>
  </w:style>
  <w:style w:type="paragraph" w:customStyle="1" w:styleId="enf">
    <w:name w:val="法令番号（en）"/>
    <w:basedOn w:val="jaf"/>
    <w:rsid w:val="00B648E7"/>
    <w:rPr>
      <w:rFonts w:ascii="Century" w:eastAsia="Century" w:hAnsi="Century" w:cs="Century"/>
    </w:rPr>
  </w:style>
  <w:style w:type="paragraph" w:customStyle="1" w:styleId="jaf0">
    <w:name w:val="目次（ja）"/>
    <w:basedOn w:val="a"/>
    <w:rsid w:val="00B648E7"/>
    <w:rPr>
      <w:rFonts w:ascii="ＭＳ 明朝" w:eastAsia="ＭＳ 明朝" w:hAnsi="ＭＳ 明朝"/>
    </w:rPr>
  </w:style>
  <w:style w:type="paragraph" w:customStyle="1" w:styleId="enf0">
    <w:name w:val="目次（en）"/>
    <w:basedOn w:val="jaf0"/>
    <w:rsid w:val="00B648E7"/>
    <w:rPr>
      <w:rFonts w:ascii="Century" w:eastAsia="Century" w:hAnsi="Century"/>
    </w:rPr>
  </w:style>
  <w:style w:type="paragraph" w:customStyle="1" w:styleId="jaf1">
    <w:name w:val="編（ja）"/>
    <w:basedOn w:val="a"/>
    <w:rsid w:val="00B648E7"/>
    <w:pPr>
      <w:widowControl w:val="0"/>
      <w:ind w:left="661" w:hanging="221"/>
    </w:pPr>
    <w:rPr>
      <w:rFonts w:ascii="ＭＳ 明朝" w:eastAsia="ＭＳ 明朝" w:hAnsi="ＭＳ 明朝" w:cs="ＭＳ 明朝"/>
      <w:b/>
    </w:rPr>
  </w:style>
  <w:style w:type="paragraph" w:customStyle="1" w:styleId="enf1">
    <w:name w:val="編（en）"/>
    <w:basedOn w:val="jaf1"/>
    <w:rsid w:val="00B648E7"/>
    <w:rPr>
      <w:rFonts w:ascii="Century" w:eastAsia="Century" w:hAnsi="Century" w:cs="Century"/>
    </w:rPr>
  </w:style>
  <w:style w:type="paragraph" w:customStyle="1" w:styleId="jaf2">
    <w:name w:val="節（ja）"/>
    <w:basedOn w:val="a"/>
    <w:rsid w:val="00B648E7"/>
    <w:pPr>
      <w:widowControl w:val="0"/>
      <w:ind w:left="1101" w:hanging="221"/>
    </w:pPr>
    <w:rPr>
      <w:rFonts w:ascii="ＭＳ 明朝" w:eastAsia="ＭＳ 明朝" w:hAnsi="ＭＳ 明朝" w:cs="ＭＳ 明朝"/>
      <w:b/>
    </w:rPr>
  </w:style>
  <w:style w:type="paragraph" w:customStyle="1" w:styleId="enf2">
    <w:name w:val="節（en）"/>
    <w:basedOn w:val="jaf2"/>
    <w:rsid w:val="00B648E7"/>
    <w:rPr>
      <w:rFonts w:ascii="Century" w:eastAsia="Century" w:hAnsi="Century" w:cs="Century"/>
    </w:rPr>
  </w:style>
  <w:style w:type="paragraph" w:customStyle="1" w:styleId="jaf3">
    <w:name w:val="条（ja）"/>
    <w:basedOn w:val="a"/>
    <w:rsid w:val="00B648E7"/>
    <w:pPr>
      <w:widowControl w:val="0"/>
      <w:ind w:left="219" w:hanging="219"/>
    </w:pPr>
    <w:rPr>
      <w:rFonts w:ascii="ＭＳ 明朝" w:eastAsia="ＭＳ 明朝" w:hAnsi="ＭＳ 明朝" w:cs="ＭＳ 明朝"/>
    </w:rPr>
  </w:style>
  <w:style w:type="paragraph" w:customStyle="1" w:styleId="enf3">
    <w:name w:val="条（en）"/>
    <w:basedOn w:val="jaf3"/>
    <w:rsid w:val="00B648E7"/>
    <w:rPr>
      <w:rFonts w:ascii="Century" w:eastAsia="Century" w:hAnsi="Century" w:cs="Century"/>
    </w:rPr>
  </w:style>
  <w:style w:type="paragraph" w:customStyle="1" w:styleId="jaf4">
    <w:name w:val="項（ja）"/>
    <w:basedOn w:val="a"/>
    <w:rsid w:val="00B648E7"/>
    <w:pPr>
      <w:widowControl w:val="0"/>
      <w:ind w:left="219" w:hanging="219"/>
    </w:pPr>
    <w:rPr>
      <w:rFonts w:ascii="ＭＳ 明朝" w:eastAsia="ＭＳ 明朝" w:hAnsi="ＭＳ 明朝" w:cs="ＭＳ 明朝"/>
    </w:rPr>
  </w:style>
  <w:style w:type="paragraph" w:customStyle="1" w:styleId="enf4">
    <w:name w:val="項（en）"/>
    <w:basedOn w:val="jaf4"/>
    <w:rsid w:val="00B648E7"/>
    <w:rPr>
      <w:rFonts w:ascii="Century" w:eastAsia="Century" w:hAnsi="Century" w:cs="Century"/>
    </w:rPr>
  </w:style>
  <w:style w:type="paragraph" w:customStyle="1" w:styleId="jaf5">
    <w:name w:val="項　番号なし（ja）"/>
    <w:basedOn w:val="a"/>
    <w:rsid w:val="00B648E7"/>
    <w:pPr>
      <w:widowControl w:val="0"/>
      <w:ind w:firstLine="221"/>
    </w:pPr>
    <w:rPr>
      <w:rFonts w:ascii="ＭＳ 明朝" w:eastAsia="ＭＳ 明朝" w:hAnsi="ＭＳ 明朝" w:cs="ＭＳ 明朝"/>
    </w:rPr>
  </w:style>
  <w:style w:type="paragraph" w:customStyle="1" w:styleId="enf5">
    <w:name w:val="項　番号なし（en）"/>
    <w:basedOn w:val="jaf5"/>
    <w:rsid w:val="00B648E7"/>
    <w:rPr>
      <w:rFonts w:ascii="Century" w:eastAsia="Century" w:hAnsi="Century" w:cs="Century"/>
    </w:rPr>
  </w:style>
  <w:style w:type="paragraph" w:customStyle="1" w:styleId="jaf6">
    <w:name w:val="号（ja）"/>
    <w:basedOn w:val="a"/>
    <w:rsid w:val="00B648E7"/>
    <w:pPr>
      <w:widowControl w:val="0"/>
      <w:ind w:left="439" w:hanging="219"/>
    </w:pPr>
    <w:rPr>
      <w:rFonts w:ascii="ＭＳ 明朝" w:eastAsia="ＭＳ 明朝" w:hAnsi="ＭＳ 明朝" w:cs="ＭＳ 明朝"/>
    </w:rPr>
  </w:style>
  <w:style w:type="paragraph" w:customStyle="1" w:styleId="enf6">
    <w:name w:val="号（en）"/>
    <w:basedOn w:val="jaf6"/>
    <w:rsid w:val="00B648E7"/>
    <w:rPr>
      <w:rFonts w:ascii="Century" w:eastAsia="Century" w:hAnsi="Century" w:cs="Century"/>
    </w:rPr>
  </w:style>
  <w:style w:type="paragraph" w:customStyle="1" w:styleId="jaf7">
    <w:name w:val="号　番号なし（ja）"/>
    <w:basedOn w:val="a"/>
    <w:rsid w:val="00B648E7"/>
    <w:pPr>
      <w:widowControl w:val="0"/>
      <w:ind w:left="221" w:firstLine="221"/>
    </w:pPr>
    <w:rPr>
      <w:rFonts w:ascii="ＭＳ 明朝" w:eastAsia="ＭＳ 明朝" w:hAnsi="ＭＳ 明朝" w:cs="ＭＳ 明朝"/>
    </w:rPr>
  </w:style>
  <w:style w:type="paragraph" w:customStyle="1" w:styleId="enf7">
    <w:name w:val="号　番号なし（en）"/>
    <w:basedOn w:val="jaf7"/>
    <w:rsid w:val="00B648E7"/>
    <w:rPr>
      <w:rFonts w:ascii="Century" w:eastAsia="Century" w:hAnsi="Century" w:cs="Century"/>
    </w:rPr>
  </w:style>
  <w:style w:type="paragraph" w:customStyle="1" w:styleId="jaf8">
    <w:name w:val="備考号（ja）"/>
    <w:basedOn w:val="a"/>
    <w:rsid w:val="00B648E7"/>
    <w:pPr>
      <w:widowControl w:val="0"/>
      <w:ind w:left="659" w:hanging="219"/>
    </w:pPr>
    <w:rPr>
      <w:rFonts w:ascii="ＭＳ 明朝" w:eastAsia="ＭＳ 明朝" w:hAnsi="ＭＳ 明朝" w:cs="ＭＳ 明朝"/>
    </w:rPr>
  </w:style>
  <w:style w:type="paragraph" w:customStyle="1" w:styleId="enf8">
    <w:name w:val="備考号（en）"/>
    <w:basedOn w:val="jaf8"/>
    <w:rsid w:val="00B648E7"/>
    <w:rPr>
      <w:rFonts w:ascii="Century" w:eastAsia="Century" w:hAnsi="Century" w:cs="Century"/>
    </w:rPr>
  </w:style>
  <w:style w:type="paragraph" w:customStyle="1" w:styleId="jaf9">
    <w:name w:val="号細分（ja）"/>
    <w:basedOn w:val="a"/>
    <w:rsid w:val="00B648E7"/>
    <w:pPr>
      <w:widowControl w:val="0"/>
      <w:ind w:left="659" w:hanging="219"/>
    </w:pPr>
    <w:rPr>
      <w:rFonts w:ascii="ＭＳ 明朝" w:eastAsia="ＭＳ 明朝" w:hAnsi="ＭＳ 明朝" w:cs="ＭＳ 明朝"/>
    </w:rPr>
  </w:style>
  <w:style w:type="paragraph" w:customStyle="1" w:styleId="enf9">
    <w:name w:val="号細分（en）"/>
    <w:basedOn w:val="jaf9"/>
    <w:rsid w:val="00B648E7"/>
    <w:rPr>
      <w:rFonts w:ascii="Century" w:eastAsia="Century" w:hAnsi="Century" w:cs="Century"/>
    </w:rPr>
  </w:style>
  <w:style w:type="paragraph" w:customStyle="1" w:styleId="jafa">
    <w:name w:val="号細分　番号なし（ja）"/>
    <w:basedOn w:val="a"/>
    <w:rsid w:val="00B648E7"/>
    <w:pPr>
      <w:widowControl w:val="0"/>
      <w:ind w:left="439"/>
    </w:pPr>
    <w:rPr>
      <w:rFonts w:ascii="ＭＳ 明朝" w:eastAsia="ＭＳ 明朝" w:hAnsi="ＭＳ 明朝" w:cs="ＭＳ 明朝"/>
    </w:rPr>
  </w:style>
  <w:style w:type="paragraph" w:customStyle="1" w:styleId="enfa">
    <w:name w:val="号細分　番号なし（en）"/>
    <w:basedOn w:val="jafa"/>
    <w:rsid w:val="00B648E7"/>
    <w:rPr>
      <w:rFonts w:ascii="Century" w:eastAsia="Century" w:hAnsi="Century" w:cs="Century"/>
    </w:rPr>
  </w:style>
  <w:style w:type="paragraph" w:customStyle="1" w:styleId="jafb">
    <w:name w:val="備考号細分（ja）"/>
    <w:basedOn w:val="a"/>
    <w:rsid w:val="00B648E7"/>
    <w:pPr>
      <w:widowControl w:val="0"/>
      <w:ind w:left="1099" w:hanging="439"/>
    </w:pPr>
    <w:rPr>
      <w:rFonts w:ascii="ＭＳ 明朝" w:eastAsia="ＭＳ 明朝" w:hAnsi="ＭＳ 明朝" w:cs="ＭＳ 明朝"/>
    </w:rPr>
  </w:style>
  <w:style w:type="paragraph" w:customStyle="1" w:styleId="enfb">
    <w:name w:val="備考号細分（en）"/>
    <w:basedOn w:val="jafb"/>
    <w:rsid w:val="00B648E7"/>
    <w:rPr>
      <w:rFonts w:ascii="Century" w:eastAsia="Century" w:hAnsi="Century" w:cs="Century"/>
    </w:rPr>
  </w:style>
  <w:style w:type="paragraph" w:customStyle="1" w:styleId="jafc">
    <w:name w:val="号細細分（ja）"/>
    <w:basedOn w:val="a"/>
    <w:rsid w:val="00B648E7"/>
    <w:pPr>
      <w:widowControl w:val="0"/>
      <w:ind w:left="1099" w:hanging="439"/>
    </w:pPr>
    <w:rPr>
      <w:rFonts w:ascii="ＭＳ 明朝" w:eastAsia="ＭＳ 明朝" w:hAnsi="ＭＳ 明朝" w:cs="ＭＳ 明朝"/>
    </w:rPr>
  </w:style>
  <w:style w:type="paragraph" w:customStyle="1" w:styleId="enfc">
    <w:name w:val="号細細分（en）"/>
    <w:basedOn w:val="jafc"/>
    <w:rsid w:val="00B648E7"/>
    <w:rPr>
      <w:rFonts w:ascii="Century" w:eastAsia="Century" w:hAnsi="Century" w:cs="Century"/>
    </w:rPr>
  </w:style>
  <w:style w:type="paragraph" w:customStyle="1" w:styleId="jafd">
    <w:name w:val="号細細分　番号なし（ja）"/>
    <w:basedOn w:val="a"/>
    <w:rsid w:val="00B648E7"/>
    <w:pPr>
      <w:widowControl w:val="0"/>
      <w:ind w:left="659"/>
    </w:pPr>
    <w:rPr>
      <w:rFonts w:ascii="ＭＳ 明朝" w:eastAsia="ＭＳ 明朝" w:hAnsi="ＭＳ 明朝" w:cs="ＭＳ 明朝"/>
    </w:rPr>
  </w:style>
  <w:style w:type="paragraph" w:customStyle="1" w:styleId="enfd">
    <w:name w:val="号細細分　番号なし（en）"/>
    <w:basedOn w:val="jafd"/>
    <w:rsid w:val="00B648E7"/>
    <w:rPr>
      <w:rFonts w:ascii="Century" w:eastAsia="Century" w:hAnsi="Century" w:cs="Century"/>
    </w:rPr>
  </w:style>
  <w:style w:type="paragraph" w:customStyle="1" w:styleId="jafe">
    <w:name w:val="備考号細細分（ja）"/>
    <w:basedOn w:val="a"/>
    <w:rsid w:val="00B648E7"/>
    <w:pPr>
      <w:widowControl w:val="0"/>
      <w:ind w:left="1319" w:hanging="439"/>
    </w:pPr>
    <w:rPr>
      <w:rFonts w:ascii="ＭＳ 明朝" w:eastAsia="ＭＳ 明朝" w:hAnsi="ＭＳ 明朝" w:cs="ＭＳ 明朝"/>
    </w:rPr>
  </w:style>
  <w:style w:type="paragraph" w:customStyle="1" w:styleId="enfe">
    <w:name w:val="備考号細細分（en）"/>
    <w:basedOn w:val="jafe"/>
    <w:rsid w:val="00B648E7"/>
    <w:rPr>
      <w:rFonts w:ascii="Century" w:eastAsia="Century" w:hAnsi="Century" w:cs="Century"/>
    </w:rPr>
  </w:style>
  <w:style w:type="paragraph" w:customStyle="1" w:styleId="jaff">
    <w:name w:val="号細細細分（ja）"/>
    <w:basedOn w:val="a"/>
    <w:rsid w:val="00B648E7"/>
    <w:pPr>
      <w:widowControl w:val="0"/>
      <w:ind w:left="1319" w:hanging="439"/>
    </w:pPr>
    <w:rPr>
      <w:rFonts w:ascii="ＭＳ 明朝" w:eastAsia="ＭＳ 明朝" w:hAnsi="ＭＳ 明朝" w:cs="ＭＳ 明朝"/>
    </w:rPr>
  </w:style>
  <w:style w:type="paragraph" w:customStyle="1" w:styleId="enff">
    <w:name w:val="号細細細分（en）"/>
    <w:basedOn w:val="jaff"/>
    <w:rsid w:val="00B648E7"/>
    <w:rPr>
      <w:rFonts w:ascii="Century" w:eastAsia="Century" w:hAnsi="Century" w:cs="Century"/>
    </w:rPr>
  </w:style>
  <w:style w:type="paragraph" w:customStyle="1" w:styleId="jaff0">
    <w:name w:val="号細細細分　番号なし（ja）"/>
    <w:basedOn w:val="a"/>
    <w:rsid w:val="00B648E7"/>
    <w:pPr>
      <w:widowControl w:val="0"/>
      <w:ind w:left="879"/>
    </w:pPr>
    <w:rPr>
      <w:rFonts w:ascii="ＭＳ 明朝" w:eastAsia="ＭＳ 明朝" w:hAnsi="ＭＳ 明朝" w:cs="ＭＳ 明朝"/>
    </w:rPr>
  </w:style>
  <w:style w:type="paragraph" w:customStyle="1" w:styleId="enff0">
    <w:name w:val="号細細細分　番号なし（en）"/>
    <w:basedOn w:val="jaff0"/>
    <w:rsid w:val="00B648E7"/>
    <w:rPr>
      <w:rFonts w:ascii="Century" w:eastAsia="Century" w:hAnsi="Century" w:cs="Century"/>
    </w:rPr>
  </w:style>
  <w:style w:type="paragraph" w:customStyle="1" w:styleId="jaff1">
    <w:name w:val="備考号細細細分（ja）"/>
    <w:basedOn w:val="a"/>
    <w:rsid w:val="00B648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48E7"/>
    <w:rPr>
      <w:rFonts w:ascii="Century" w:eastAsia="Century" w:hAnsi="Century" w:cs="Century"/>
    </w:rPr>
  </w:style>
  <w:style w:type="paragraph" w:customStyle="1" w:styleId="jaff2">
    <w:name w:val="類（ja）"/>
    <w:basedOn w:val="a"/>
    <w:rsid w:val="00B648E7"/>
    <w:pPr>
      <w:widowControl w:val="0"/>
      <w:ind w:left="439" w:hanging="219"/>
    </w:pPr>
    <w:rPr>
      <w:rFonts w:ascii="ＭＳ 明朝" w:eastAsia="ＭＳ 明朝" w:hAnsi="ＭＳ 明朝" w:cs="ＭＳ 明朝"/>
    </w:rPr>
  </w:style>
  <w:style w:type="paragraph" w:customStyle="1" w:styleId="enff2">
    <w:name w:val="類（en）"/>
    <w:basedOn w:val="jaff2"/>
    <w:rsid w:val="00B648E7"/>
    <w:rPr>
      <w:rFonts w:ascii="Century" w:eastAsia="Century" w:hAnsi="Century" w:cs="Century"/>
    </w:rPr>
  </w:style>
  <w:style w:type="paragraph" w:customStyle="1" w:styleId="jaff3">
    <w:name w:val="公布文（ja）"/>
    <w:basedOn w:val="a"/>
    <w:rsid w:val="00B648E7"/>
    <w:pPr>
      <w:widowControl w:val="0"/>
      <w:ind w:firstLine="219"/>
    </w:pPr>
    <w:rPr>
      <w:rFonts w:ascii="ＭＳ 明朝" w:eastAsia="ＭＳ 明朝" w:hAnsi="ＭＳ 明朝" w:cs="ＭＳ 明朝"/>
    </w:rPr>
  </w:style>
  <w:style w:type="paragraph" w:customStyle="1" w:styleId="enff3">
    <w:name w:val="公布文（en）"/>
    <w:basedOn w:val="jaff3"/>
    <w:rsid w:val="00B648E7"/>
    <w:rPr>
      <w:rFonts w:ascii="Century" w:eastAsia="Century" w:hAnsi="Century" w:cs="Century"/>
    </w:rPr>
  </w:style>
  <w:style w:type="paragraph" w:customStyle="1" w:styleId="jaen">
    <w:name w:val="表（ja：en）"/>
    <w:basedOn w:val="a"/>
    <w:rsid w:val="00B648E7"/>
    <w:pPr>
      <w:widowControl w:val="0"/>
      <w:snapToGrid w:val="0"/>
    </w:pPr>
    <w:rPr>
      <w:rFonts w:ascii="Century" w:eastAsia="ＭＳ 明朝" w:hAnsi="Century"/>
    </w:rPr>
  </w:style>
  <w:style w:type="paragraph" w:customStyle="1" w:styleId="jaff4">
    <w:name w:val="備考（ja）"/>
    <w:basedOn w:val="a"/>
    <w:rsid w:val="00B648E7"/>
    <w:pPr>
      <w:widowControl w:val="0"/>
      <w:ind w:left="439" w:hanging="219"/>
    </w:pPr>
    <w:rPr>
      <w:rFonts w:ascii="ＭＳ 明朝" w:eastAsia="ＭＳ 明朝" w:hAnsi="ＭＳ 明朝" w:cs="ＭＳ 明朝"/>
    </w:rPr>
  </w:style>
  <w:style w:type="paragraph" w:customStyle="1" w:styleId="enff4">
    <w:name w:val="備考（en）"/>
    <w:basedOn w:val="jaff4"/>
    <w:rsid w:val="00B648E7"/>
    <w:rPr>
      <w:rFonts w:ascii="Century" w:eastAsia="Century" w:hAnsi="Century" w:cs="Century"/>
    </w:rPr>
  </w:style>
  <w:style w:type="paragraph" w:customStyle="1" w:styleId="jaff5">
    <w:name w:val="表タイトル（ja）"/>
    <w:basedOn w:val="a"/>
    <w:rsid w:val="00B648E7"/>
    <w:pPr>
      <w:widowControl w:val="0"/>
      <w:ind w:left="219"/>
    </w:pPr>
    <w:rPr>
      <w:rFonts w:ascii="ＭＳ 明朝" w:eastAsia="ＭＳ 明朝" w:hAnsi="ＭＳ 明朝" w:cs="ＭＳ 明朝"/>
    </w:rPr>
  </w:style>
  <w:style w:type="paragraph" w:customStyle="1" w:styleId="enff5">
    <w:name w:val="表タイトル（en）"/>
    <w:basedOn w:val="jaff5"/>
    <w:rsid w:val="00B648E7"/>
    <w:rPr>
      <w:rFonts w:ascii="Century" w:eastAsia="Century" w:hAnsi="Century" w:cs="Century"/>
    </w:rPr>
  </w:style>
  <w:style w:type="paragraph" w:customStyle="1" w:styleId="jaff6">
    <w:name w:val="改正規定文（ja）"/>
    <w:basedOn w:val="a"/>
    <w:rsid w:val="00B648E7"/>
    <w:pPr>
      <w:widowControl w:val="0"/>
      <w:ind w:left="219" w:firstLine="219"/>
    </w:pPr>
    <w:rPr>
      <w:rFonts w:ascii="ＭＳ 明朝" w:eastAsia="ＭＳ 明朝" w:hAnsi="ＭＳ 明朝" w:cs="ＭＳ 明朝"/>
    </w:rPr>
  </w:style>
  <w:style w:type="paragraph" w:customStyle="1" w:styleId="enff6">
    <w:name w:val="改正規定文（en）"/>
    <w:basedOn w:val="jaff6"/>
    <w:rsid w:val="00B648E7"/>
    <w:rPr>
      <w:rFonts w:ascii="Century" w:eastAsia="Century" w:hAnsi="Century" w:cs="Century"/>
    </w:rPr>
  </w:style>
  <w:style w:type="paragraph" w:customStyle="1" w:styleId="jaff7">
    <w:name w:val="付記（ja）"/>
    <w:basedOn w:val="a"/>
    <w:rsid w:val="00B648E7"/>
    <w:pPr>
      <w:widowControl w:val="0"/>
      <w:ind w:left="219" w:firstLine="219"/>
    </w:pPr>
    <w:rPr>
      <w:rFonts w:ascii="ＭＳ 明朝" w:eastAsia="ＭＳ 明朝" w:hAnsi="ＭＳ 明朝" w:cs="ＭＳ 明朝"/>
    </w:rPr>
  </w:style>
  <w:style w:type="paragraph" w:customStyle="1" w:styleId="enff7">
    <w:name w:val="付記（en）"/>
    <w:basedOn w:val="jaff7"/>
    <w:rsid w:val="00B648E7"/>
    <w:rPr>
      <w:rFonts w:ascii="Century" w:eastAsia="Century" w:hAnsi="Century" w:cs="Century"/>
    </w:rPr>
  </w:style>
  <w:style w:type="paragraph" w:customStyle="1" w:styleId="jaff8">
    <w:name w:val="様式名（ja）"/>
    <w:basedOn w:val="a"/>
    <w:rsid w:val="00B648E7"/>
    <w:pPr>
      <w:widowControl w:val="0"/>
      <w:ind w:left="439" w:hanging="219"/>
    </w:pPr>
    <w:rPr>
      <w:rFonts w:ascii="ＭＳ 明朝" w:eastAsia="ＭＳ 明朝" w:hAnsi="ＭＳ 明朝" w:cs="ＭＳ 明朝"/>
    </w:rPr>
  </w:style>
  <w:style w:type="paragraph" w:customStyle="1" w:styleId="enff8">
    <w:name w:val="様式名（en）"/>
    <w:basedOn w:val="jaff8"/>
    <w:rsid w:val="00B648E7"/>
    <w:rPr>
      <w:rFonts w:ascii="Century" w:eastAsia="Century" w:hAnsi="Century" w:cs="Century"/>
    </w:rPr>
  </w:style>
  <w:style w:type="paragraph" w:customStyle="1" w:styleId="jaff9">
    <w:name w:val="様式項目（ja）"/>
    <w:basedOn w:val="a"/>
    <w:rsid w:val="00B648E7"/>
    <w:pPr>
      <w:widowControl w:val="0"/>
      <w:ind w:left="221" w:firstLine="221"/>
    </w:pPr>
    <w:rPr>
      <w:rFonts w:ascii="ＭＳ 明朝" w:eastAsia="ＭＳ 明朝" w:hAnsi="ＭＳ 明朝" w:cs="ＭＳ 明朝"/>
    </w:rPr>
  </w:style>
  <w:style w:type="paragraph" w:customStyle="1" w:styleId="enff9">
    <w:name w:val="様式項目（en）"/>
    <w:basedOn w:val="jaff9"/>
    <w:rsid w:val="00B648E7"/>
    <w:rPr>
      <w:rFonts w:ascii="Century" w:eastAsia="Century" w:hAnsi="Century" w:cs="Century"/>
    </w:rPr>
  </w:style>
  <w:style w:type="table" w:customStyle="1" w:styleId="1">
    <w:name w:val="表1"/>
    <w:rsid w:val="00B648E7"/>
    <w:tblPr>
      <w:tblInd w:w="340" w:type="dxa"/>
      <w:tblCellMar>
        <w:top w:w="0" w:type="dxa"/>
        <w:left w:w="0" w:type="dxa"/>
        <w:bottom w:w="0" w:type="dxa"/>
        <w:right w:w="0" w:type="dxa"/>
      </w:tblCellMar>
    </w:tblPr>
  </w:style>
  <w:style w:type="numbering" w:customStyle="1" w:styleId="WW8Num1">
    <w:name w:val="WW8Num1"/>
    <w:rsid w:val="00B648E7"/>
    <w:pPr>
      <w:numPr>
        <w:numId w:val="2"/>
      </w:numPr>
    </w:pPr>
  </w:style>
  <w:style w:type="numbering" w:customStyle="1" w:styleId="WW8Num2">
    <w:name w:val="WW8Num2"/>
    <w:rsid w:val="00B648E7"/>
    <w:pPr>
      <w:numPr>
        <w:numId w:val="3"/>
      </w:numPr>
    </w:pPr>
  </w:style>
  <w:style w:type="numbering" w:customStyle="1" w:styleId="WW8Num3">
    <w:name w:val="WW8Num3"/>
    <w:rsid w:val="00B648E7"/>
    <w:pPr>
      <w:numPr>
        <w:numId w:val="4"/>
      </w:numPr>
    </w:pPr>
  </w:style>
  <w:style w:type="numbering" w:customStyle="1" w:styleId="WW8Num4">
    <w:name w:val="WW8Num4"/>
    <w:rsid w:val="00B648E7"/>
    <w:pPr>
      <w:numPr>
        <w:numId w:val="5"/>
      </w:numPr>
    </w:pPr>
  </w:style>
  <w:style w:type="numbering" w:customStyle="1" w:styleId="WW8Num5">
    <w:name w:val="WW8Num5"/>
    <w:rsid w:val="00B648E7"/>
    <w:pPr>
      <w:numPr>
        <w:numId w:val="6"/>
      </w:numPr>
    </w:pPr>
  </w:style>
  <w:style w:type="numbering" w:customStyle="1" w:styleId="WW8Num6">
    <w:name w:val="WW8Num6"/>
    <w:rsid w:val="00B648E7"/>
    <w:pPr>
      <w:numPr>
        <w:numId w:val="7"/>
      </w:numPr>
    </w:pPr>
  </w:style>
  <w:style w:type="numbering" w:customStyle="1" w:styleId="WW8Num7">
    <w:name w:val="WW8Num7"/>
    <w:rsid w:val="00B648E7"/>
    <w:pPr>
      <w:numPr>
        <w:numId w:val="8"/>
      </w:numPr>
    </w:pPr>
  </w:style>
  <w:style w:type="numbering" w:customStyle="1" w:styleId="WW8Num8">
    <w:name w:val="WW8Num8"/>
    <w:rsid w:val="00B648E7"/>
    <w:pPr>
      <w:numPr>
        <w:numId w:val="9"/>
      </w:numPr>
    </w:pPr>
  </w:style>
  <w:style w:type="numbering" w:customStyle="1" w:styleId="WW8Num9">
    <w:name w:val="WW8Num9"/>
    <w:rsid w:val="00B648E7"/>
    <w:pPr>
      <w:numPr>
        <w:numId w:val="10"/>
      </w:numPr>
    </w:pPr>
  </w:style>
  <w:style w:type="numbering" w:customStyle="1" w:styleId="WW8Num10">
    <w:name w:val="WW8Num10"/>
    <w:rsid w:val="00B648E7"/>
    <w:pPr>
      <w:numPr>
        <w:numId w:val="11"/>
      </w:numPr>
    </w:pPr>
  </w:style>
  <w:style w:type="numbering" w:customStyle="1" w:styleId="WW8Num11">
    <w:name w:val="WW8Num11"/>
    <w:rsid w:val="00B648E7"/>
    <w:pPr>
      <w:numPr>
        <w:numId w:val="12"/>
      </w:numPr>
    </w:pPr>
  </w:style>
  <w:style w:type="numbering" w:customStyle="1" w:styleId="WW8Num12">
    <w:name w:val="WW8Num12"/>
    <w:rsid w:val="00B648E7"/>
    <w:pPr>
      <w:numPr>
        <w:numId w:val="13"/>
      </w:numPr>
    </w:pPr>
  </w:style>
  <w:style w:type="paragraph" w:styleId="a4">
    <w:name w:val="header"/>
    <w:basedOn w:val="a"/>
    <w:link w:val="a5"/>
    <w:uiPriority w:val="99"/>
    <w:unhideWhenUsed/>
    <w:rsid w:val="00023C90"/>
    <w:pPr>
      <w:tabs>
        <w:tab w:val="center" w:pos="4252"/>
        <w:tab w:val="right" w:pos="8504"/>
      </w:tabs>
      <w:snapToGrid w:val="0"/>
    </w:pPr>
  </w:style>
  <w:style w:type="character" w:customStyle="1" w:styleId="a5">
    <w:name w:val="ヘッダー (文字)"/>
    <w:basedOn w:val="a0"/>
    <w:link w:val="a4"/>
    <w:uiPriority w:val="99"/>
    <w:rsid w:val="00023C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