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687" w:rsidRDefault="009F7A97">
      <w:pPr>
        <w:pStyle w:val="en"/>
      </w:pPr>
      <w:r>
        <w:t>Order Providing for Categories Prescribed in Article 132, Paragraph (2) of the Insurance Business Act</w:t>
      </w:r>
    </w:p>
    <w:p w:rsidR="00592687" w:rsidRDefault="00592687"/>
    <w:p w:rsidR="00592687" w:rsidRDefault="009F7A97">
      <w:pPr>
        <w:pStyle w:val="enf"/>
      </w:pPr>
      <w:r>
        <w:t>(Prime Minister's Office Order/Ministry of Finance Order No. 45 of June 29, 2000)</w:t>
      </w:r>
    </w:p>
    <w:p w:rsidR="00592687" w:rsidRDefault="00592687"/>
    <w:p w:rsidR="00592687" w:rsidRDefault="009F7A97">
      <w:pPr>
        <w:pStyle w:val="ene"/>
      </w:pPr>
      <w:r>
        <w:t xml:space="preserve">Along with the Act for Enforcement of Laws Related to Central </w:t>
      </w:r>
      <w:r>
        <w:t>Government Reform (Act No. 160 of 1999) partially coming into effect, and pursuant to the provisions of Article 127, item (vii), Article 132, paragraph (2), Article 204, paragraph (2), Article 230, paragraph (2), and Article 311-3, paragraph (2) of the Ins</w:t>
      </w:r>
      <w:r>
        <w:t>urance Business Act (Act No. 105 of 1995), an Order Providing for Categories Prescribed in Article 132, Paragraph (2) of the Insurance Business Act is hereby established as follows.</w:t>
      </w:r>
    </w:p>
    <w:p w:rsidR="00592687" w:rsidRDefault="00592687"/>
    <w:p w:rsidR="00592687" w:rsidRDefault="009F7A97">
      <w:pPr>
        <w:pStyle w:val="ena"/>
      </w:pPr>
      <w:r>
        <w:t>(Particulars Requiring Notice)</w:t>
      </w:r>
    </w:p>
    <w:p w:rsidR="00592687" w:rsidRDefault="009F7A97">
      <w:pPr>
        <w:pStyle w:val="enf3"/>
      </w:pPr>
      <w:r>
        <w:t xml:space="preserve">Article 1  The cases specified by Cabinet </w:t>
      </w:r>
      <w:r>
        <w:t>Office Order/Ministry of Finance Order as prescribed in Article 127, paragraph (1), item (viii) of the Insurance Business Act (hereinafter referred to as the "Act") are the following cases:</w:t>
      </w:r>
    </w:p>
    <w:p w:rsidR="00592687" w:rsidRDefault="009F7A97">
      <w:pPr>
        <w:pStyle w:val="enf6"/>
      </w:pPr>
      <w:r>
        <w:t>(i) if an order of commencement of bankruptcy proceedings is rende</w:t>
      </w:r>
      <w:r>
        <w:t>red, an appeal is filed against an order of commencement of bankruptcy proceedings, or a ruling against an appeal is rendered by a court;</w:t>
      </w:r>
    </w:p>
    <w:p w:rsidR="00592687" w:rsidRDefault="009F7A97">
      <w:pPr>
        <w:pStyle w:val="enf6"/>
      </w:pPr>
      <w:r>
        <w:t>(ii) if a petition for commencement of rehabilitation proceedings is filed, an order of confirmation of a rehabilitati</w:t>
      </w:r>
      <w:r>
        <w:t>on plan becomes final and binding, or a rehabilitation plan becomes invalid; or</w:t>
      </w:r>
    </w:p>
    <w:p w:rsidR="00592687" w:rsidRDefault="009F7A97">
      <w:pPr>
        <w:pStyle w:val="enf6"/>
      </w:pPr>
      <w:r>
        <w:t>(iii) if a petition for reorganization proceedings is filed, an order of confirmation of a reorganization plan becomes final and binding, or a reorganization plan becomes inval</w:t>
      </w:r>
      <w:r>
        <w:t>id.</w:t>
      </w:r>
    </w:p>
    <w:p w:rsidR="00592687" w:rsidRDefault="00592687"/>
    <w:p w:rsidR="00592687" w:rsidRDefault="009F7A97">
      <w:pPr>
        <w:pStyle w:val="ena"/>
      </w:pPr>
      <w:r>
        <w:t>(Order According to Category Corresponding to an Insurance Company's Level of Solvency in Terms of its Ability to Pay for Insurance Proceeds)</w:t>
      </w:r>
    </w:p>
    <w:p w:rsidR="00592687" w:rsidRDefault="009F7A97">
      <w:pPr>
        <w:pStyle w:val="enf3"/>
      </w:pPr>
      <w:r>
        <w:t>Article 2  (1) The order specified by Cabinet Office Order/Ministry of Finance Order for the category corresp</w:t>
      </w:r>
      <w:r>
        <w:t>onding to the level of solvency of an insurance company (meaning the insurance company prescribed in Article 2, paragraph (2) of the Act; the same applies hereinafter) in terms of its ability to pay insurance proceeds, etc. as referred to in Article 132, p</w:t>
      </w:r>
      <w:r>
        <w:t>aragraph (2) of the Act is as set forth in the following table, except for the cases specified in the following Article.</w:t>
      </w:r>
    </w:p>
    <w:p w:rsidR="00592687" w:rsidRDefault="005926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687">
        <w:tblPrEx>
          <w:tblCellMar>
            <w:top w:w="0" w:type="dxa"/>
            <w:left w:w="0" w:type="dxa"/>
            <w:bottom w:w="0" w:type="dxa"/>
            <w:right w:w="0" w:type="dxa"/>
          </w:tblCellMar>
        </w:tblPrEx>
        <w:trPr>
          <w:cantSplit/>
        </w:trPr>
        <w:tc>
          <w:tcPr>
            <w:tcW w:w="5794" w:type="dxa"/>
            <w:gridSpan w:val="2"/>
            <w:tcBorders>
              <w:bottom w:val="single" w:sz="4" w:space="0" w:color="auto"/>
              <w:right w:val="single" w:sz="4" w:space="0" w:color="auto"/>
            </w:tcBorders>
            <w:tcMar>
              <w:top w:w="0" w:type="dxa"/>
              <w:left w:w="108" w:type="dxa"/>
              <w:bottom w:w="0" w:type="dxa"/>
              <w:right w:w="108" w:type="dxa"/>
            </w:tcMar>
          </w:tcPr>
          <w:p w:rsidR="00592687" w:rsidRDefault="009F7A97">
            <w:pPr>
              <w:pStyle w:val="jaen"/>
            </w:pPr>
            <w:r>
              <w:t>Category corresponding to the level of 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Order</w:t>
            </w: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lastRenderedPageBreak/>
              <w:t>Exception from category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200% or more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 request to submit an improvement plan d</w:t>
            </w:r>
            <w:r>
              <w:t>eemed reasonable to secure sound management, and an order for its implementation</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100% or more and less than 200%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An order pertaining to any of the f</w:t>
            </w:r>
            <w:r>
              <w:t>ollowing measures which contribute to the level of solvency interm of the ability to pay insurance proceeds, etc.</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0% or more and less than 100%</w:t>
            </w: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(i) submission of a plan deemed reasonable for the of solvency insurance proceeds, etc. and its </w:t>
            </w:r>
            <w:r>
              <w:t>implementation</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(ii) prohibition from distributing dividends or reduction of the amount thereof</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(iii) prohibition from distributing policy dividends or dividends of surplus to members, or reduction of the amount thereof</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(iv) change of the method fo</w:t>
            </w:r>
            <w:r>
              <w:t>r calculation of insurance premiums (when the method requires a coefficient as the basis of the calculation, the coefficient is included) for a new insurance contract to be concluded</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(v) prohibition from providing bonuses to directors or </w:t>
            </w:r>
            <w:r>
              <w:t>reduction of the amount thereof or of other operating expenses</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(vi) prohibition from investment of assets by some methods or reduction of the amount thereof</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(vii) reduction of operations at some business offices or offices</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(viii) closure of some b</w:t>
            </w:r>
            <w:r>
              <w:t>usiness offices or offices, excluding the head office or principal office</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(ix) reduction of operations of the subsidiary company, etc.</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(x) disposal of shares or equity interests in the subsidiary company, etc.</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(xi) reduction of the </w:t>
            </w:r>
            <w:r>
              <w:t xml:space="preserve">operations set forth in the items of Article 98, paragraph (1) of the Act and other operations incidental to operations carried out pursuant to the provisions of Article 97 of the Act, operations carried out pursuant to the provisions of Article 99 of the </w:t>
            </w:r>
            <w:r>
              <w:t>Act, or operations carried out pursuant to other laws, or prohibition from handling new business</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(xii) other measures deemed necessary by the Commissioner of the Financial Services Agency</w:t>
            </w: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Ratio indicating the level of solvency interm of the </w:t>
            </w:r>
            <w:r>
              <w:t>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An order to suspend all or part of the operations for a limited term</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Less than 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bl>
    <w:p w:rsidR="00592687" w:rsidRDefault="00592687"/>
    <w:p w:rsidR="00592687" w:rsidRDefault="009F7A97">
      <w:pPr>
        <w:pStyle w:val="enf4"/>
      </w:pPr>
      <w:r>
        <w:t xml:space="preserve">(2) The phrase "ratio indicating the level of solvency in terms of the ability to pay insurance proceeds, etc." as used in the </w:t>
      </w:r>
      <w:r>
        <w:t>table under the preceding paragraph means the ratio derived from the formula pertaining to the criteria regarding the appropriateness of the level of solvency in terms of the ability to pay insurance proceeds, etc. established using the amounts set forth i</w:t>
      </w:r>
      <w:r>
        <w:t>n the items of Article 130 of the Act that pertain to an insurance company or to an insurance company and its subsidiary company, etc. as referred to in that Article.</w:t>
      </w:r>
    </w:p>
    <w:p w:rsidR="00592687" w:rsidRDefault="009F7A97">
      <w:pPr>
        <w:pStyle w:val="enf4"/>
      </w:pPr>
      <w:r>
        <w:t xml:space="preserve">(3) The term "policy dividend" as used in the table under paragraph (1) means the policy </w:t>
      </w:r>
      <w:r>
        <w:t>dividend prescribed in Article 114, paragraph (1) of the Act.</w:t>
      </w:r>
    </w:p>
    <w:p w:rsidR="00592687" w:rsidRDefault="009F7A97">
      <w:pPr>
        <w:pStyle w:val="enf4"/>
      </w:pPr>
      <w:r>
        <w:t>(4) The term "subsidiary company, etc." as used in the table under paragraph (1) means the subsidiary company, etc. prescribed in Article 110, paragraph (2) of the Act.</w:t>
      </w:r>
    </w:p>
    <w:p w:rsidR="00592687" w:rsidRDefault="00592687"/>
    <w:p w:rsidR="00592687" w:rsidRDefault="009F7A97">
      <w:pPr>
        <w:pStyle w:val="enf3"/>
      </w:pPr>
      <w:r>
        <w:t>Article 3  (1) If an ins</w:t>
      </w:r>
      <w:r>
        <w:t>urance company learns that the ratio indicating the level of its solvency in terms of its ability to pay insurance proceeds, etc. (meaning the ratio indicating the level of solvency in terms of the ability to pay insurance proceeds, etc. prescribed in para</w:t>
      </w:r>
      <w:r>
        <w:t>graph (2) of the preceding Article; hereinafter the same applies in this Article) falls below the range of the ratio indicating the level of solvency in terms of the ability to pay insurance proceeds, etc. that corresponds to the category referred to in th</w:t>
      </w:r>
      <w:r>
        <w:t xml:space="preserve">e table under paragraph (1) of the preceding Article to which the insurance company used to belong, and promptly after that, submits to the Commissioner of the Financial Services Agency a plan deemed reasonable to improve the ratio indicating the level of </w:t>
      </w:r>
      <w:r>
        <w:t>its solvency in terms of its ability to pay insurance proceeds, etc. with certainty to exceed the range of the ratio indicating the level of solvency in terms of the ability to pay insurance proceeds, etc. that corresponds to the category to which the insu</w:t>
      </w:r>
      <w:r>
        <w:t>rance company belongs, with regard to the insurance company, the order according to the relevant category is to be an order set forth for the category (except for exception from the category) in that table corresponding to the ratio indicating the level of</w:t>
      </w:r>
      <w:r>
        <w:t xml:space="preserve"> solvency in terms of the ability to pay insurance proceeds, etc. which is not less than the ratio indicating the level of solvency in terms of the insurance company's ability to pay insurance proceeds, etc. and not more than the ratio indicating the level</w:t>
      </w:r>
      <w:r>
        <w:t xml:space="preserve"> of its solvency in terms of its ability to pay insurance proceeds, etc. to be expected after the implementation of the plan; provided, however, that if it becomes clear that the plan is not reasonable, with regard to the insurance company, an order accord</w:t>
      </w:r>
      <w:r>
        <w:t>ing to the category in the table to which the insurance company belongs is to be as prescribed in that paragraph.</w:t>
      </w:r>
    </w:p>
    <w:p w:rsidR="00592687" w:rsidRDefault="009F7A97">
      <w:pPr>
        <w:pStyle w:val="enf4"/>
      </w:pPr>
      <w:r>
        <w:t>(2) If the total of the amounts to be recorded in the assets section (with regard to assets set forth in the following items, the value specif</w:t>
      </w:r>
      <w:r>
        <w:t>ied in the respective items; the same applies in the following paragraph) of a balance sheet (the amount equivalent to the amount of deferred tax assets (meaning the amount recorded as assets as a result of applying tax effect accounting; hereafter the sam</w:t>
      </w:r>
      <w:r>
        <w:t>e applies in this paragraph) regarding any difference between the amount recorded in the balance sheet and the book value regarding assets that fall within the scope of other securities (meaning other securities as prescribed in Article 8, paragraph (22) o</w:t>
      </w:r>
      <w:r>
        <w:t xml:space="preserve">f the Regulation on the Terminology, Forms, and Preparation Methods of Financial Statements (Ministry of Finance Order No. 59 of 1963; hereinafter referred to as the "Regulation on Financial Statements"); hereinafter the same applies in this paragraph) is </w:t>
      </w:r>
      <w:r>
        <w:t xml:space="preserve">deducted; the same applies in the following paragraph) or the total of the amounts to be recorded in the assets section (with regard to assets set forth in the following items, the value specified in the respective items; the same applies in the following </w:t>
      </w:r>
      <w:r>
        <w:t>paragraph) of a consolidated balance sheet (the amount equivalent to the amount of deferred tax assets regarding any difference between the amount recorded in the consolidated balance sheet and the book value of assets that fall within the scope of other s</w:t>
      </w:r>
      <w:r>
        <w:t>ecurities as well as the amount equivalent to the amount of differed tax assets regarding the total of the amount of any unrecognized actuarial gain/loss (meaning the unrecognized actuarial gain/loss prescribed in Article 8, paragraph (62) of the Regulatio</w:t>
      </w:r>
      <w:r>
        <w:t>n on Financial Statements) and the amount of unrecognized past service cost (meaning the unrecognized past service cost prescribed in Article 8, paragraph (63) of the Regulation on Financial Statements) are deducted; the same applies in the following parag</w:t>
      </w:r>
      <w:r>
        <w:t>raph and Article 7, paragraphs (2) and (3)) of an insurance company that belongs to Category 3 in the table under paragraph (1) of the preceding Article exceeds or is expected to exceed the amount calculated as prescribed by the Commissioner of the Financi</w:t>
      </w:r>
      <w:r>
        <w:t xml:space="preserve">al Services Agency and the Minister of Finance on the basis of the total of the amounts to be recorded in the liabilities section of the balance sheet or consolidated balance sheet, with regard to the insurance company, the order according to the relevant </w:t>
      </w:r>
      <w:r>
        <w:t>category is to include an order set forth for Category 2 in that table:</w:t>
      </w:r>
    </w:p>
    <w:p w:rsidR="00592687" w:rsidRDefault="009F7A97">
      <w:pPr>
        <w:pStyle w:val="enf6"/>
      </w:pPr>
      <w:r>
        <w:t>(i) securities: the value calculated based on the closing price which is published on the day on which the ratio indicating the insurance company's level of solvency in terms of its ab</w:t>
      </w:r>
      <w:r>
        <w:t>ility to pay insurance proceeds, etc. is to be calculated (hereinafter referred to as the "calculation day" in this paragraph) or the value calculated by a reasonable method equivalent thereto;</w:t>
      </w:r>
    </w:p>
    <w:p w:rsidR="00592687" w:rsidRDefault="009F7A97">
      <w:pPr>
        <w:pStyle w:val="enf6"/>
      </w:pPr>
      <w:r>
        <w:t xml:space="preserve">(ii) tangible fixed assets: the value calculated based on the </w:t>
      </w:r>
      <w:r>
        <w:t>fairly appraised value on the calculation day; and</w:t>
      </w:r>
    </w:p>
    <w:p w:rsidR="00592687" w:rsidRDefault="009F7A97">
      <w:pPr>
        <w:pStyle w:val="enf6"/>
      </w:pPr>
      <w:r>
        <w:t>(iii) assets other than the assets set forth in the preceding two items with the book value being significantly different from the value appraised on the calculation day: the appraised value.</w:t>
      </w:r>
    </w:p>
    <w:p w:rsidR="00592687" w:rsidRDefault="009F7A97">
      <w:pPr>
        <w:pStyle w:val="enf4"/>
      </w:pPr>
      <w:r>
        <w:t>(3) If the to</w:t>
      </w:r>
      <w:r>
        <w:t>tal of the amounts to be recorded in the assets section of a balance sheet or the total of the amounts to be recorded in the assets section of a consolidated balance sheet of an insurance company that belongs to any category other than Category 3 in the ta</w:t>
      </w:r>
      <w:r>
        <w:t>ble under paragraph (1) of the preceding Article falls below or is expected to fall below the amount calculated as prescribed by the Commissioner of the Financial Services Agency and the Minister of Finance on the basis of the total of the amounts to be re</w:t>
      </w:r>
      <w:r>
        <w:t>corded in the liabilities section of the balance sheet or consolidated balance sheet, with regard to the insurance company, the order according to the relevant category is to include an order set forth for Category 3 in that table.</w:t>
      </w:r>
    </w:p>
    <w:p w:rsidR="00592687" w:rsidRDefault="009F7A97">
      <w:pPr>
        <w:pStyle w:val="enf4"/>
      </w:pPr>
      <w:r>
        <w:t>(4) If an insurance comp</w:t>
      </w:r>
      <w:r>
        <w:t>any holds a reinsurance contract prescribed in Article 3, paragraph (1) (Reinsurance by the Government) of the Act on Earthquake Insurance (Act No. 73 of 1966) that has been concluded with the government, with regard to the insurance company, the order acc</w:t>
      </w:r>
      <w:r>
        <w:t>ording to the category in the table under paragraph (1) of the preceding Article to which the insurance company belongs is to include an order set forth for exception from the category in that table.</w:t>
      </w:r>
    </w:p>
    <w:p w:rsidR="00592687" w:rsidRDefault="00592687"/>
    <w:p w:rsidR="00592687" w:rsidRDefault="009F7A97">
      <w:pPr>
        <w:pStyle w:val="ena"/>
      </w:pPr>
      <w:r>
        <w:t>(Order According to Category Corresponding to a Foreign</w:t>
      </w:r>
      <w:r>
        <w:t xml:space="preserve"> Insurance Company's Level of Solvency in Terms of its Ability to Pay Insurance Proceeds)</w:t>
      </w:r>
    </w:p>
    <w:p w:rsidR="00592687" w:rsidRDefault="009F7A97">
      <w:pPr>
        <w:pStyle w:val="enf3"/>
      </w:pPr>
      <w:r>
        <w:t xml:space="preserve">Article 4  (1) The order specified by Cabinet Office Order/Ministry of Finance Order for the category corresponding to the level of solvency of a foreign </w:t>
      </w:r>
      <w:r>
        <w:t>insurance company, etc. (meaning the foreign insurance company, etc. prescribed in Article 2, paragraph (7) of the Act; hereinafter the same applies in this Article) in terms of its ability to pay insurance proceeds, etc. as referred to in Article 204, par</w:t>
      </w:r>
      <w:r>
        <w:t>agraph (2) of the Act is as set forth in the following table, except for the cases specified in paragraphs (1) to (3) of the preceding Article as applied mutatis mutandis pursuant to paragraph (5).</w:t>
      </w:r>
    </w:p>
    <w:p w:rsidR="00592687" w:rsidRDefault="005926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31"/>
        <w:gridCol w:w="2453"/>
        <w:gridCol w:w="3514"/>
      </w:tblGrid>
      <w:tr w:rsidR="00592687">
        <w:tblPrEx>
          <w:tblCellMar>
            <w:top w:w="0" w:type="dxa"/>
            <w:left w:w="0" w:type="dxa"/>
            <w:bottom w:w="0" w:type="dxa"/>
            <w:right w:w="0" w:type="dxa"/>
          </w:tblCellMar>
        </w:tblPrEx>
        <w:trPr>
          <w:cantSplit/>
        </w:trPr>
        <w:tc>
          <w:tcPr>
            <w:tcW w:w="518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Category corresponding to the level of solvency interm of</w:t>
            </w:r>
            <w:r>
              <w:t xml:space="preserve"> the ability to pay insurance proceeds, etc.</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Order</w:t>
            </w:r>
          </w:p>
        </w:tc>
      </w:tr>
      <w:tr w:rsidR="0059268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Exception from category</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200% or more</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1</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Ratio indicating the level of solvency interm of the </w:t>
            </w:r>
            <w:r>
              <w:t>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 request to submit an improvement plan deemed reasonable to secure sound management of operations in Japan, and an order for its implementation</w:t>
            </w:r>
          </w:p>
        </w:tc>
      </w:tr>
      <w:tr w:rsidR="0059268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100% or more and less than 200%</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2</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Ratio </w:t>
            </w:r>
            <w:r>
              <w:t>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An order pertaining to any of the following measures which contribute to the level of solvency interm of the ability to pay insurance proceeds, etc.</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0% or more and les</w:t>
            </w:r>
            <w:r>
              <w:t>s than 100%</w:t>
            </w: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 submission of a plan deemed reasonable for the level of solvency interm of the ability to pay insurance proceeds, etc. and its implementation</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(ii) prohibition from distributing policy dividends or dividends of surplus to members, or </w:t>
            </w:r>
            <w:r>
              <w:t>reduction of the amount thereof</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(iii) change of the method for calculation of insurance premiums (when the method requires a coefficient as the basis of the calculation, the coefficient is included) for a new insurance contract to be concluded in Japan</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(iv) reduction of the amount of operating expenses for the insurance business in Japan</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 prohibition from investment of assets at branch offices, etc. by some methods or reduction of the amount thereof</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(vi) reduction of operations at some branch</w:t>
            </w:r>
            <w:r>
              <w:t xml:space="preserve"> offices, etc.</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(vii) closure of some branch offices, etc., excluding the principal office in Japan</w:t>
            </w:r>
          </w:p>
        </w:tc>
      </w:tr>
      <w:tr w:rsidR="00592687">
        <w:tblPrEx>
          <w:tblCellMar>
            <w:top w:w="0" w:type="dxa"/>
            <w:left w:w="0" w:type="dxa"/>
            <w:bottom w:w="0" w:type="dxa"/>
            <w:right w:w="0" w:type="dxa"/>
          </w:tblCellMar>
        </w:tblPrEx>
        <w:trPr>
          <w:cantSplit/>
        </w:trPr>
        <w:tc>
          <w:tcPr>
            <w:tcW w:w="2731"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(viii) reduction of the operations set forth in the items of Article 98, paragraph (1) of the Act as applied mutatis mutandis pursuant to </w:t>
            </w:r>
            <w:r>
              <w:t>Article 199 of the Act and other operations incidental to operations carried out pursuant to the provisions of Article 97 of the Act as applied mutatis mutandis pursuant to Article 199 of the Act, operations carried out pursuant to the provisions of Articl</w:t>
            </w:r>
            <w:r>
              <w:t>e 99 of the Act as applied mutatis mutandis pursuant to Article 199 of the Act, or operations carried out pursuant to other laws, or prohibition from handling new business</w:t>
            </w:r>
          </w:p>
        </w:tc>
      </w:tr>
      <w:tr w:rsidR="0059268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(ix) other measures deemed necessary by the Commissioner of the Financial Service</w:t>
            </w:r>
            <w:r>
              <w:t>s Agency</w:t>
            </w:r>
          </w:p>
        </w:tc>
      </w:tr>
      <w:tr w:rsidR="00592687">
        <w:tblPrEx>
          <w:tblCellMar>
            <w:top w:w="0" w:type="dxa"/>
            <w:left w:w="0" w:type="dxa"/>
            <w:bottom w:w="0" w:type="dxa"/>
            <w:right w:w="0" w:type="dxa"/>
          </w:tblCellMar>
        </w:tblPrEx>
        <w:trPr>
          <w:cantSplit/>
        </w:trPr>
        <w:tc>
          <w:tcPr>
            <w:tcW w:w="2731"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3</w:t>
            </w:r>
          </w:p>
        </w:tc>
        <w:tc>
          <w:tcPr>
            <w:tcW w:w="2453"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3514"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An order to suspend all or part of the operations in Japan for a limited term</w:t>
            </w:r>
          </w:p>
        </w:tc>
      </w:tr>
      <w:tr w:rsidR="00592687">
        <w:tblPrEx>
          <w:tblCellMar>
            <w:top w:w="0" w:type="dxa"/>
            <w:left w:w="0" w:type="dxa"/>
            <w:bottom w:w="0" w:type="dxa"/>
            <w:right w:w="0" w:type="dxa"/>
          </w:tblCellMar>
        </w:tblPrEx>
        <w:trPr>
          <w:cantSplit/>
        </w:trPr>
        <w:tc>
          <w:tcPr>
            <w:tcW w:w="2731"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453"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Less than 0%</w:t>
            </w:r>
          </w:p>
        </w:tc>
        <w:tc>
          <w:tcPr>
            <w:tcW w:w="3514"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bl>
    <w:p w:rsidR="00592687" w:rsidRDefault="00592687"/>
    <w:p w:rsidR="00592687" w:rsidRDefault="009F7A97">
      <w:pPr>
        <w:pStyle w:val="enf4"/>
      </w:pPr>
      <w:r>
        <w:t xml:space="preserve">(2) The phrase "ratio indicating the </w:t>
      </w:r>
      <w:r>
        <w:t>level of solvency in terms of the ability to pay insurance proceeds, etc." as used in the table under the preceding paragraph means the ratio derived from the formula pertaining to the criteria regarding the appropriateness of a foreign insurance company's</w:t>
      </w:r>
      <w:r>
        <w:t xml:space="preserve"> level of solvency in terms of its ability to pay insurance proceeds, etc. as referred to in Article 202 of the Act.</w:t>
      </w:r>
    </w:p>
    <w:p w:rsidR="00592687" w:rsidRDefault="009F7A97">
      <w:pPr>
        <w:pStyle w:val="enf4"/>
      </w:pPr>
      <w:r>
        <w:t>(3) The term "branch office, etc." as used in the table under paragraph (1) means the branch office, etc. prescribed in Article 185, paragr</w:t>
      </w:r>
      <w:r>
        <w:t>aph (1) of the Act.</w:t>
      </w:r>
    </w:p>
    <w:p w:rsidR="00592687" w:rsidRDefault="009F7A97">
      <w:pPr>
        <w:pStyle w:val="enf4"/>
      </w:pPr>
      <w:r>
        <w:t>(4) The phrase "principal branch in Japan" as used in the table under paragraph (1) means the principal branch in Japan prescribed in Article 187, paragraph (1), item (iv) of the Act.</w:t>
      </w:r>
    </w:p>
    <w:p w:rsidR="00592687" w:rsidRDefault="009F7A97">
      <w:pPr>
        <w:pStyle w:val="enf4"/>
      </w:pPr>
      <w:r>
        <w:t>(5) The provisions of paragraphs (1) to (3) of the p</w:t>
      </w:r>
      <w:r>
        <w:t>receding Article apply mutatis mutandis to a foreign insurance company, etc. In this case: the phrase "paragraph (1) of the preceding Article" in paragraphs (1) to (3) of that Article is deemed to be replaced with "Article 4, paragraph (1)"; the phrase "pa</w:t>
      </w:r>
      <w:r>
        <w:t>ragraph (2) of the preceding Article" in paragraph (1) of that Article is deemed to be replaced with "Article 4, paragraph (2)"; the phrase "balance sheet or consolidated balance sheet" in paragraphs (2) and (3) of that Article is deemed to be replaced wit</w:t>
      </w:r>
      <w:r>
        <w:t>h "balance sheet for the insurance business in Japan"; in paragraph (2) of that Article, the phrase "balance sheet of an insurance company" is deemed to be replaced with "balance sheet for the insurance business in Japan of a foreign insurance company, etc</w:t>
      </w:r>
      <w:r>
        <w:t xml:space="preserve">.," the phrase "amount recorded in the balance sheet regarding assets" is deemed to be replaced with "amount recorded in the balance sheet for the insurance business in Japan regarding assets," and the phrase "or the total of the amounts to be recorded in </w:t>
      </w:r>
      <w:r>
        <w:t>the assets section (with regard to assets set forth in the following items, the value specified in the respective items; the same applies in the following paragraph) of a consolidated balance sheet (the amount equivalent to the amount of deferred tax asset</w:t>
      </w:r>
      <w:r>
        <w:t>s regarding any difference between the amount recorded in the consolidated balance sheet and the book value of assets that fall within the scope of other securities as well as the amount equivalent to the amount of differed tax assets regarding the total o</w:t>
      </w:r>
      <w:r>
        <w:t>f the amount of any unrecognized actuarial gain/loss (meaning the unrecognized actuarial gain/loss prescribed in Article 8, paragraph (62) of the Regulation on Financial Statements) and the amount of unrecognized past service cost (meaning the unrecognized</w:t>
      </w:r>
      <w:r>
        <w:t xml:space="preserve"> past service cost prescribed in Article 8, paragraph (63) of the Regulation on Financial Statements) are deducted; the same applies in the following paragraph and Article 7, paragraphs (2) and (3))" is deemed to be deleted; and the phrase "the total of th</w:t>
      </w:r>
      <w:r>
        <w:t>e amounts to be recorded in the assets section of a balance sheet or the total of the amounts to be recorded in the assets section of a consolidated balance sheet" is deemed to be replaced with "the total of the amounts to be recorded in the assets section</w:t>
      </w:r>
      <w:r>
        <w:t xml:space="preserve"> of a balance sheet for the insurance business in Japan."</w:t>
      </w:r>
    </w:p>
    <w:p w:rsidR="00592687" w:rsidRDefault="00592687"/>
    <w:p w:rsidR="00592687" w:rsidRDefault="009F7A97">
      <w:pPr>
        <w:pStyle w:val="ena"/>
      </w:pPr>
      <w:r>
        <w:t>(Order According to Category Corresponding to a Licensed Specified Corporation's and Underwriting Member's Level of Solvency in Terms of Their Ability to Pay Insurance Proceeds)</w:t>
      </w:r>
    </w:p>
    <w:p w:rsidR="00592687" w:rsidRDefault="009F7A97">
      <w:pPr>
        <w:pStyle w:val="enf3"/>
      </w:pPr>
      <w:r>
        <w:t xml:space="preserve">Article 5  (1) The </w:t>
      </w:r>
      <w:r>
        <w:t>provisions of paragraph (1) of the preceding Article apply mutatis mutandis to a licensed specified corporation (meaning the licensed specified corporation prescribed in Article 223, paragraph (1) of the Act; hereinafter the same applies in this Article) a</w:t>
      </w:r>
      <w:r>
        <w:t>nd underwriting member (meaning the underwriting member prescribed in Article 219, paragraph (1) of the Act; hereinafter the same applies in this Article). In this case, in paragraph (1) of the preceding Article: the phrase "Article 204, paragraph (2) of t</w:t>
      </w:r>
      <w:r>
        <w:t>he Act" is deemed to be replaced with "Article 230, paragraph (2) of the Act"; the term "foreign insurance company, etc." is deemed to be replaced with "underwriting member"; the term "paragraph (5)" is deemed to be replaced with "Article 5, paragraph (3)"</w:t>
      </w:r>
      <w:r>
        <w:t xml:space="preserve">; the phrase "operations in Japan" is deemed to be replaced with "operations in Japan of the underwriting member"; the phrase "distributing policy dividends or dividends of surplus to members" is deemed to be replaced with "distributing policy dividends"; </w:t>
      </w:r>
      <w:r>
        <w:t>the term "branch offices, etc." is deemed to be replaced with "offices of the general agent"; and the phrase "principal office in Japan" is deemed to be replaced with "head office of the general agent."</w:t>
      </w:r>
    </w:p>
    <w:p w:rsidR="00592687" w:rsidRDefault="009F7A97">
      <w:pPr>
        <w:pStyle w:val="enf4"/>
      </w:pPr>
      <w:r>
        <w:t>(2) The phrase "ratio indicating the level of solvenc</w:t>
      </w:r>
      <w:r>
        <w:t>y in terms of the ability to pay insurance proceeds, etc." as used in the table under paragraph (1) of the preceding Article as applied mutatis mutandis pursuant to the preceding paragraph means the ratio derived from the formula pertaining to the criteria</w:t>
      </w:r>
      <w:r>
        <w:t xml:space="preserve"> regarding the appropriateness of an underwriting member's level of solvency in terms of its ability to pay insurance proceeds, etc. as referred to in Article 228 of the Act.</w:t>
      </w:r>
    </w:p>
    <w:p w:rsidR="00592687" w:rsidRDefault="009F7A97">
      <w:pPr>
        <w:pStyle w:val="enf4"/>
      </w:pPr>
      <w:r>
        <w:t>(3) The term "general agent" as used in the table under paragraph (1) of the prec</w:t>
      </w:r>
      <w:r>
        <w:t>eding Article as applied mutatis mutandis pursuant to paragraph (1) means the general agent prescribed in Article 219, paragraph (1) of the Act.</w:t>
      </w:r>
    </w:p>
    <w:p w:rsidR="00592687" w:rsidRDefault="009F7A97">
      <w:pPr>
        <w:pStyle w:val="enf4"/>
      </w:pPr>
      <w:r>
        <w:t>(4) The provisions of Article 3, paragraphs (1) to (3) apply mutatis mutandis to a licensed specified corporati</w:t>
      </w:r>
      <w:r>
        <w:t>on and underwriting member. In this case: in the provisions of paragraphs (1) to (3) of that Article, the phrase "paragraph (1) of the preceding Article" is deemed to be replaced with "Article 4, paragraph (1) as applied mutatis mutandis pursuant to Articl</w:t>
      </w:r>
      <w:r>
        <w:t>e 5, paragraph (1)" and the phrase "with regard to the insurance company" is deemed to be replaced with "with regard to the licensed specified corporation or underwriting member"; in paragraph (1) of that Article, the phrase "If an insurance company" is de</w:t>
      </w:r>
      <w:r>
        <w:t>emed to be replaced with "If a licensed specified corporation or underwriting member"; the phrase "the ratio indicating the level of its solvency in terms of its ability to pay insurance proceeds, etc." is deemed to be replaced with "the ratio indicating a</w:t>
      </w:r>
      <w:r>
        <w:t>n underwriting member's level of solvency in terms of its ability to pay insurance proceeds, etc."; the phrase "paragraph (2) of the preceding Article "is deemed to be replaced with "Article 5, paragraph (2)"; and the term "the insurance company" is deemed</w:t>
      </w:r>
      <w:r>
        <w:t xml:space="preserve"> to be replaced with "the underwriting member"; the phrase "balance sheet or consolidated balance sheet" in paragraphs (2) and (3) of that Article is deemed to be replaced with "balance sheet for the insurance business in Japan"; in paragraph (2) of that A</w:t>
      </w:r>
      <w:r>
        <w:t>rticle, the phrase "balance sheet of an insurance company" is deemed to be replaced with "balance sheet for the insurance business in Japan of an underwriting member," the phrase "amount recorded in the balance sheet regarding assets" is deemed to be repla</w:t>
      </w:r>
      <w:r>
        <w:t>ced with "amount recorded in the balance sheet for the insurance business in Japan regarding assets," and the phrase "or the total of the amounts to be recorded in the assets section (with regard to assets set forth in the following items, the value specif</w:t>
      </w:r>
      <w:r>
        <w:t>ied in the respective items; the same applies in the following paragraph) of a consolidated balance sheet (the amount equivalent to the amount of deferred tax assets regarding any difference between the amount recorded in the consolidated balance sheet and</w:t>
      </w:r>
      <w:r>
        <w:t xml:space="preserve"> the book value of assets that fall within the scope of other securities as well as the amount equivalent to the amount of differed tax assets regarding the total of the amount of any unrecognized actuarial gain/loss (meaning the unrecognized actuarial gai</w:t>
      </w:r>
      <w:r>
        <w:t>n/loss prescribed in Article 8, paragraph (62) of the Regulation on Financial Statements) and the amount of unrecognized past service cost (meaning the unrecognized past service cost prescribed in Article 8, paragraph (63) of the Regulation on Financial St</w:t>
      </w:r>
      <w:r>
        <w:t>atements) are deducted; the same applies in the following paragraph and Article 7, paragraphs (2) and (3))" is deemed to be deleted; and the phrase "the total of the amounts to be recorded in the assets section of a balance sheet or the total of the amount</w:t>
      </w:r>
      <w:r>
        <w:t>s to be recorded in the assets section of a consolidated balance sheet of an insurance company" is deemed to be replaced with "the total of the amounts to be recorded in the assets section of a balance sheet for the insurance business in Japan of an underw</w:t>
      </w:r>
      <w:r>
        <w:t>riting company."</w:t>
      </w:r>
    </w:p>
    <w:p w:rsidR="00592687" w:rsidRDefault="00592687"/>
    <w:p w:rsidR="00592687" w:rsidRDefault="009F7A97">
      <w:pPr>
        <w:pStyle w:val="ena"/>
      </w:pPr>
      <w:r>
        <w:t>(Order According to Category Corresponding to the Level of Solvency of an Insurance Company That is a Subsidiary Company of an Insurance Holding Company in Terms of its Ability to Pay Insurance Proceeds)</w:t>
      </w:r>
    </w:p>
    <w:p w:rsidR="00592687" w:rsidRDefault="009F7A97">
      <w:pPr>
        <w:pStyle w:val="enf3"/>
      </w:pPr>
      <w:r>
        <w:t xml:space="preserve">Article 6  (1) The order </w:t>
      </w:r>
      <w:r>
        <w:t>specified by Cabinet Office Order/Ministry of Finance Order for the category corresponding to the level of solvency of an insurance company that is a subsidiary company of an insurance holding company (meaning the insurance holding company prescribed in Ar</w:t>
      </w:r>
      <w:r>
        <w:t>ticle 2, paragraph (16) of the Act; the same applies hereinafter) in terms of its ability to pay insurance proceeds, etc. as referred to in Article 271-29, paragraph (2) of the Act is as set forth in the following table, except for the cases specified in t</w:t>
      </w:r>
      <w:r>
        <w:t>he following Article.</w:t>
      </w:r>
    </w:p>
    <w:p w:rsidR="00592687" w:rsidRDefault="0059268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592687">
        <w:tblPrEx>
          <w:tblCellMar>
            <w:top w:w="0" w:type="dxa"/>
            <w:left w:w="0" w:type="dxa"/>
            <w:bottom w:w="0" w:type="dxa"/>
            <w:right w:w="0" w:type="dxa"/>
          </w:tblCellMar>
        </w:tblPrEx>
        <w:trPr>
          <w:cantSplit/>
        </w:trPr>
        <w:tc>
          <w:tcPr>
            <w:tcW w:w="57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Category corresponding to the level of solvency interm of the ability to pay insurance proceeds,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Order</w:t>
            </w: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Exception from category</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200%</w:t>
            </w:r>
            <w:r>
              <w:t xml:space="preserve"> or more</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1</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 request to submit an improvement plan deemed reasonable to secure sound management, and an order for its implementation</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100% or more </w:t>
            </w:r>
            <w:r>
              <w:t>and less than 200%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2</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An order pertaining to any of the following measures which contribute to the level of solvency interm of the ability to pay insuranc</w:t>
            </w:r>
            <w:r>
              <w:t>e proceeds, etc.</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0% or more and less than 100%</w:t>
            </w: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 submission of a plan deemed reasonable for the level of solvency interm of the ability to pay insurance proceeds, etc. and its implementation</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(ii) prohibition from distributing dividends of the </w:t>
            </w:r>
            <w:r>
              <w:t>insurance holding company or reduction of the amount thereof</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(iii) prohibition from providing bonuses to directors or reduction of the amount thereof or of other operating expenses</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(iv) prohibition from investment of assets by some methods or reducti</w:t>
            </w:r>
            <w:r>
              <w:t>on of the amount thereof</w:t>
            </w:r>
          </w:p>
        </w:tc>
      </w:tr>
      <w:tr w:rsidR="00592687">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right w:val="single" w:sz="4" w:space="0" w:color="auto"/>
            </w:tcBorders>
            <w:tcMar>
              <w:top w:w="0" w:type="dxa"/>
              <w:left w:w="108" w:type="dxa"/>
              <w:bottom w:w="0" w:type="dxa"/>
              <w:right w:w="108" w:type="dxa"/>
            </w:tcMar>
          </w:tcPr>
          <w:p w:rsidR="00592687" w:rsidRDefault="009F7A97">
            <w:pPr>
              <w:pStyle w:val="jaen"/>
            </w:pPr>
            <w:r>
              <w:t>(v) disposal of shares or equity interests in the subsidiary company, etc. (excluding an insurance company and small amount and short term insurer)</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(vi) other measures deemed necessary by the Commissioner of the Financial Ser</w:t>
            </w:r>
            <w:r>
              <w:t>vices Agency</w:t>
            </w:r>
          </w:p>
        </w:tc>
      </w:tr>
      <w:tr w:rsidR="00592687">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Category 3</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Ratio indicating the level of solvency interm of the ability to pay insurance proceeds, etc.</w:t>
            </w:r>
          </w:p>
        </w:tc>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592687" w:rsidRDefault="009F7A97">
            <w:pPr>
              <w:pStyle w:val="jaen"/>
            </w:pPr>
            <w:r>
              <w:t>disposal of shares in the subsidiary company, etc. (limited to an Insurance company and small amount and short term insurer)</w:t>
            </w:r>
          </w:p>
        </w:tc>
      </w:tr>
      <w:tr w:rsidR="00592687">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9F7A97">
            <w:pPr>
              <w:pStyle w:val="jaen"/>
            </w:pPr>
            <w:r>
              <w:t xml:space="preserve">Less </w:t>
            </w:r>
            <w:r>
              <w:t>than 0%</w:t>
            </w:r>
          </w:p>
        </w:tc>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592687" w:rsidRDefault="00592687">
            <w:pPr>
              <w:pStyle w:val="jaen"/>
            </w:pPr>
          </w:p>
        </w:tc>
      </w:tr>
    </w:tbl>
    <w:p w:rsidR="00592687" w:rsidRDefault="00592687"/>
    <w:p w:rsidR="00592687" w:rsidRDefault="009F7A97">
      <w:pPr>
        <w:pStyle w:val="enf4"/>
      </w:pPr>
      <w:r>
        <w:t xml:space="preserve">(2) The phrase "ratio indicating the level of solvency in terms of the ability to pay insurance proceeds, etc." as used in the table under the preceding paragraph means the ratio derived from the formula pertaining to the criteria regarding the </w:t>
      </w:r>
      <w:r>
        <w:t>appropriateness of level of solvency of an insurance company that is a subsidiary company of an insurance holding company in terms of its ability to pay insurance proceeds, etc. as referred to in Article 271-28-2 of the Act.</w:t>
      </w:r>
    </w:p>
    <w:p w:rsidR="00592687" w:rsidRDefault="009F7A97">
      <w:pPr>
        <w:pStyle w:val="enf4"/>
      </w:pPr>
      <w:r>
        <w:t>(3) The term "subsidiary compan</w:t>
      </w:r>
      <w:r>
        <w:t>y, etc." as used in the table under paragraph (1) means the subsidiary company, etc. prescribed in Article 110, paragraph (2) of the Act.</w:t>
      </w:r>
    </w:p>
    <w:p w:rsidR="00592687" w:rsidRDefault="00592687"/>
    <w:p w:rsidR="00592687" w:rsidRDefault="009F7A97">
      <w:pPr>
        <w:pStyle w:val="enf3"/>
      </w:pPr>
      <w:r>
        <w:t>Article 7  (1) If an insurance holding company learns that the ratio indicating the level of its solvency in terms of</w:t>
      </w:r>
      <w:r>
        <w:t xml:space="preserve"> its ability to pay insurance proceeds, etc. (meaning the ratio indicating the level of solvency in terms of its ability to pay insurance proceeds, etc. prescribed in paragraph (2) of the preceding Article; hereinafter the same applies in this Article) fal</w:t>
      </w:r>
      <w:r>
        <w:t>ls below the range of the ratio indicating the level of solvency in terms of its ability to pay insurance proceeds, etc. that corresponds to the category referred to in the table under paragraph (1) of the preceding Article to which the insurance holding c</w:t>
      </w:r>
      <w:r>
        <w:t>ompany used to belong, and promptly after that, submits to the Commissioner of the Financial Services Agency a plan deemed reasonable to improve the ratio indicating the level of its solvency in terms of its ability to pay insurance proceeds, etc. with cer</w:t>
      </w:r>
      <w:r>
        <w:t xml:space="preserve">tainty to exceed the range of the ratio indicating the level of solvency in terms of the ability to pay insurance proceeds, etc. that corresponds to the category to which the insurance holding company belongs, with regard to the insurance holding company, </w:t>
      </w:r>
      <w:r>
        <w:t xml:space="preserve">the order according to the relevant category is to be an order set forth for the category (except for exception from the category) in that table corresponding to the ratio indicating the level of solvency in terms of the ability to pay insurance proceeds, </w:t>
      </w:r>
      <w:r>
        <w:t>etc. which is not less than the ratio indicating the level of solvency in terms of the insurance holding company's ability to pay insurance proceeds, etc. and not more than the ratio indicating the level of its solvency in terms of its ability to pay insur</w:t>
      </w:r>
      <w:r>
        <w:t>ance proceeds, etc. to be expected after the implementation of the plan; provided, however, that if it becomes clear that the plan is not reasonable, with regard to the insurance holding company, an order according to the category in the table to which the</w:t>
      </w:r>
      <w:r>
        <w:t xml:space="preserve"> insurance holding company belongs is to be as prescribed in that paragraph.</w:t>
      </w:r>
    </w:p>
    <w:p w:rsidR="00592687" w:rsidRDefault="009F7A97">
      <w:pPr>
        <w:pStyle w:val="enf4"/>
      </w:pPr>
      <w:r>
        <w:t>(2) If the total of the amounts to be recorded in the assets section of (with regard to assets set forth in the following items, the value specified in the respective items; the s</w:t>
      </w:r>
      <w:r>
        <w:t>ame applies in the following paragraph) a consolidated balance sheet of an insurance holding company that belongs to Category 3 in the table under paragraph (1) of the preceding Article exceeds or is expected to exceed the amount calculated as prescribed b</w:t>
      </w:r>
      <w:r>
        <w:t>y the Commissioner of the Financial Services Agency and the Minister of Finance on the basis of the total of the amounts to be recorded in the liabilities section of the consolidated balance sheet, with regard to the insurance holding company, the order ac</w:t>
      </w:r>
      <w:r>
        <w:t>cording to the relevant category is to include an order set forth for Category 2 in that table:</w:t>
      </w:r>
    </w:p>
    <w:p w:rsidR="00592687" w:rsidRDefault="009F7A97">
      <w:pPr>
        <w:pStyle w:val="enf6"/>
      </w:pPr>
      <w:r>
        <w:t>(i) securities: the value calculated based on the closing price which is published on the day on which the ratio indicating the insurance holding company's leve</w:t>
      </w:r>
      <w:r>
        <w:t>l of solvency in terms of its ability to pay insurance proceeds, etc. is to be calculated (hereinafter referred to as the "calculation day" in this paragraph) or the value calculated by a reasonable method equivalent thereto;</w:t>
      </w:r>
    </w:p>
    <w:p w:rsidR="00592687" w:rsidRDefault="009F7A97">
      <w:pPr>
        <w:pStyle w:val="enf6"/>
      </w:pPr>
      <w:r>
        <w:t>(ii) tangible fixed assets: th</w:t>
      </w:r>
      <w:r>
        <w:t>e value calculated based on the fairly appraised value on the calculation day; and</w:t>
      </w:r>
    </w:p>
    <w:p w:rsidR="00592687" w:rsidRDefault="009F7A97">
      <w:pPr>
        <w:pStyle w:val="enf6"/>
      </w:pPr>
      <w:r>
        <w:t xml:space="preserve">(iii) assets other than the assets set forth in the preceding two items with the book value being significantly different from the value appraised on the </w:t>
      </w:r>
      <w:r>
        <w:t>calculation day: the appraised value.</w:t>
      </w:r>
    </w:p>
    <w:p w:rsidR="00592687" w:rsidRDefault="009F7A97">
      <w:pPr>
        <w:pStyle w:val="enf4"/>
      </w:pPr>
      <w:r>
        <w:t>(3) If the total of the amounts to be recorded in the assets section of a consolidated balance sheet of an insurance holding company that belongs to any category other than Category 3 in the table under paragraph (1) o</w:t>
      </w:r>
      <w:r>
        <w:t>f the preceding Article falls below or is expected to fall below the amount calculated as prescribed by the Commissioner of the Financial Services Agency and the Minister of Finance on the basis of the total of the amounts to be recorded in the liabilities</w:t>
      </w:r>
      <w:r>
        <w:t xml:space="preserve"> section of the consolidated balance sheet, with regard to the insurance holding company, the order according to the relevant category is to include an order set forth for Category 3 in that table.</w:t>
      </w:r>
    </w:p>
    <w:p w:rsidR="00592687" w:rsidRDefault="00592687"/>
    <w:p w:rsidR="00592687" w:rsidRDefault="009F7A97">
      <w:pPr>
        <w:pStyle w:val="ena"/>
      </w:pPr>
      <w:r>
        <w:t>(Notice of the Finance Minister)</w:t>
      </w:r>
    </w:p>
    <w:p w:rsidR="00592687" w:rsidRDefault="009F7A97">
      <w:pPr>
        <w:pStyle w:val="enf3"/>
      </w:pPr>
      <w:r>
        <w:t>Article 8  The notice sp</w:t>
      </w:r>
      <w:r>
        <w:t>ecified by Cabinet Office Order/Ministry of Finance Order as prescribed in Article 311-3, paragraph (2) of the Act (limited to the notice under the provisions set forth in item (i) of that paragraph) is to be the notice to be made if any of the cases set f</w:t>
      </w:r>
      <w:r>
        <w:t>orth in the items of Article 1 applies.</w:t>
      </w:r>
    </w:p>
    <w:sectPr w:rsidR="00592687" w:rsidSect="005926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687" w:rsidRDefault="00592687" w:rsidP="00592687">
      <w:r>
        <w:separator/>
      </w:r>
    </w:p>
  </w:endnote>
  <w:endnote w:type="continuationSeparator" w:id="0">
    <w:p w:rsidR="00592687" w:rsidRDefault="00592687" w:rsidP="0059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2687" w:rsidRDefault="00592687">
    <w:pPr>
      <w:pStyle w:val="a3"/>
    </w:pPr>
    <w:r>
      <w:fldChar w:fldCharType="begin"/>
    </w:r>
    <w:r>
      <w:instrText xml:space="preserve"> PAGE  \* MERGEFORMAT </w:instrText>
    </w:r>
    <w:r>
      <w:fldChar w:fldCharType="separate"/>
    </w:r>
    <w:r w:rsidR="009F7A9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687" w:rsidRDefault="00592687" w:rsidP="00592687">
      <w:r>
        <w:separator/>
      </w:r>
    </w:p>
  </w:footnote>
  <w:footnote w:type="continuationSeparator" w:id="0">
    <w:p w:rsidR="00592687" w:rsidRDefault="00592687" w:rsidP="00592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94C"/>
    <w:multiLevelType w:val="multilevel"/>
    <w:tmpl w:val="22B622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70206"/>
    <w:multiLevelType w:val="multilevel"/>
    <w:tmpl w:val="7B3C31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FA3F43"/>
    <w:multiLevelType w:val="multilevel"/>
    <w:tmpl w:val="4F9C9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241AE"/>
    <w:multiLevelType w:val="multilevel"/>
    <w:tmpl w:val="1D98A3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C15D41"/>
    <w:multiLevelType w:val="multilevel"/>
    <w:tmpl w:val="A2B816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8269E9"/>
    <w:multiLevelType w:val="multilevel"/>
    <w:tmpl w:val="9B20C7B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E971CB"/>
    <w:multiLevelType w:val="multilevel"/>
    <w:tmpl w:val="7C58E1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0A5E3E"/>
    <w:multiLevelType w:val="multilevel"/>
    <w:tmpl w:val="7DF6C3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DD6195"/>
    <w:multiLevelType w:val="multilevel"/>
    <w:tmpl w:val="A18CF8D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1F37DB3"/>
    <w:multiLevelType w:val="multilevel"/>
    <w:tmpl w:val="174056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95B92"/>
    <w:multiLevelType w:val="multilevel"/>
    <w:tmpl w:val="669E55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A0FFC"/>
    <w:multiLevelType w:val="multilevel"/>
    <w:tmpl w:val="CA443F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A1D0E"/>
    <w:multiLevelType w:val="multilevel"/>
    <w:tmpl w:val="8DC40B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10"/>
  </w:num>
  <w:num w:numId="4">
    <w:abstractNumId w:val="4"/>
  </w:num>
  <w:num w:numId="5">
    <w:abstractNumId w:val="0"/>
  </w:num>
  <w:num w:numId="6">
    <w:abstractNumId w:val="12"/>
  </w:num>
  <w:num w:numId="7">
    <w:abstractNumId w:val="7"/>
  </w:num>
  <w:num w:numId="8">
    <w:abstractNumId w:val="5"/>
  </w:num>
  <w:num w:numId="9">
    <w:abstractNumId w:val="1"/>
  </w:num>
  <w:num w:numId="10">
    <w:abstractNumId w:val="2"/>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2687"/>
    <w:rsid w:val="00592687"/>
    <w:rsid w:val="009F7A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6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26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2687"/>
    <w:rPr>
      <w:rFonts w:ascii="Century" w:eastAsia="Century" w:hAnsi="Century"/>
    </w:rPr>
  </w:style>
  <w:style w:type="paragraph" w:customStyle="1" w:styleId="ja0">
    <w:name w:val="款（ja）"/>
    <w:basedOn w:val="a"/>
    <w:rsid w:val="00592687"/>
    <w:pPr>
      <w:widowControl w:val="0"/>
      <w:ind w:left="1321" w:hanging="221"/>
    </w:pPr>
    <w:rPr>
      <w:rFonts w:ascii="ＭＳ 明朝" w:eastAsia="ＭＳ 明朝" w:hAnsi="ＭＳ 明朝" w:cs="ＭＳ 明朝"/>
      <w:b/>
    </w:rPr>
  </w:style>
  <w:style w:type="paragraph" w:customStyle="1" w:styleId="en0">
    <w:name w:val="款（en）"/>
    <w:basedOn w:val="ja0"/>
    <w:rsid w:val="00592687"/>
    <w:rPr>
      <w:rFonts w:ascii="Century" w:eastAsia="Century" w:hAnsi="Century" w:cs="Century"/>
    </w:rPr>
  </w:style>
  <w:style w:type="paragraph" w:customStyle="1" w:styleId="ja1">
    <w:name w:val="前文（ja）"/>
    <w:basedOn w:val="a"/>
    <w:rsid w:val="00592687"/>
    <w:pPr>
      <w:widowControl w:val="0"/>
      <w:ind w:firstLine="219"/>
    </w:pPr>
    <w:rPr>
      <w:rFonts w:ascii="ＭＳ 明朝" w:eastAsia="ＭＳ 明朝" w:hAnsi="ＭＳ 明朝" w:cs="ＭＳ 明朝"/>
    </w:rPr>
  </w:style>
  <w:style w:type="paragraph" w:customStyle="1" w:styleId="en1">
    <w:name w:val="前文（en）"/>
    <w:basedOn w:val="ja1"/>
    <w:rsid w:val="00592687"/>
    <w:rPr>
      <w:rFonts w:ascii="Century" w:eastAsia="Century" w:hAnsi="Century" w:cs="Century"/>
    </w:rPr>
  </w:style>
  <w:style w:type="paragraph" w:customStyle="1" w:styleId="ja2">
    <w:name w:val="附則（ja）"/>
    <w:basedOn w:val="a"/>
    <w:rsid w:val="00592687"/>
    <w:pPr>
      <w:widowControl w:val="0"/>
      <w:ind w:left="881" w:hanging="221"/>
    </w:pPr>
    <w:rPr>
      <w:rFonts w:ascii="ＭＳ 明朝" w:eastAsia="ＭＳ 明朝" w:hAnsi="ＭＳ 明朝" w:cs="ＭＳ 明朝"/>
      <w:b/>
    </w:rPr>
  </w:style>
  <w:style w:type="paragraph" w:customStyle="1" w:styleId="en2">
    <w:name w:val="附則（en）"/>
    <w:basedOn w:val="ja2"/>
    <w:rsid w:val="00592687"/>
    <w:rPr>
      <w:rFonts w:ascii="Century" w:hAnsi="Century" w:cs="Century"/>
    </w:rPr>
  </w:style>
  <w:style w:type="paragraph" w:customStyle="1" w:styleId="ja3">
    <w:name w:val="章（ja）"/>
    <w:basedOn w:val="a"/>
    <w:rsid w:val="00592687"/>
    <w:pPr>
      <w:widowControl w:val="0"/>
      <w:ind w:left="881" w:hanging="221"/>
    </w:pPr>
    <w:rPr>
      <w:rFonts w:ascii="ＭＳ 明朝" w:eastAsia="ＭＳ 明朝" w:hAnsi="ＭＳ 明朝" w:cs="ＭＳ 明朝"/>
      <w:b/>
    </w:rPr>
  </w:style>
  <w:style w:type="paragraph" w:customStyle="1" w:styleId="en3">
    <w:name w:val="章（en）"/>
    <w:basedOn w:val="ja3"/>
    <w:rsid w:val="00592687"/>
    <w:rPr>
      <w:rFonts w:ascii="Century" w:eastAsia="Century" w:hAnsi="Century" w:cs="Century"/>
    </w:rPr>
  </w:style>
  <w:style w:type="paragraph" w:customStyle="1" w:styleId="ja4">
    <w:name w:val="目次編（ja）"/>
    <w:basedOn w:val="a"/>
    <w:rsid w:val="00592687"/>
    <w:pPr>
      <w:widowControl w:val="0"/>
      <w:ind w:left="219" w:hanging="219"/>
    </w:pPr>
    <w:rPr>
      <w:rFonts w:ascii="ＭＳ 明朝" w:eastAsia="ＭＳ 明朝" w:hAnsi="ＭＳ 明朝"/>
    </w:rPr>
  </w:style>
  <w:style w:type="paragraph" w:customStyle="1" w:styleId="en4">
    <w:name w:val="目次編（en）"/>
    <w:basedOn w:val="ja4"/>
    <w:rsid w:val="00592687"/>
    <w:rPr>
      <w:rFonts w:ascii="Century" w:eastAsia="Century" w:hAnsi="Century"/>
    </w:rPr>
  </w:style>
  <w:style w:type="paragraph" w:customStyle="1" w:styleId="ja5">
    <w:name w:val="目次章（ja）"/>
    <w:basedOn w:val="a"/>
    <w:rsid w:val="00592687"/>
    <w:pPr>
      <w:widowControl w:val="0"/>
      <w:ind w:left="439" w:hanging="219"/>
    </w:pPr>
    <w:rPr>
      <w:rFonts w:ascii="ＭＳ 明朝" w:eastAsia="ＭＳ 明朝" w:hAnsi="ＭＳ 明朝"/>
    </w:rPr>
  </w:style>
  <w:style w:type="paragraph" w:customStyle="1" w:styleId="en5">
    <w:name w:val="目次章（en）"/>
    <w:basedOn w:val="ja5"/>
    <w:rsid w:val="00592687"/>
    <w:rPr>
      <w:rFonts w:ascii="Century" w:eastAsia="Century" w:hAnsi="Century"/>
    </w:rPr>
  </w:style>
  <w:style w:type="paragraph" w:customStyle="1" w:styleId="ja6">
    <w:name w:val="目次節（ja）"/>
    <w:basedOn w:val="a"/>
    <w:rsid w:val="00592687"/>
    <w:pPr>
      <w:widowControl w:val="0"/>
      <w:ind w:left="659" w:hanging="219"/>
    </w:pPr>
    <w:rPr>
      <w:rFonts w:ascii="ＭＳ 明朝" w:eastAsia="ＭＳ 明朝" w:hAnsi="ＭＳ 明朝"/>
    </w:rPr>
  </w:style>
  <w:style w:type="paragraph" w:customStyle="1" w:styleId="en6">
    <w:name w:val="目次節（en）"/>
    <w:basedOn w:val="ja6"/>
    <w:rsid w:val="00592687"/>
    <w:rPr>
      <w:rFonts w:ascii="Century" w:eastAsia="Century" w:hAnsi="Century"/>
    </w:rPr>
  </w:style>
  <w:style w:type="paragraph" w:customStyle="1" w:styleId="ja7">
    <w:name w:val="目次款（ja）"/>
    <w:basedOn w:val="a"/>
    <w:rsid w:val="00592687"/>
    <w:pPr>
      <w:widowControl w:val="0"/>
      <w:ind w:left="879" w:hanging="219"/>
    </w:pPr>
    <w:rPr>
      <w:rFonts w:ascii="ＭＳ 明朝" w:eastAsia="ＭＳ 明朝" w:hAnsi="ＭＳ 明朝" w:cs="Kochi Mincho"/>
    </w:rPr>
  </w:style>
  <w:style w:type="paragraph" w:customStyle="1" w:styleId="en7">
    <w:name w:val="目次款（en）"/>
    <w:basedOn w:val="ja7"/>
    <w:rsid w:val="00592687"/>
    <w:rPr>
      <w:rFonts w:ascii="Century" w:eastAsia="Century" w:hAnsi="Century"/>
    </w:rPr>
  </w:style>
  <w:style w:type="paragraph" w:customStyle="1" w:styleId="ja8">
    <w:name w:val="別表名（ja）"/>
    <w:basedOn w:val="a"/>
    <w:rsid w:val="005926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2687"/>
    <w:rPr>
      <w:rFonts w:ascii="Century" w:eastAsia="Century" w:hAnsi="Century" w:cs="Century"/>
    </w:rPr>
  </w:style>
  <w:style w:type="paragraph" w:customStyle="1" w:styleId="ja9">
    <w:name w:val="目（ja）"/>
    <w:basedOn w:val="a"/>
    <w:rsid w:val="00592687"/>
    <w:pPr>
      <w:widowControl w:val="0"/>
      <w:ind w:left="1541" w:hanging="221"/>
    </w:pPr>
    <w:rPr>
      <w:rFonts w:ascii="ＭＳ 明朝" w:eastAsia="ＭＳ 明朝" w:hAnsi="ＭＳ 明朝" w:cs="ＭＳ 明朝"/>
      <w:b/>
    </w:rPr>
  </w:style>
  <w:style w:type="paragraph" w:customStyle="1" w:styleId="en9">
    <w:name w:val="目（en）"/>
    <w:basedOn w:val="ja9"/>
    <w:rsid w:val="00592687"/>
    <w:rPr>
      <w:rFonts w:ascii="Century" w:eastAsia="Century" w:hAnsi="Century" w:cs="Century"/>
    </w:rPr>
  </w:style>
  <w:style w:type="paragraph" w:customStyle="1" w:styleId="jaa">
    <w:name w:val="見出し（ja）"/>
    <w:basedOn w:val="a"/>
    <w:rsid w:val="00592687"/>
    <w:pPr>
      <w:widowControl w:val="0"/>
      <w:ind w:left="439" w:hanging="219"/>
    </w:pPr>
    <w:rPr>
      <w:rFonts w:ascii="ＭＳ 明朝" w:eastAsia="ＭＳ 明朝" w:hAnsi="ＭＳ 明朝" w:cs="ＭＳ 明朝"/>
    </w:rPr>
  </w:style>
  <w:style w:type="paragraph" w:customStyle="1" w:styleId="ena">
    <w:name w:val="見出し（en）"/>
    <w:basedOn w:val="jaa"/>
    <w:rsid w:val="00592687"/>
    <w:rPr>
      <w:rFonts w:ascii="Century" w:eastAsia="Century" w:hAnsi="Century" w:cs="Century"/>
    </w:rPr>
  </w:style>
  <w:style w:type="paragraph" w:styleId="a3">
    <w:name w:val="footer"/>
    <w:basedOn w:val="a"/>
    <w:rsid w:val="005926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2687"/>
    <w:pPr>
      <w:widowControl w:val="0"/>
      <w:ind w:left="1099" w:hanging="219"/>
    </w:pPr>
    <w:rPr>
      <w:rFonts w:ascii="ＭＳ 明朝" w:eastAsia="ＭＳ 明朝" w:hAnsi="ＭＳ 明朝" w:cs="Kochi Mincho"/>
    </w:rPr>
  </w:style>
  <w:style w:type="paragraph" w:customStyle="1" w:styleId="enb">
    <w:name w:val="目次目（en）"/>
    <w:basedOn w:val="jab"/>
    <w:rsid w:val="00592687"/>
    <w:rPr>
      <w:rFonts w:ascii="Century" w:eastAsia="Century" w:hAnsi="Century"/>
    </w:rPr>
  </w:style>
  <w:style w:type="paragraph" w:customStyle="1" w:styleId="jac">
    <w:name w:val="目次附則（ja）"/>
    <w:basedOn w:val="a"/>
    <w:rsid w:val="00592687"/>
    <w:pPr>
      <w:widowControl w:val="0"/>
      <w:ind w:left="439" w:hanging="219"/>
    </w:pPr>
    <w:rPr>
      <w:rFonts w:ascii="ＭＳ 明朝" w:eastAsia="ＭＳ 明朝" w:hAnsi="ＭＳ 明朝" w:cs="Kochi Mincho"/>
    </w:rPr>
  </w:style>
  <w:style w:type="paragraph" w:customStyle="1" w:styleId="enc">
    <w:name w:val="目次附則（en）"/>
    <w:basedOn w:val="jac"/>
    <w:rsid w:val="00592687"/>
    <w:rPr>
      <w:rFonts w:ascii="Century" w:eastAsia="Century" w:hAnsi="Century" w:cs="Century"/>
    </w:rPr>
  </w:style>
  <w:style w:type="paragraph" w:customStyle="1" w:styleId="jad">
    <w:name w:val="目次前文（ja）"/>
    <w:basedOn w:val="jac"/>
    <w:rsid w:val="00592687"/>
  </w:style>
  <w:style w:type="paragraph" w:customStyle="1" w:styleId="end">
    <w:name w:val="目次前文（en）"/>
    <w:basedOn w:val="enc"/>
    <w:rsid w:val="00592687"/>
  </w:style>
  <w:style w:type="paragraph" w:customStyle="1" w:styleId="jae">
    <w:name w:val="制定文（ja）"/>
    <w:basedOn w:val="a"/>
    <w:rsid w:val="00592687"/>
    <w:pPr>
      <w:widowControl w:val="0"/>
      <w:ind w:firstLine="219"/>
    </w:pPr>
    <w:rPr>
      <w:rFonts w:ascii="ＭＳ 明朝" w:eastAsia="ＭＳ 明朝" w:hAnsi="ＭＳ 明朝" w:cs="ＭＳ 明朝"/>
    </w:rPr>
  </w:style>
  <w:style w:type="paragraph" w:customStyle="1" w:styleId="ene">
    <w:name w:val="制定文（en）"/>
    <w:basedOn w:val="jae"/>
    <w:rsid w:val="00592687"/>
    <w:rPr>
      <w:rFonts w:ascii="Century" w:eastAsia="Century" w:hAnsi="Century" w:cs="Century"/>
    </w:rPr>
  </w:style>
  <w:style w:type="paragraph" w:customStyle="1" w:styleId="jaf">
    <w:name w:val="法令番号（ja）"/>
    <w:basedOn w:val="a"/>
    <w:rsid w:val="00592687"/>
    <w:pPr>
      <w:widowControl w:val="0"/>
      <w:jc w:val="right"/>
    </w:pPr>
    <w:rPr>
      <w:rFonts w:ascii="ＭＳ 明朝" w:eastAsia="ＭＳ 明朝" w:hAnsi="ＭＳ 明朝" w:cs="Kochi Mincho"/>
    </w:rPr>
  </w:style>
  <w:style w:type="paragraph" w:customStyle="1" w:styleId="enf">
    <w:name w:val="法令番号（en）"/>
    <w:basedOn w:val="jaf"/>
    <w:rsid w:val="00592687"/>
    <w:rPr>
      <w:rFonts w:ascii="Century" w:eastAsia="Century" w:hAnsi="Century" w:cs="Century"/>
    </w:rPr>
  </w:style>
  <w:style w:type="paragraph" w:customStyle="1" w:styleId="jaf0">
    <w:name w:val="目次（ja）"/>
    <w:basedOn w:val="a"/>
    <w:rsid w:val="00592687"/>
    <w:rPr>
      <w:rFonts w:ascii="ＭＳ 明朝" w:eastAsia="ＭＳ 明朝" w:hAnsi="ＭＳ 明朝"/>
    </w:rPr>
  </w:style>
  <w:style w:type="paragraph" w:customStyle="1" w:styleId="enf0">
    <w:name w:val="目次（en）"/>
    <w:basedOn w:val="jaf0"/>
    <w:rsid w:val="00592687"/>
    <w:rPr>
      <w:rFonts w:ascii="Century" w:eastAsia="Century" w:hAnsi="Century"/>
    </w:rPr>
  </w:style>
  <w:style w:type="paragraph" w:customStyle="1" w:styleId="jaf1">
    <w:name w:val="編（ja）"/>
    <w:basedOn w:val="a"/>
    <w:rsid w:val="00592687"/>
    <w:pPr>
      <w:widowControl w:val="0"/>
      <w:ind w:left="661" w:hanging="221"/>
    </w:pPr>
    <w:rPr>
      <w:rFonts w:ascii="ＭＳ 明朝" w:eastAsia="ＭＳ 明朝" w:hAnsi="ＭＳ 明朝" w:cs="ＭＳ 明朝"/>
      <w:b/>
    </w:rPr>
  </w:style>
  <w:style w:type="paragraph" w:customStyle="1" w:styleId="enf1">
    <w:name w:val="編（en）"/>
    <w:basedOn w:val="jaf1"/>
    <w:rsid w:val="00592687"/>
    <w:rPr>
      <w:rFonts w:ascii="Century" w:eastAsia="Century" w:hAnsi="Century" w:cs="Century"/>
    </w:rPr>
  </w:style>
  <w:style w:type="paragraph" w:customStyle="1" w:styleId="jaf2">
    <w:name w:val="節（ja）"/>
    <w:basedOn w:val="a"/>
    <w:rsid w:val="00592687"/>
    <w:pPr>
      <w:widowControl w:val="0"/>
      <w:ind w:left="1101" w:hanging="221"/>
    </w:pPr>
    <w:rPr>
      <w:rFonts w:ascii="ＭＳ 明朝" w:eastAsia="ＭＳ 明朝" w:hAnsi="ＭＳ 明朝" w:cs="ＭＳ 明朝"/>
      <w:b/>
    </w:rPr>
  </w:style>
  <w:style w:type="paragraph" w:customStyle="1" w:styleId="enf2">
    <w:name w:val="節（en）"/>
    <w:basedOn w:val="jaf2"/>
    <w:rsid w:val="00592687"/>
    <w:rPr>
      <w:rFonts w:ascii="Century" w:eastAsia="Century" w:hAnsi="Century" w:cs="Century"/>
    </w:rPr>
  </w:style>
  <w:style w:type="paragraph" w:customStyle="1" w:styleId="jaf3">
    <w:name w:val="条（ja）"/>
    <w:basedOn w:val="a"/>
    <w:rsid w:val="00592687"/>
    <w:pPr>
      <w:widowControl w:val="0"/>
      <w:ind w:left="219" w:hanging="219"/>
    </w:pPr>
    <w:rPr>
      <w:rFonts w:ascii="ＭＳ 明朝" w:eastAsia="ＭＳ 明朝" w:hAnsi="ＭＳ 明朝" w:cs="ＭＳ 明朝"/>
    </w:rPr>
  </w:style>
  <w:style w:type="paragraph" w:customStyle="1" w:styleId="enf3">
    <w:name w:val="条（en）"/>
    <w:basedOn w:val="jaf3"/>
    <w:rsid w:val="00592687"/>
    <w:rPr>
      <w:rFonts w:ascii="Century" w:eastAsia="Century" w:hAnsi="Century" w:cs="Century"/>
    </w:rPr>
  </w:style>
  <w:style w:type="paragraph" w:customStyle="1" w:styleId="jaf4">
    <w:name w:val="項（ja）"/>
    <w:basedOn w:val="a"/>
    <w:rsid w:val="00592687"/>
    <w:pPr>
      <w:widowControl w:val="0"/>
      <w:ind w:left="219" w:hanging="219"/>
    </w:pPr>
    <w:rPr>
      <w:rFonts w:ascii="ＭＳ 明朝" w:eastAsia="ＭＳ 明朝" w:hAnsi="ＭＳ 明朝" w:cs="ＭＳ 明朝"/>
    </w:rPr>
  </w:style>
  <w:style w:type="paragraph" w:customStyle="1" w:styleId="enf4">
    <w:name w:val="項（en）"/>
    <w:basedOn w:val="jaf4"/>
    <w:rsid w:val="00592687"/>
    <w:rPr>
      <w:rFonts w:ascii="Century" w:eastAsia="Century" w:hAnsi="Century" w:cs="Century"/>
    </w:rPr>
  </w:style>
  <w:style w:type="paragraph" w:customStyle="1" w:styleId="jaf5">
    <w:name w:val="項　番号なし（ja）"/>
    <w:basedOn w:val="a"/>
    <w:rsid w:val="00592687"/>
    <w:pPr>
      <w:widowControl w:val="0"/>
      <w:ind w:firstLine="221"/>
    </w:pPr>
    <w:rPr>
      <w:rFonts w:ascii="ＭＳ 明朝" w:eastAsia="ＭＳ 明朝" w:hAnsi="ＭＳ 明朝" w:cs="ＭＳ 明朝"/>
    </w:rPr>
  </w:style>
  <w:style w:type="paragraph" w:customStyle="1" w:styleId="enf5">
    <w:name w:val="項　番号なし（en）"/>
    <w:basedOn w:val="jaf5"/>
    <w:rsid w:val="00592687"/>
    <w:rPr>
      <w:rFonts w:ascii="Century" w:eastAsia="Century" w:hAnsi="Century" w:cs="Century"/>
    </w:rPr>
  </w:style>
  <w:style w:type="paragraph" w:customStyle="1" w:styleId="jaf6">
    <w:name w:val="号（ja）"/>
    <w:basedOn w:val="a"/>
    <w:rsid w:val="00592687"/>
    <w:pPr>
      <w:widowControl w:val="0"/>
      <w:ind w:left="439" w:hanging="219"/>
    </w:pPr>
    <w:rPr>
      <w:rFonts w:ascii="ＭＳ 明朝" w:eastAsia="ＭＳ 明朝" w:hAnsi="ＭＳ 明朝" w:cs="ＭＳ 明朝"/>
    </w:rPr>
  </w:style>
  <w:style w:type="paragraph" w:customStyle="1" w:styleId="enf6">
    <w:name w:val="号（en）"/>
    <w:basedOn w:val="jaf6"/>
    <w:rsid w:val="00592687"/>
    <w:rPr>
      <w:rFonts w:ascii="Century" w:eastAsia="Century" w:hAnsi="Century" w:cs="Century"/>
    </w:rPr>
  </w:style>
  <w:style w:type="paragraph" w:customStyle="1" w:styleId="jaf7">
    <w:name w:val="号　番号なし（ja）"/>
    <w:basedOn w:val="a"/>
    <w:rsid w:val="00592687"/>
    <w:pPr>
      <w:widowControl w:val="0"/>
      <w:ind w:left="221" w:firstLine="221"/>
    </w:pPr>
    <w:rPr>
      <w:rFonts w:ascii="ＭＳ 明朝" w:eastAsia="ＭＳ 明朝" w:hAnsi="ＭＳ 明朝" w:cs="ＭＳ 明朝"/>
    </w:rPr>
  </w:style>
  <w:style w:type="paragraph" w:customStyle="1" w:styleId="enf7">
    <w:name w:val="号　番号なし（en）"/>
    <w:basedOn w:val="jaf7"/>
    <w:rsid w:val="00592687"/>
    <w:rPr>
      <w:rFonts w:ascii="Century" w:eastAsia="Century" w:hAnsi="Century" w:cs="Century"/>
    </w:rPr>
  </w:style>
  <w:style w:type="paragraph" w:customStyle="1" w:styleId="jaf8">
    <w:name w:val="備考号（ja）"/>
    <w:basedOn w:val="a"/>
    <w:rsid w:val="00592687"/>
    <w:pPr>
      <w:widowControl w:val="0"/>
      <w:ind w:left="659" w:hanging="219"/>
    </w:pPr>
    <w:rPr>
      <w:rFonts w:ascii="ＭＳ 明朝" w:eastAsia="ＭＳ 明朝" w:hAnsi="ＭＳ 明朝" w:cs="ＭＳ 明朝"/>
    </w:rPr>
  </w:style>
  <w:style w:type="paragraph" w:customStyle="1" w:styleId="enf8">
    <w:name w:val="備考号（en）"/>
    <w:basedOn w:val="jaf8"/>
    <w:rsid w:val="00592687"/>
    <w:rPr>
      <w:rFonts w:ascii="Century" w:eastAsia="Century" w:hAnsi="Century" w:cs="Century"/>
    </w:rPr>
  </w:style>
  <w:style w:type="paragraph" w:customStyle="1" w:styleId="jaf9">
    <w:name w:val="号細分（ja）"/>
    <w:basedOn w:val="a"/>
    <w:rsid w:val="00592687"/>
    <w:pPr>
      <w:widowControl w:val="0"/>
      <w:ind w:left="659" w:hanging="219"/>
    </w:pPr>
    <w:rPr>
      <w:rFonts w:ascii="ＭＳ 明朝" w:eastAsia="ＭＳ 明朝" w:hAnsi="ＭＳ 明朝" w:cs="ＭＳ 明朝"/>
    </w:rPr>
  </w:style>
  <w:style w:type="paragraph" w:customStyle="1" w:styleId="enf9">
    <w:name w:val="号細分（en）"/>
    <w:basedOn w:val="jaf9"/>
    <w:rsid w:val="00592687"/>
    <w:rPr>
      <w:rFonts w:ascii="Century" w:eastAsia="Century" w:hAnsi="Century" w:cs="Century"/>
    </w:rPr>
  </w:style>
  <w:style w:type="paragraph" w:customStyle="1" w:styleId="jafa">
    <w:name w:val="号細分　番号なし（ja）"/>
    <w:basedOn w:val="a"/>
    <w:rsid w:val="00592687"/>
    <w:pPr>
      <w:widowControl w:val="0"/>
      <w:ind w:left="439"/>
    </w:pPr>
    <w:rPr>
      <w:rFonts w:ascii="ＭＳ 明朝" w:eastAsia="ＭＳ 明朝" w:hAnsi="ＭＳ 明朝" w:cs="ＭＳ 明朝"/>
    </w:rPr>
  </w:style>
  <w:style w:type="paragraph" w:customStyle="1" w:styleId="enfa">
    <w:name w:val="号細分　番号なし（en）"/>
    <w:basedOn w:val="jafa"/>
    <w:rsid w:val="00592687"/>
    <w:rPr>
      <w:rFonts w:ascii="Century" w:eastAsia="Century" w:hAnsi="Century" w:cs="Century"/>
    </w:rPr>
  </w:style>
  <w:style w:type="paragraph" w:customStyle="1" w:styleId="jafb">
    <w:name w:val="備考号細分（ja）"/>
    <w:basedOn w:val="a"/>
    <w:rsid w:val="00592687"/>
    <w:pPr>
      <w:widowControl w:val="0"/>
      <w:ind w:left="1099" w:hanging="439"/>
    </w:pPr>
    <w:rPr>
      <w:rFonts w:ascii="ＭＳ 明朝" w:eastAsia="ＭＳ 明朝" w:hAnsi="ＭＳ 明朝" w:cs="ＭＳ 明朝"/>
    </w:rPr>
  </w:style>
  <w:style w:type="paragraph" w:customStyle="1" w:styleId="enfb">
    <w:name w:val="備考号細分（en）"/>
    <w:basedOn w:val="jafb"/>
    <w:rsid w:val="00592687"/>
    <w:rPr>
      <w:rFonts w:ascii="Century" w:eastAsia="Century" w:hAnsi="Century" w:cs="Century"/>
    </w:rPr>
  </w:style>
  <w:style w:type="paragraph" w:customStyle="1" w:styleId="jafc">
    <w:name w:val="号細細分（ja）"/>
    <w:basedOn w:val="a"/>
    <w:rsid w:val="00592687"/>
    <w:pPr>
      <w:widowControl w:val="0"/>
      <w:ind w:left="1099" w:hanging="439"/>
    </w:pPr>
    <w:rPr>
      <w:rFonts w:ascii="ＭＳ 明朝" w:eastAsia="ＭＳ 明朝" w:hAnsi="ＭＳ 明朝" w:cs="ＭＳ 明朝"/>
    </w:rPr>
  </w:style>
  <w:style w:type="paragraph" w:customStyle="1" w:styleId="enfc">
    <w:name w:val="号細細分（en）"/>
    <w:basedOn w:val="jafc"/>
    <w:rsid w:val="00592687"/>
    <w:rPr>
      <w:rFonts w:ascii="Century" w:eastAsia="Century" w:hAnsi="Century" w:cs="Century"/>
    </w:rPr>
  </w:style>
  <w:style w:type="paragraph" w:customStyle="1" w:styleId="jafd">
    <w:name w:val="号細細分　番号なし（ja）"/>
    <w:basedOn w:val="a"/>
    <w:rsid w:val="00592687"/>
    <w:pPr>
      <w:widowControl w:val="0"/>
      <w:ind w:left="659"/>
    </w:pPr>
    <w:rPr>
      <w:rFonts w:ascii="ＭＳ 明朝" w:eastAsia="ＭＳ 明朝" w:hAnsi="ＭＳ 明朝" w:cs="ＭＳ 明朝"/>
    </w:rPr>
  </w:style>
  <w:style w:type="paragraph" w:customStyle="1" w:styleId="enfd">
    <w:name w:val="号細細分　番号なし（en）"/>
    <w:basedOn w:val="jafd"/>
    <w:rsid w:val="00592687"/>
    <w:rPr>
      <w:rFonts w:ascii="Century" w:eastAsia="Century" w:hAnsi="Century" w:cs="Century"/>
    </w:rPr>
  </w:style>
  <w:style w:type="paragraph" w:customStyle="1" w:styleId="jafe">
    <w:name w:val="備考号細細分（ja）"/>
    <w:basedOn w:val="a"/>
    <w:rsid w:val="00592687"/>
    <w:pPr>
      <w:widowControl w:val="0"/>
      <w:ind w:left="1319" w:hanging="439"/>
    </w:pPr>
    <w:rPr>
      <w:rFonts w:ascii="ＭＳ 明朝" w:eastAsia="ＭＳ 明朝" w:hAnsi="ＭＳ 明朝" w:cs="ＭＳ 明朝"/>
    </w:rPr>
  </w:style>
  <w:style w:type="paragraph" w:customStyle="1" w:styleId="enfe">
    <w:name w:val="備考号細細分（en）"/>
    <w:basedOn w:val="jafe"/>
    <w:rsid w:val="00592687"/>
    <w:rPr>
      <w:rFonts w:ascii="Century" w:eastAsia="Century" w:hAnsi="Century" w:cs="Century"/>
    </w:rPr>
  </w:style>
  <w:style w:type="paragraph" w:customStyle="1" w:styleId="jaff">
    <w:name w:val="号細細細分（ja）"/>
    <w:basedOn w:val="a"/>
    <w:rsid w:val="00592687"/>
    <w:pPr>
      <w:widowControl w:val="0"/>
      <w:ind w:left="1319" w:hanging="439"/>
    </w:pPr>
    <w:rPr>
      <w:rFonts w:ascii="ＭＳ 明朝" w:eastAsia="ＭＳ 明朝" w:hAnsi="ＭＳ 明朝" w:cs="ＭＳ 明朝"/>
    </w:rPr>
  </w:style>
  <w:style w:type="paragraph" w:customStyle="1" w:styleId="enff">
    <w:name w:val="号細細細分（en）"/>
    <w:basedOn w:val="jaff"/>
    <w:rsid w:val="00592687"/>
    <w:rPr>
      <w:rFonts w:ascii="Century" w:eastAsia="Century" w:hAnsi="Century" w:cs="Century"/>
    </w:rPr>
  </w:style>
  <w:style w:type="paragraph" w:customStyle="1" w:styleId="jaff0">
    <w:name w:val="号細細細分　番号なし（ja）"/>
    <w:basedOn w:val="a"/>
    <w:rsid w:val="00592687"/>
    <w:pPr>
      <w:widowControl w:val="0"/>
      <w:ind w:left="879"/>
    </w:pPr>
    <w:rPr>
      <w:rFonts w:ascii="ＭＳ 明朝" w:eastAsia="ＭＳ 明朝" w:hAnsi="ＭＳ 明朝" w:cs="ＭＳ 明朝"/>
    </w:rPr>
  </w:style>
  <w:style w:type="paragraph" w:customStyle="1" w:styleId="enff0">
    <w:name w:val="号細細細分　番号なし（en）"/>
    <w:basedOn w:val="jaff0"/>
    <w:rsid w:val="00592687"/>
    <w:rPr>
      <w:rFonts w:ascii="Century" w:eastAsia="Century" w:hAnsi="Century" w:cs="Century"/>
    </w:rPr>
  </w:style>
  <w:style w:type="paragraph" w:customStyle="1" w:styleId="jaff1">
    <w:name w:val="備考号細細細分（ja）"/>
    <w:basedOn w:val="a"/>
    <w:rsid w:val="005926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2687"/>
    <w:rPr>
      <w:rFonts w:ascii="Century" w:eastAsia="Century" w:hAnsi="Century" w:cs="Century"/>
    </w:rPr>
  </w:style>
  <w:style w:type="paragraph" w:customStyle="1" w:styleId="jaff2">
    <w:name w:val="類（ja）"/>
    <w:basedOn w:val="a"/>
    <w:rsid w:val="00592687"/>
    <w:pPr>
      <w:widowControl w:val="0"/>
      <w:ind w:left="439" w:hanging="219"/>
    </w:pPr>
    <w:rPr>
      <w:rFonts w:ascii="ＭＳ 明朝" w:eastAsia="ＭＳ 明朝" w:hAnsi="ＭＳ 明朝" w:cs="ＭＳ 明朝"/>
    </w:rPr>
  </w:style>
  <w:style w:type="paragraph" w:customStyle="1" w:styleId="enff2">
    <w:name w:val="類（en）"/>
    <w:basedOn w:val="jaff2"/>
    <w:rsid w:val="00592687"/>
    <w:rPr>
      <w:rFonts w:ascii="Century" w:eastAsia="Century" w:hAnsi="Century" w:cs="Century"/>
    </w:rPr>
  </w:style>
  <w:style w:type="paragraph" w:customStyle="1" w:styleId="jaff3">
    <w:name w:val="公布文（ja）"/>
    <w:basedOn w:val="a"/>
    <w:rsid w:val="00592687"/>
    <w:pPr>
      <w:widowControl w:val="0"/>
      <w:ind w:firstLine="219"/>
    </w:pPr>
    <w:rPr>
      <w:rFonts w:ascii="ＭＳ 明朝" w:eastAsia="ＭＳ 明朝" w:hAnsi="ＭＳ 明朝" w:cs="ＭＳ 明朝"/>
    </w:rPr>
  </w:style>
  <w:style w:type="paragraph" w:customStyle="1" w:styleId="enff3">
    <w:name w:val="公布文（en）"/>
    <w:basedOn w:val="jaff3"/>
    <w:rsid w:val="00592687"/>
    <w:rPr>
      <w:rFonts w:ascii="Century" w:eastAsia="Century" w:hAnsi="Century" w:cs="Century"/>
    </w:rPr>
  </w:style>
  <w:style w:type="paragraph" w:customStyle="1" w:styleId="jaen">
    <w:name w:val="表（ja：en）"/>
    <w:basedOn w:val="a"/>
    <w:rsid w:val="00592687"/>
    <w:pPr>
      <w:widowControl w:val="0"/>
      <w:snapToGrid w:val="0"/>
    </w:pPr>
    <w:rPr>
      <w:rFonts w:ascii="Century" w:eastAsia="ＭＳ 明朝" w:hAnsi="Century"/>
    </w:rPr>
  </w:style>
  <w:style w:type="paragraph" w:customStyle="1" w:styleId="jaff4">
    <w:name w:val="備考（ja）"/>
    <w:basedOn w:val="a"/>
    <w:rsid w:val="00592687"/>
    <w:pPr>
      <w:widowControl w:val="0"/>
      <w:ind w:left="439" w:hanging="219"/>
    </w:pPr>
    <w:rPr>
      <w:rFonts w:ascii="ＭＳ 明朝" w:eastAsia="ＭＳ 明朝" w:hAnsi="ＭＳ 明朝" w:cs="ＭＳ 明朝"/>
    </w:rPr>
  </w:style>
  <w:style w:type="paragraph" w:customStyle="1" w:styleId="enff4">
    <w:name w:val="備考（en）"/>
    <w:basedOn w:val="jaff4"/>
    <w:rsid w:val="00592687"/>
    <w:rPr>
      <w:rFonts w:ascii="Century" w:eastAsia="Century" w:hAnsi="Century" w:cs="Century"/>
    </w:rPr>
  </w:style>
  <w:style w:type="paragraph" w:customStyle="1" w:styleId="jaff5">
    <w:name w:val="表タイトル（ja）"/>
    <w:basedOn w:val="a"/>
    <w:rsid w:val="00592687"/>
    <w:pPr>
      <w:widowControl w:val="0"/>
      <w:ind w:left="219"/>
    </w:pPr>
    <w:rPr>
      <w:rFonts w:ascii="ＭＳ 明朝" w:eastAsia="ＭＳ 明朝" w:hAnsi="ＭＳ 明朝" w:cs="ＭＳ 明朝"/>
    </w:rPr>
  </w:style>
  <w:style w:type="paragraph" w:customStyle="1" w:styleId="enff5">
    <w:name w:val="表タイトル（en）"/>
    <w:basedOn w:val="jaff5"/>
    <w:rsid w:val="00592687"/>
    <w:rPr>
      <w:rFonts w:ascii="Century" w:eastAsia="Century" w:hAnsi="Century" w:cs="Century"/>
    </w:rPr>
  </w:style>
  <w:style w:type="paragraph" w:customStyle="1" w:styleId="jaff6">
    <w:name w:val="改正規定文（ja）"/>
    <w:basedOn w:val="a"/>
    <w:rsid w:val="00592687"/>
    <w:pPr>
      <w:widowControl w:val="0"/>
      <w:ind w:left="219" w:firstLine="219"/>
    </w:pPr>
    <w:rPr>
      <w:rFonts w:ascii="ＭＳ 明朝" w:eastAsia="ＭＳ 明朝" w:hAnsi="ＭＳ 明朝" w:cs="ＭＳ 明朝"/>
    </w:rPr>
  </w:style>
  <w:style w:type="paragraph" w:customStyle="1" w:styleId="enff6">
    <w:name w:val="改正規定文（en）"/>
    <w:basedOn w:val="jaff6"/>
    <w:rsid w:val="00592687"/>
    <w:rPr>
      <w:rFonts w:ascii="Century" w:eastAsia="Century" w:hAnsi="Century" w:cs="Century"/>
    </w:rPr>
  </w:style>
  <w:style w:type="paragraph" w:customStyle="1" w:styleId="jaff7">
    <w:name w:val="付記（ja）"/>
    <w:basedOn w:val="a"/>
    <w:rsid w:val="00592687"/>
    <w:pPr>
      <w:widowControl w:val="0"/>
      <w:ind w:left="219" w:firstLine="219"/>
    </w:pPr>
    <w:rPr>
      <w:rFonts w:ascii="ＭＳ 明朝" w:eastAsia="ＭＳ 明朝" w:hAnsi="ＭＳ 明朝" w:cs="ＭＳ 明朝"/>
    </w:rPr>
  </w:style>
  <w:style w:type="paragraph" w:customStyle="1" w:styleId="enff7">
    <w:name w:val="付記（en）"/>
    <w:basedOn w:val="jaff7"/>
    <w:rsid w:val="00592687"/>
    <w:rPr>
      <w:rFonts w:ascii="Century" w:eastAsia="Century" w:hAnsi="Century" w:cs="Century"/>
    </w:rPr>
  </w:style>
  <w:style w:type="paragraph" w:customStyle="1" w:styleId="jaff8">
    <w:name w:val="様式名（ja）"/>
    <w:basedOn w:val="a"/>
    <w:rsid w:val="00592687"/>
    <w:pPr>
      <w:widowControl w:val="0"/>
      <w:ind w:left="439" w:hanging="219"/>
    </w:pPr>
    <w:rPr>
      <w:rFonts w:ascii="ＭＳ 明朝" w:eastAsia="ＭＳ 明朝" w:hAnsi="ＭＳ 明朝" w:cs="ＭＳ 明朝"/>
    </w:rPr>
  </w:style>
  <w:style w:type="paragraph" w:customStyle="1" w:styleId="enff8">
    <w:name w:val="様式名（en）"/>
    <w:basedOn w:val="jaff8"/>
    <w:rsid w:val="00592687"/>
    <w:rPr>
      <w:rFonts w:ascii="Century" w:eastAsia="Century" w:hAnsi="Century" w:cs="Century"/>
    </w:rPr>
  </w:style>
  <w:style w:type="paragraph" w:customStyle="1" w:styleId="jaff9">
    <w:name w:val="様式項目（ja）"/>
    <w:basedOn w:val="a"/>
    <w:rsid w:val="00592687"/>
    <w:pPr>
      <w:widowControl w:val="0"/>
      <w:ind w:left="221" w:firstLine="221"/>
    </w:pPr>
    <w:rPr>
      <w:rFonts w:ascii="ＭＳ 明朝" w:eastAsia="ＭＳ 明朝" w:hAnsi="ＭＳ 明朝" w:cs="ＭＳ 明朝"/>
    </w:rPr>
  </w:style>
  <w:style w:type="paragraph" w:customStyle="1" w:styleId="enff9">
    <w:name w:val="様式項目（en）"/>
    <w:basedOn w:val="jaff9"/>
    <w:rsid w:val="00592687"/>
    <w:rPr>
      <w:rFonts w:ascii="Century" w:eastAsia="Century" w:hAnsi="Century" w:cs="Century"/>
    </w:rPr>
  </w:style>
  <w:style w:type="table" w:customStyle="1" w:styleId="1">
    <w:name w:val="表1"/>
    <w:rsid w:val="00592687"/>
    <w:tblPr>
      <w:tblInd w:w="340" w:type="dxa"/>
      <w:tblCellMar>
        <w:top w:w="0" w:type="dxa"/>
        <w:left w:w="0" w:type="dxa"/>
        <w:bottom w:w="0" w:type="dxa"/>
        <w:right w:w="0" w:type="dxa"/>
      </w:tblCellMar>
    </w:tblPr>
  </w:style>
  <w:style w:type="numbering" w:customStyle="1" w:styleId="WW8Num1">
    <w:name w:val="WW8Num1"/>
    <w:rsid w:val="00592687"/>
    <w:pPr>
      <w:numPr>
        <w:numId w:val="2"/>
      </w:numPr>
    </w:pPr>
  </w:style>
  <w:style w:type="numbering" w:customStyle="1" w:styleId="WW8Num2">
    <w:name w:val="WW8Num2"/>
    <w:rsid w:val="00592687"/>
    <w:pPr>
      <w:numPr>
        <w:numId w:val="3"/>
      </w:numPr>
    </w:pPr>
  </w:style>
  <w:style w:type="numbering" w:customStyle="1" w:styleId="WW8Num3">
    <w:name w:val="WW8Num3"/>
    <w:rsid w:val="00592687"/>
    <w:pPr>
      <w:numPr>
        <w:numId w:val="4"/>
      </w:numPr>
    </w:pPr>
  </w:style>
  <w:style w:type="numbering" w:customStyle="1" w:styleId="WW8Num4">
    <w:name w:val="WW8Num4"/>
    <w:rsid w:val="00592687"/>
    <w:pPr>
      <w:numPr>
        <w:numId w:val="5"/>
      </w:numPr>
    </w:pPr>
  </w:style>
  <w:style w:type="numbering" w:customStyle="1" w:styleId="WW8Num5">
    <w:name w:val="WW8Num5"/>
    <w:rsid w:val="00592687"/>
    <w:pPr>
      <w:numPr>
        <w:numId w:val="6"/>
      </w:numPr>
    </w:pPr>
  </w:style>
  <w:style w:type="numbering" w:customStyle="1" w:styleId="WW8Num6">
    <w:name w:val="WW8Num6"/>
    <w:rsid w:val="00592687"/>
    <w:pPr>
      <w:numPr>
        <w:numId w:val="7"/>
      </w:numPr>
    </w:pPr>
  </w:style>
  <w:style w:type="numbering" w:customStyle="1" w:styleId="WW8Num7">
    <w:name w:val="WW8Num7"/>
    <w:rsid w:val="00592687"/>
    <w:pPr>
      <w:numPr>
        <w:numId w:val="8"/>
      </w:numPr>
    </w:pPr>
  </w:style>
  <w:style w:type="numbering" w:customStyle="1" w:styleId="WW8Num8">
    <w:name w:val="WW8Num8"/>
    <w:rsid w:val="00592687"/>
    <w:pPr>
      <w:numPr>
        <w:numId w:val="9"/>
      </w:numPr>
    </w:pPr>
  </w:style>
  <w:style w:type="numbering" w:customStyle="1" w:styleId="WW8Num9">
    <w:name w:val="WW8Num9"/>
    <w:rsid w:val="00592687"/>
    <w:pPr>
      <w:numPr>
        <w:numId w:val="10"/>
      </w:numPr>
    </w:pPr>
  </w:style>
  <w:style w:type="numbering" w:customStyle="1" w:styleId="WW8Num10">
    <w:name w:val="WW8Num10"/>
    <w:rsid w:val="00592687"/>
    <w:pPr>
      <w:numPr>
        <w:numId w:val="11"/>
      </w:numPr>
    </w:pPr>
  </w:style>
  <w:style w:type="numbering" w:customStyle="1" w:styleId="WW8Num11">
    <w:name w:val="WW8Num11"/>
    <w:rsid w:val="00592687"/>
    <w:pPr>
      <w:numPr>
        <w:numId w:val="12"/>
      </w:numPr>
    </w:pPr>
  </w:style>
  <w:style w:type="numbering" w:customStyle="1" w:styleId="WW8Num12">
    <w:name w:val="WW8Num12"/>
    <w:rsid w:val="00592687"/>
    <w:pPr>
      <w:numPr>
        <w:numId w:val="13"/>
      </w:numPr>
    </w:pPr>
  </w:style>
  <w:style w:type="paragraph" w:styleId="a4">
    <w:name w:val="header"/>
    <w:basedOn w:val="a"/>
    <w:link w:val="a5"/>
    <w:uiPriority w:val="99"/>
    <w:unhideWhenUsed/>
    <w:rsid w:val="009F7A97"/>
    <w:pPr>
      <w:tabs>
        <w:tab w:val="center" w:pos="4252"/>
        <w:tab w:val="right" w:pos="8504"/>
      </w:tabs>
      <w:snapToGrid w:val="0"/>
    </w:pPr>
  </w:style>
  <w:style w:type="character" w:customStyle="1" w:styleId="a5">
    <w:name w:val="ヘッダー (文字)"/>
    <w:basedOn w:val="a0"/>
    <w:link w:val="a4"/>
    <w:uiPriority w:val="99"/>
    <w:rsid w:val="009F7A9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4681</Words>
  <Characters>26687</Characters>
  <Application>Microsoft Office Word</Application>
  <DocSecurity>0</DocSecurity>
  <Lines>222</Lines>
  <Paragraphs>62</Paragraphs>
  <ScaleCrop>false</ScaleCrop>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2022-01-04T08:42:00Z</dcterms:created>
  <dcterms:modified xsi:type="dcterms:W3CDTF">2022-01-04T08:42:00Z</dcterms:modified>
</cp:coreProperties>
</file>