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CE6" w:rsidRDefault="002F6E0E">
      <w:pPr>
        <w:pStyle w:val="en"/>
      </w:pPr>
      <w:r>
        <w:t>Regulation for Enforcement of the Household Goods Quality Labeling Act</w:t>
      </w:r>
    </w:p>
    <w:p w:rsidR="00050CE6" w:rsidRDefault="00050CE6"/>
    <w:p w:rsidR="00050CE6" w:rsidRDefault="002F6E0E">
      <w:pPr>
        <w:pStyle w:val="enf"/>
      </w:pPr>
      <w:r>
        <w:t>(Order of the Ministry of International Trade and Industry No. 106 of September 29, 1962)</w:t>
      </w:r>
    </w:p>
    <w:p w:rsidR="00050CE6" w:rsidRDefault="00050CE6"/>
    <w:p w:rsidR="00050CE6" w:rsidRDefault="002F6E0E">
      <w:pPr>
        <w:pStyle w:val="ene"/>
      </w:pPr>
      <w:r>
        <w:t xml:space="preserve">For the purpose of enforcing the Household Goods Quality Labeling Act (Act No. 104 of </w:t>
      </w:r>
      <w:r>
        <w:t>1962), the Regulation for Enforcement of the Household Goods Quality Labeling Act is established as follows.</w:t>
      </w:r>
    </w:p>
    <w:p w:rsidR="00050CE6" w:rsidRDefault="00050CE6"/>
    <w:p w:rsidR="00050CE6" w:rsidRDefault="002F6E0E">
      <w:pPr>
        <w:pStyle w:val="ena"/>
      </w:pPr>
      <w:r>
        <w:t>(Household Goods)</w:t>
      </w:r>
    </w:p>
    <w:p w:rsidR="00050CE6" w:rsidRDefault="002F6E0E">
      <w:pPr>
        <w:pStyle w:val="enf3"/>
      </w:pPr>
      <w:r>
        <w:t>Article 1  (1) The fibers that are specified by Cabinet Office Order in item (i), 1. of the appended table of the Order for Enfo</w:t>
      </w:r>
      <w:r>
        <w:t>rcement of the Household Goods Quality Labeling Act (Cabinet Order No. 390 of 1962, hereinafter referred to as the "Order") are as follows:</w:t>
      </w:r>
    </w:p>
    <w:p w:rsidR="00050CE6" w:rsidRDefault="002F6E0E">
      <w:pPr>
        <w:pStyle w:val="enf6"/>
      </w:pPr>
      <w:r>
        <w:t>(i) polyethylene synthetic fiber;</w:t>
      </w:r>
    </w:p>
    <w:p w:rsidR="00050CE6" w:rsidRDefault="002F6E0E">
      <w:pPr>
        <w:pStyle w:val="enf6"/>
      </w:pPr>
      <w:r>
        <w:t>(ii) vinylon fiber;</w:t>
      </w:r>
    </w:p>
    <w:p w:rsidR="00050CE6" w:rsidRDefault="002F6E0E">
      <w:pPr>
        <w:pStyle w:val="enf6"/>
      </w:pPr>
      <w:r>
        <w:t>(iii) polyvinylidene chloride synthetic fiber;</w:t>
      </w:r>
    </w:p>
    <w:p w:rsidR="00050CE6" w:rsidRDefault="002F6E0E">
      <w:pPr>
        <w:pStyle w:val="enf6"/>
      </w:pPr>
      <w:r>
        <w:t xml:space="preserve">(iv) polyvinyl </w:t>
      </w:r>
      <w:r>
        <w:t>chloride synthetic fiber;</w:t>
      </w:r>
    </w:p>
    <w:p w:rsidR="00050CE6" w:rsidRDefault="002F6E0E">
      <w:pPr>
        <w:pStyle w:val="enf6"/>
      </w:pPr>
      <w:r>
        <w:t>(v) polyacrylonitrile synthetic fiber;</w:t>
      </w:r>
    </w:p>
    <w:p w:rsidR="00050CE6" w:rsidRDefault="002F6E0E">
      <w:pPr>
        <w:pStyle w:val="enf6"/>
      </w:pPr>
      <w:r>
        <w:t>(vi) polypropylene synthetic fiber;</w:t>
      </w:r>
    </w:p>
    <w:p w:rsidR="00050CE6" w:rsidRDefault="002F6E0E">
      <w:pPr>
        <w:pStyle w:val="enf4"/>
      </w:pPr>
      <w:r>
        <w:t>(2) The clothes that are specified by Cabinet Office Order in item (i), 3., i. of the appended table of the Order are as follows:</w:t>
      </w:r>
    </w:p>
    <w:p w:rsidR="00050CE6" w:rsidRDefault="002F6E0E">
      <w:pPr>
        <w:pStyle w:val="enf6"/>
      </w:pPr>
      <w:r>
        <w:t>(i) obi;</w:t>
      </w:r>
    </w:p>
    <w:p w:rsidR="00050CE6" w:rsidRDefault="002F6E0E">
      <w:pPr>
        <w:pStyle w:val="enf6"/>
      </w:pPr>
      <w:r>
        <w:t>(ii) tabi socks;</w:t>
      </w:r>
    </w:p>
    <w:p w:rsidR="00050CE6" w:rsidRDefault="002F6E0E">
      <w:pPr>
        <w:pStyle w:val="enf6"/>
      </w:pPr>
      <w:r>
        <w:t>(iii) hats (limited to those whose whole or a part of outer fabric is manufactured by using the yarn set forth in item (i), 1. of appended table of the Order).</w:t>
      </w:r>
    </w:p>
    <w:p w:rsidR="00050CE6" w:rsidRDefault="002F6E0E">
      <w:pPr>
        <w:pStyle w:val="enf4"/>
      </w:pPr>
      <w:r>
        <w:t>(3) The apparel accessories specified by Cabinet Office Order in item (i), 3., ii. of the appen</w:t>
      </w:r>
      <w:r>
        <w:t>ded table of the Order are as follows:</w:t>
      </w:r>
    </w:p>
    <w:p w:rsidR="00050CE6" w:rsidRDefault="002F6E0E">
      <w:pPr>
        <w:pStyle w:val="enf6"/>
      </w:pPr>
      <w:r>
        <w:t>(i) necktie;</w:t>
      </w:r>
    </w:p>
    <w:p w:rsidR="00050CE6" w:rsidRDefault="002F6E0E">
      <w:pPr>
        <w:pStyle w:val="enf6"/>
      </w:pPr>
      <w:r>
        <w:t>(ii) haori coat straps;</w:t>
      </w:r>
    </w:p>
    <w:p w:rsidR="00050CE6" w:rsidRDefault="002F6E0E">
      <w:pPr>
        <w:pStyle w:val="enf6"/>
      </w:pPr>
      <w:r>
        <w:t>(iii) obi band.</w:t>
      </w:r>
    </w:p>
    <w:p w:rsidR="00050CE6" w:rsidRDefault="002F6E0E">
      <w:pPr>
        <w:pStyle w:val="enf4"/>
      </w:pPr>
      <w:r>
        <w:t>(4) The household textile goods specified by Cabinet Office Order in item (i), 3., iii. of the appended table of the Order are as follows:</w:t>
      </w:r>
    </w:p>
    <w:p w:rsidR="00050CE6" w:rsidRDefault="002F6E0E">
      <w:pPr>
        <w:pStyle w:val="enf6"/>
      </w:pPr>
      <w:r>
        <w:t>(i) bedspread;</w:t>
      </w:r>
    </w:p>
    <w:p w:rsidR="00050CE6" w:rsidRDefault="002F6E0E">
      <w:pPr>
        <w:pStyle w:val="enf6"/>
      </w:pPr>
      <w:r>
        <w:t>(ii) blank</w:t>
      </w:r>
      <w:r>
        <w:t>et cover;</w:t>
      </w:r>
    </w:p>
    <w:p w:rsidR="00050CE6" w:rsidRDefault="002F6E0E">
      <w:pPr>
        <w:pStyle w:val="enf6"/>
      </w:pPr>
      <w:r>
        <w:t>(iii) pillow cover.</w:t>
      </w:r>
    </w:p>
    <w:p w:rsidR="00050CE6" w:rsidRDefault="002F6E0E">
      <w:pPr>
        <w:pStyle w:val="enf4"/>
      </w:pPr>
      <w:r>
        <w:t>(5) The household equipment and utensils specified by Cabinet Office Order in item (ii), 5. of the appended table of the Order are as follows:</w:t>
      </w:r>
    </w:p>
    <w:p w:rsidR="00050CE6" w:rsidRDefault="002F6E0E">
      <w:pPr>
        <w:pStyle w:val="enf6"/>
      </w:pPr>
      <w:r>
        <w:lastRenderedPageBreak/>
        <w:t>(i) portable toilet pots;</w:t>
      </w:r>
    </w:p>
    <w:p w:rsidR="00050CE6" w:rsidRDefault="002F6E0E">
      <w:pPr>
        <w:pStyle w:val="enf6"/>
      </w:pPr>
      <w:r>
        <w:t>(ii) toilet utensils (excluding fixed type).</w:t>
      </w:r>
    </w:p>
    <w:p w:rsidR="00050CE6" w:rsidRDefault="002F6E0E">
      <w:pPr>
        <w:pStyle w:val="enf4"/>
      </w:pPr>
      <w:r>
        <w:t xml:space="preserve">(6) The </w:t>
      </w:r>
      <w:r>
        <w:t>electric heating appliances for kitchen specified by Cabinet Office Order in item (iii), 5. of the appended table of the Order are as follows:</w:t>
      </w:r>
    </w:p>
    <w:p w:rsidR="00050CE6" w:rsidRDefault="002F6E0E">
      <w:pPr>
        <w:pStyle w:val="enf6"/>
      </w:pPr>
      <w:r>
        <w:t>(i) electric hot water dispensers;</w:t>
      </w:r>
    </w:p>
    <w:p w:rsidR="00050CE6" w:rsidRDefault="002F6E0E">
      <w:pPr>
        <w:pStyle w:val="enf6"/>
      </w:pPr>
      <w:r>
        <w:t>(ii) electric griddles;</w:t>
      </w:r>
    </w:p>
    <w:p w:rsidR="00050CE6" w:rsidRDefault="002F6E0E">
      <w:pPr>
        <w:pStyle w:val="enf6"/>
      </w:pPr>
      <w:r>
        <w:t>(iii) electric roasters.</w:t>
      </w:r>
    </w:p>
    <w:p w:rsidR="00050CE6" w:rsidRDefault="002F6E0E">
      <w:pPr>
        <w:pStyle w:val="enf4"/>
      </w:pPr>
      <w:r>
        <w:t>(7) The paper specified by Ca</w:t>
      </w:r>
      <w:r>
        <w:t>binet Office Order in item (iv), 1. of the appended table of the Order is shoji paper.</w:t>
      </w:r>
    </w:p>
    <w:p w:rsidR="00050CE6" w:rsidRDefault="002F6E0E">
      <w:pPr>
        <w:pStyle w:val="enf4"/>
      </w:pPr>
      <w:r>
        <w:t>(8) The tableware and kitchen utensils manufactured by using materials specified by Cabinet Office Order in item (iv), 8. of the appended table of the Order are as follo</w:t>
      </w:r>
      <w:r>
        <w:t>ws:</w:t>
      </w:r>
    </w:p>
    <w:p w:rsidR="00050CE6" w:rsidRDefault="002F6E0E">
      <w:pPr>
        <w:pStyle w:val="enf6"/>
      </w:pPr>
      <w:r>
        <w:t>(i) tableware and kitchen utensils manufactured by using synthetic rubber in the whole or a part of the product (excluding those manufactured by using synthetic rubber only in the packing or cleat);</w:t>
      </w:r>
    </w:p>
    <w:p w:rsidR="00050CE6" w:rsidRDefault="002F6E0E">
      <w:pPr>
        <w:pStyle w:val="enf6"/>
      </w:pPr>
      <w:r>
        <w:t>(ii) tableware and kitchen utensils manufactured by u</w:t>
      </w:r>
      <w:r>
        <w:t>sing tempered glass in the whole or a part of the product;</w:t>
      </w:r>
    </w:p>
    <w:p w:rsidR="00050CE6" w:rsidRDefault="002F6E0E">
      <w:pPr>
        <w:pStyle w:val="enf6"/>
      </w:pPr>
      <w:r>
        <w:t>(iii) tableware and kitchen utensils manufactured by using borosilicate glass or glass ceramics in the whole or a part of the product;</w:t>
      </w:r>
    </w:p>
    <w:p w:rsidR="00050CE6" w:rsidRDefault="002F6E0E">
      <w:pPr>
        <w:pStyle w:val="enf6"/>
      </w:pPr>
      <w:r>
        <w:t>(iv) tableware and kitchen utensils painted with Japanese lacq</w:t>
      </w:r>
      <w:r>
        <w:t>uer or cashew nut resin coating (limited to those made of wood and synthetic resins).</w:t>
      </w:r>
    </w:p>
    <w:p w:rsidR="00050CE6" w:rsidRDefault="002F6E0E">
      <w:pPr>
        <w:pStyle w:val="enf4"/>
      </w:pPr>
      <w:r>
        <w:t>(9) The thermos bottles specified by Cabinet Office Order in item (iv), 9. of the appended table of the Order are as follows:</w:t>
      </w:r>
    </w:p>
    <w:p w:rsidR="00050CE6" w:rsidRDefault="002F6E0E">
      <w:pPr>
        <w:pStyle w:val="enf6"/>
      </w:pPr>
      <w:r>
        <w:t>(i) thermos bottles with double-walled glass</w:t>
      </w:r>
      <w:r>
        <w:t xml:space="preserve"> inner vacuum bottle for table use;</w:t>
      </w:r>
    </w:p>
    <w:p w:rsidR="00050CE6" w:rsidRDefault="002F6E0E">
      <w:pPr>
        <w:pStyle w:val="enf6"/>
      </w:pPr>
      <w:r>
        <w:t>(ii) thermos bottles with double-walled stainless steel inner vacuum bottle mainly for drinking water to be taken outdoors;</w:t>
      </w:r>
    </w:p>
    <w:p w:rsidR="00050CE6" w:rsidRDefault="002F6E0E">
      <w:pPr>
        <w:pStyle w:val="enf6"/>
      </w:pPr>
      <w:r>
        <w:t>(iii) thermos bottles with double-walled stainless steel inner vacuum bottle for table use.</w:t>
      </w:r>
    </w:p>
    <w:p w:rsidR="00050CE6" w:rsidRDefault="002F6E0E">
      <w:pPr>
        <w:pStyle w:val="enf4"/>
      </w:pPr>
      <w:r>
        <w:t>(10)</w:t>
      </w:r>
      <w:r>
        <w:t xml:space="preserve"> The materials specified by Cabinet Office Order in item (iv), 11. of the appended table of the Order are as follows:</w:t>
      </w:r>
    </w:p>
    <w:p w:rsidR="00050CE6" w:rsidRDefault="002F6E0E">
      <w:pPr>
        <w:pStyle w:val="enf6"/>
      </w:pPr>
      <w:r>
        <w:t>(i) cowhide;</w:t>
      </w:r>
    </w:p>
    <w:p w:rsidR="00050CE6" w:rsidRDefault="002F6E0E">
      <w:pPr>
        <w:pStyle w:val="enf6"/>
      </w:pPr>
      <w:r>
        <w:t>(ii) horse leather;</w:t>
      </w:r>
    </w:p>
    <w:p w:rsidR="00050CE6" w:rsidRDefault="002F6E0E">
      <w:pPr>
        <w:pStyle w:val="enf6"/>
      </w:pPr>
      <w:r>
        <w:t>(iii) pigskin;</w:t>
      </w:r>
    </w:p>
    <w:p w:rsidR="00050CE6" w:rsidRDefault="002F6E0E">
      <w:pPr>
        <w:pStyle w:val="enf6"/>
      </w:pPr>
      <w:r>
        <w:t>(iv) sheepskin;</w:t>
      </w:r>
    </w:p>
    <w:p w:rsidR="00050CE6" w:rsidRDefault="002F6E0E">
      <w:pPr>
        <w:pStyle w:val="enf6"/>
      </w:pPr>
      <w:r>
        <w:t>(v) goatskin.</w:t>
      </w:r>
    </w:p>
    <w:p w:rsidR="00050CE6" w:rsidRDefault="002F6E0E">
      <w:pPr>
        <w:pStyle w:val="enf4"/>
      </w:pPr>
      <w:r>
        <w:t>(11) The shoes specified by Cabinet Office Order in item (iv</w:t>
      </w:r>
      <w:r>
        <w:t>), 13. of the appended table of the Order are those that use synthetic leather on the instep and either rubber, synthetic resin or a mixture of the same on the soles, with the upper leather and sole bonded together by adhesive.</w:t>
      </w:r>
    </w:p>
    <w:p w:rsidR="00050CE6" w:rsidRDefault="002F6E0E">
      <w:pPr>
        <w:pStyle w:val="enf4"/>
      </w:pPr>
      <w:r>
        <w:t>(12) The mattresses specifie</w:t>
      </w:r>
      <w:r>
        <w:t>d by Cabinet Office Order in item (iv), 17. of the appended table of the Order are as follows:</w:t>
      </w:r>
    </w:p>
    <w:p w:rsidR="00050CE6" w:rsidRDefault="002F6E0E">
      <w:pPr>
        <w:pStyle w:val="enf6"/>
      </w:pPr>
      <w:r>
        <w:lastRenderedPageBreak/>
        <w:t>(i) spring mattresses;</w:t>
      </w:r>
    </w:p>
    <w:p w:rsidR="00050CE6" w:rsidRDefault="002F6E0E">
      <w:pPr>
        <w:pStyle w:val="enf6"/>
      </w:pPr>
      <w:r>
        <w:t>(ii) urethane foam mattresses (limited to those with maximum thickness of urethane foam part 50 millimeters or over).</w:t>
      </w:r>
    </w:p>
    <w:p w:rsidR="00050CE6" w:rsidRDefault="002F6E0E">
      <w:pPr>
        <w:pStyle w:val="enf4"/>
      </w:pPr>
      <w:r>
        <w:t xml:space="preserve">(13) The soap, </w:t>
      </w:r>
      <w:r>
        <w:t>household synthetic detergents, and household chemical products specified by Cabinet Office Order in item (iv), 20. of the appended table of the Order are household or furniture waxes.</w:t>
      </w:r>
    </w:p>
    <w:p w:rsidR="00050CE6" w:rsidRDefault="00050CE6"/>
    <w:p w:rsidR="00050CE6" w:rsidRDefault="002F6E0E">
      <w:pPr>
        <w:pStyle w:val="ena"/>
      </w:pPr>
      <w:r>
        <w:t xml:space="preserve">(Consultation with the Secretary General of the Consumer </w:t>
      </w:r>
      <w:r>
        <w:t>Affairs Agency)</w:t>
      </w:r>
    </w:p>
    <w:p w:rsidR="00050CE6" w:rsidRDefault="002F6E0E">
      <w:pPr>
        <w:pStyle w:val="enf3"/>
      </w:pPr>
      <w:r>
        <w:t>Article 2  If prefectural governors or city mayors intend to consult with the Secretary General of the Consumer Affairs Agency pursuant to the provisions of Article 4, paragraph (5) of the Order, prefectural governors or city mayors must se</w:t>
      </w:r>
      <w:r>
        <w:t>nd a written consultation form containing the following matters to the Secretary General of the Consumer Affairs Agency. In this case, city mayors must send the written consultation form to the Secretary General of the Consumer Affairs Agency through the g</w:t>
      </w:r>
      <w:r>
        <w:t>overnors of the prefectures to which their cities belong:</w:t>
      </w:r>
    </w:p>
    <w:p w:rsidR="00050CE6" w:rsidRDefault="002F6E0E">
      <w:pPr>
        <w:pStyle w:val="enf6"/>
      </w:pPr>
      <w:r>
        <w:t>(i) name and address of the seller subject to the public announcement, the location of its head office, or the location of its principal offices;</w:t>
      </w:r>
    </w:p>
    <w:p w:rsidR="00050CE6" w:rsidRDefault="002F6E0E">
      <w:pPr>
        <w:pStyle w:val="enf6"/>
      </w:pPr>
      <w:r>
        <w:t>(ii) details of public announcement;</w:t>
      </w:r>
    </w:p>
    <w:p w:rsidR="00050CE6" w:rsidRDefault="002F6E0E">
      <w:pPr>
        <w:pStyle w:val="enf6"/>
      </w:pPr>
      <w:r>
        <w:t>(iii) date of s</w:t>
      </w:r>
      <w:r>
        <w:t>cheduled public announcement;</w:t>
      </w:r>
    </w:p>
    <w:p w:rsidR="00050CE6" w:rsidRDefault="002F6E0E">
      <w:pPr>
        <w:pStyle w:val="enf6"/>
      </w:pPr>
      <w:r>
        <w:t>(iv) reason and circumstances as to why public announcement is necessary;</w:t>
      </w:r>
    </w:p>
    <w:p w:rsidR="00050CE6" w:rsidRDefault="002F6E0E">
      <w:pPr>
        <w:pStyle w:val="enf6"/>
      </w:pPr>
      <w:r>
        <w:t>(v) other matters for reference.</w:t>
      </w:r>
    </w:p>
    <w:p w:rsidR="00050CE6" w:rsidRDefault="00050CE6"/>
    <w:p w:rsidR="00050CE6" w:rsidRDefault="002F6E0E">
      <w:pPr>
        <w:pStyle w:val="ena"/>
      </w:pPr>
      <w:r>
        <w:t>(Prefectural Governors or City Mayors' Reports to the Secretary General of the Consumer Affairs Agency)</w:t>
      </w:r>
    </w:p>
    <w:p w:rsidR="00050CE6" w:rsidRDefault="002F6E0E">
      <w:pPr>
        <w:pStyle w:val="enf3"/>
      </w:pPr>
      <w:r>
        <w:t xml:space="preserve">Article 3  If </w:t>
      </w:r>
      <w:r>
        <w:t xml:space="preserve">prefectural governors or city mayors have given instructions pursuant to Article 4, paragraph (1) of the Household Goods Quality Labeling Act (Act No. 104 of 1962; hereinafter referred to as the "Act"), they must submit, without delay, a report containing </w:t>
      </w:r>
      <w:r>
        <w:t>the following matters to the Secretary General of the Consumers Affairs Agency pursuant to the provisions of Article 4, paragraph (6) of the Order. In this case, city mayors must submit the report to the Secretary General of the Consumer Affairs Agency thr</w:t>
      </w:r>
      <w:r>
        <w:t>ough the governors of the prefectures to which their cities belong:</w:t>
      </w:r>
    </w:p>
    <w:p w:rsidR="00050CE6" w:rsidRDefault="002F6E0E">
      <w:pPr>
        <w:pStyle w:val="enf6"/>
      </w:pPr>
      <w:r>
        <w:t>(i) name and address of the seller to whom instructions are given, the location of its head office, or the location of its principal offices;</w:t>
      </w:r>
    </w:p>
    <w:p w:rsidR="00050CE6" w:rsidRDefault="002F6E0E">
      <w:pPr>
        <w:pStyle w:val="enf6"/>
      </w:pPr>
      <w:r>
        <w:t>(ii) details of instructions;</w:t>
      </w:r>
    </w:p>
    <w:p w:rsidR="00050CE6" w:rsidRDefault="002F6E0E">
      <w:pPr>
        <w:pStyle w:val="enf6"/>
      </w:pPr>
      <w:r>
        <w:t>(iii) date on wh</w:t>
      </w:r>
      <w:r>
        <w:t>ich instructions are given;</w:t>
      </w:r>
    </w:p>
    <w:p w:rsidR="00050CE6" w:rsidRDefault="002F6E0E">
      <w:pPr>
        <w:pStyle w:val="enf6"/>
      </w:pPr>
      <w:r>
        <w:t>(iv) reason and circumstances that led to giving instructions;</w:t>
      </w:r>
    </w:p>
    <w:p w:rsidR="00050CE6" w:rsidRDefault="002F6E0E">
      <w:pPr>
        <w:pStyle w:val="enf6"/>
      </w:pPr>
      <w:r>
        <w:t>(v) Other matters for reference.</w:t>
      </w:r>
    </w:p>
    <w:p w:rsidR="00050CE6" w:rsidRDefault="00050CE6"/>
    <w:p w:rsidR="00050CE6" w:rsidRDefault="002F6E0E">
      <w:pPr>
        <w:pStyle w:val="enf3"/>
      </w:pPr>
      <w:r>
        <w:t>Article 4  If prefectural governors or city mayors have requested reports pursuant to Article 19, paragraph (2) of the Act, they mu</w:t>
      </w:r>
      <w:r>
        <w:t>st, without delay, submit a report containing the following matters to the Secretary General of the Consumer Affairs Agency pursuant to the provisions of Article 4, paragraph (6) of the Order. In this case, the city mayors must submit the report to the Sec</w:t>
      </w:r>
      <w:r>
        <w:t>retary General of the Consumer Affairs Agency through the governors of the prefectures to which their cities belong:</w:t>
      </w:r>
    </w:p>
    <w:p w:rsidR="00050CE6" w:rsidRDefault="002F6E0E">
      <w:pPr>
        <w:pStyle w:val="enf6"/>
      </w:pPr>
      <w:r>
        <w:t>(i) name and address of the seller from whom reports are requested, the location of its head office, or the location of its principal offic</w:t>
      </w:r>
      <w:r>
        <w:t>es;</w:t>
      </w:r>
    </w:p>
    <w:p w:rsidR="00050CE6" w:rsidRDefault="002F6E0E">
      <w:pPr>
        <w:pStyle w:val="enf6"/>
      </w:pPr>
      <w:r>
        <w:t>(ii) details of reports;</w:t>
      </w:r>
    </w:p>
    <w:p w:rsidR="00050CE6" w:rsidRDefault="002F6E0E">
      <w:pPr>
        <w:pStyle w:val="enf6"/>
      </w:pPr>
      <w:r>
        <w:t>(iii) date on which reports are requested;</w:t>
      </w:r>
    </w:p>
    <w:p w:rsidR="00050CE6" w:rsidRDefault="002F6E0E">
      <w:pPr>
        <w:pStyle w:val="enf6"/>
      </w:pPr>
      <w:r>
        <w:t>(iv) reason and circumstances that led to the request of reports;</w:t>
      </w:r>
    </w:p>
    <w:p w:rsidR="00050CE6" w:rsidRDefault="002F6E0E">
      <w:pPr>
        <w:pStyle w:val="enf6"/>
      </w:pPr>
      <w:r>
        <w:t>(v) other matters for reference.</w:t>
      </w:r>
    </w:p>
    <w:p w:rsidR="00050CE6" w:rsidRDefault="00050CE6"/>
    <w:p w:rsidR="00050CE6" w:rsidRDefault="002F6E0E">
      <w:pPr>
        <w:pStyle w:val="enf3"/>
      </w:pPr>
      <w:r>
        <w:t>Article 5  (1) If prefectural governors or city mayors have caused the officials fro</w:t>
      </w:r>
      <w:r>
        <w:t>m their office conduct an on-site inspection pursuant to Article 19, paragraph (2) of the Act, they must compile the results of such inspections conducted during the fiscal year and submit reports in Form No. 1 to the Secretary General of the Consumer Affa</w:t>
      </w:r>
      <w:r>
        <w:t>irs Agency on or before April 30 of the following fiscal year pursuant to the provisions of Article 4, paragraph (6) of the Order. In this case, the city mayors must submit the reports to the Secretary General of the Consumer Affairs Agency through the gov</w:t>
      </w:r>
      <w:r>
        <w:t>ernors of the prefectures to which their cities belong.</w:t>
      </w:r>
    </w:p>
    <w:p w:rsidR="00050CE6" w:rsidRDefault="002F6E0E">
      <w:pPr>
        <w:pStyle w:val="enf4"/>
      </w:pPr>
      <w:r>
        <w:t>(2) If prefectural governors or city mayors have caused the officials from their office conduct on-site inspections pursuant to Article 19, paragraph (2) of the Act and finds that there is a fact in a</w:t>
      </w:r>
      <w:r>
        <w:t xml:space="preserve"> violation of the laws and regulations, notwithstanding the provisions of the preceding paragraph, they must submit a report in Form No. 2 to the Secretary General of the Consumer Affairs Agency without delay. In this case, city mayors must submit the repo</w:t>
      </w:r>
      <w:r>
        <w:t>rt to the Secretary General of the Consumer Affairs Agency through the governors of the prefectures to which their cities belong.</w:t>
      </w:r>
    </w:p>
    <w:p w:rsidR="00050CE6" w:rsidRDefault="00050CE6"/>
    <w:p w:rsidR="00050CE6" w:rsidRDefault="002F6E0E">
      <w:pPr>
        <w:pStyle w:val="en2"/>
      </w:pPr>
      <w:r>
        <w:t>Supplementary Provisions  [Extract]</w:t>
      </w:r>
    </w:p>
    <w:p w:rsidR="00050CE6" w:rsidRDefault="00050CE6"/>
    <w:p w:rsidR="00050CE6" w:rsidRDefault="002F6E0E">
      <w:pPr>
        <w:pStyle w:val="enf4"/>
      </w:pPr>
      <w:r>
        <w:t xml:space="preserve">(1) This Ministerial Order comes into effect as of the day the Act comes into </w:t>
      </w:r>
      <w:r>
        <w:t>effect (October 1, 1962).</w:t>
      </w:r>
    </w:p>
    <w:p w:rsidR="00050CE6" w:rsidRDefault="002F6E0E">
      <w:pPr>
        <w:pStyle w:val="enf4"/>
      </w:pPr>
      <w:r>
        <w:t>(2) Regulation for Enforcement of the Textile Goods Quality Labeling Act (Order of the Ministry of International Trade and Industry No. 58 of 1955) is abolished.</w:t>
      </w:r>
    </w:p>
    <w:p w:rsidR="00050CE6" w:rsidRDefault="00050CE6"/>
    <w:p w:rsidR="00050CE6" w:rsidRDefault="002F6E0E">
      <w:pPr>
        <w:pStyle w:val="en2"/>
      </w:pPr>
      <w:r>
        <w:t>Supplementary Provisions  [Order of the Ministry of International T</w:t>
      </w:r>
      <w:r>
        <w:t>rade and Industry No. 122 of December 24, 1999]</w:t>
      </w:r>
    </w:p>
    <w:p w:rsidR="00050CE6" w:rsidRDefault="00050CE6"/>
    <w:p w:rsidR="00050CE6" w:rsidRDefault="002F6E0E">
      <w:pPr>
        <w:pStyle w:val="enf5"/>
      </w:pPr>
      <w:r>
        <w:t>This Ministerial Order comes into effect as of April 1, 2000.</w:t>
      </w:r>
    </w:p>
    <w:p w:rsidR="00050CE6" w:rsidRDefault="00050CE6"/>
    <w:p w:rsidR="00050CE6" w:rsidRDefault="002F6E0E">
      <w:pPr>
        <w:pStyle w:val="en2"/>
      </w:pPr>
      <w:r>
        <w:t>Supplementary Provisions  [Order of the Ministry of International Trade and Industry No. 181 of September 19, 2000]</w:t>
      </w:r>
    </w:p>
    <w:p w:rsidR="00050CE6" w:rsidRDefault="00050CE6"/>
    <w:p w:rsidR="00050CE6" w:rsidRDefault="002F6E0E">
      <w:pPr>
        <w:pStyle w:val="enf5"/>
      </w:pPr>
      <w:r>
        <w:t>This Ministerial Order come</w:t>
      </w:r>
      <w:r>
        <w:t>s into effect as of January 6, 2001.</w:t>
      </w:r>
    </w:p>
    <w:p w:rsidR="00050CE6" w:rsidRDefault="00050CE6"/>
    <w:p w:rsidR="00050CE6" w:rsidRDefault="002F6E0E">
      <w:pPr>
        <w:pStyle w:val="en2"/>
      </w:pPr>
      <w:r>
        <w:t>Supplementary Provisions  [Order of the Ministry of Economy, Trade and Industry No. 98 of March 29, 2001]</w:t>
      </w:r>
    </w:p>
    <w:p w:rsidR="00050CE6" w:rsidRDefault="00050CE6"/>
    <w:p w:rsidR="00050CE6" w:rsidRDefault="002F6E0E">
      <w:pPr>
        <w:pStyle w:val="enf5"/>
      </w:pPr>
      <w:r>
        <w:t>This Ministerial Order comes into effect as of April 1, 2001.</w:t>
      </w:r>
    </w:p>
    <w:p w:rsidR="00050CE6" w:rsidRDefault="00050CE6"/>
    <w:p w:rsidR="00050CE6" w:rsidRDefault="002F6E0E">
      <w:pPr>
        <w:pStyle w:val="en2"/>
      </w:pPr>
      <w:r>
        <w:t xml:space="preserve">Supplementary Provisions  [Cabinet Office Order </w:t>
      </w:r>
      <w:r>
        <w:t>No. 49 of August 28, 2009]</w:t>
      </w:r>
    </w:p>
    <w:p w:rsidR="00050CE6" w:rsidRDefault="00050CE6"/>
    <w:p w:rsidR="00050CE6" w:rsidRDefault="002F6E0E">
      <w:pPr>
        <w:pStyle w:val="enf5"/>
      </w:pPr>
      <w:r>
        <w:t>This Cabinet Office Order comes into effect as of the day the Act Establishing the Consumer Affairs Agency and the Consumer Commission (Act. No. 48 of 2009) comes into effect (September 1, 2009).</w:t>
      </w:r>
    </w:p>
    <w:p w:rsidR="00050CE6" w:rsidRDefault="00050CE6"/>
    <w:p w:rsidR="00050CE6" w:rsidRDefault="002F6E0E">
      <w:pPr>
        <w:pStyle w:val="en2"/>
      </w:pPr>
      <w:r>
        <w:t>Supplementary Provisions  [Cabi</w:t>
      </w:r>
      <w:r>
        <w:t>net Office Order No. 71 of December 26, 2011]</w:t>
      </w:r>
    </w:p>
    <w:p w:rsidR="00050CE6" w:rsidRDefault="00050CE6"/>
    <w:p w:rsidR="00050CE6" w:rsidRDefault="002F6E0E">
      <w:pPr>
        <w:pStyle w:val="enf5"/>
      </w:pPr>
      <w:r>
        <w:t>This Cabinet Office Order comes into effect as of April 1, 2012.</w:t>
      </w:r>
    </w:p>
    <w:p w:rsidR="00050CE6" w:rsidRDefault="00050CE6"/>
    <w:p w:rsidR="00050CE6" w:rsidRDefault="002F6E0E">
      <w:pPr>
        <w:pStyle w:val="en2"/>
      </w:pPr>
      <w:r>
        <w:t>Supplementary Provisions  [Cabinet Office Order No. 12 of March 18, 2016]</w:t>
      </w:r>
    </w:p>
    <w:p w:rsidR="00050CE6" w:rsidRDefault="00050CE6"/>
    <w:p w:rsidR="00050CE6" w:rsidRDefault="002F6E0E">
      <w:pPr>
        <w:pStyle w:val="enf5"/>
      </w:pPr>
      <w:r>
        <w:t xml:space="preserve">This Cabinet Office Order comes into effect as of the date on which </w:t>
      </w:r>
      <w:r>
        <w:t>the Cabinet Order to Partially Revise the Order for Enforcement of the Household Goods Quality Labeling Act (Cabinet Order No. 69 of 2016) comes into effect (April 1, 2016).</w:t>
      </w:r>
    </w:p>
    <w:p w:rsidR="00050CE6" w:rsidRDefault="00050CE6"/>
    <w:p w:rsidR="00050CE6" w:rsidRDefault="002F6E0E">
      <w:pPr>
        <w:pStyle w:val="en2"/>
      </w:pPr>
      <w:r>
        <w:t>Supplementary Provisions  [Cabinet Office Order No. 10 of March 30, 2017]</w:t>
      </w:r>
    </w:p>
    <w:p w:rsidR="00050CE6" w:rsidRDefault="00050CE6"/>
    <w:p w:rsidR="00050CE6" w:rsidRDefault="002F6E0E">
      <w:pPr>
        <w:pStyle w:val="ena"/>
      </w:pPr>
      <w:r>
        <w:t>(Effective Date)</w:t>
      </w:r>
    </w:p>
    <w:p w:rsidR="00050CE6" w:rsidRDefault="002F6E0E">
      <w:pPr>
        <w:pStyle w:val="enf4"/>
      </w:pPr>
      <w:r>
        <w:t>(1) This Cabinet Office Order comes into effect as of April 1, 2017; provided, however, that the revised provisions of Article 1, paragraphs (2), (8) and (9) comes into effect as of April 1, 2018.</w:t>
      </w:r>
    </w:p>
    <w:p w:rsidR="00050CE6" w:rsidRDefault="00050CE6"/>
    <w:p w:rsidR="00050CE6" w:rsidRDefault="002F6E0E">
      <w:pPr>
        <w:pStyle w:val="ena"/>
      </w:pPr>
      <w:r>
        <w:t>(Transitional Measure)</w:t>
      </w:r>
    </w:p>
    <w:p w:rsidR="00050CE6" w:rsidRDefault="002F6E0E">
      <w:pPr>
        <w:pStyle w:val="enf4"/>
      </w:pPr>
      <w:r>
        <w:t>(2) Notwithstandin</w:t>
      </w:r>
      <w:r>
        <w:t xml:space="preserve">g the proviso of the preceding paragraph, with regard to labeling concerning the quality of household goods to be displayed up until March 31, 2018, among the household goods listed in the provisions of Article 1, paragraph (2), (iii), paragraph (8), (i), </w:t>
      </w:r>
      <w:r>
        <w:t xml:space="preserve">and paragraph (9), (iii) of the Regulation for Enforcement of the Household Goods Quality Labeling Act, amended by this Cabinet Office Order, the matters determined based on the provisions of Article 3, paragraph(1) of the Household Goods Quality Labeling </w:t>
      </w:r>
      <w:r>
        <w:t>Act (Act No. 104 of 1962) need not be displayed.</w:t>
      </w:r>
    </w:p>
    <w:p w:rsidR="00050CE6" w:rsidRDefault="00050CE6"/>
    <w:p w:rsidR="00050CE6" w:rsidRDefault="002F6E0E">
      <w:pPr>
        <w:pStyle w:val="enff8"/>
      </w:pPr>
      <w:r>
        <w:t>Form No. 1 Omitted</w:t>
      </w:r>
    </w:p>
    <w:p w:rsidR="00050CE6" w:rsidRDefault="00050CE6"/>
    <w:p w:rsidR="00050CE6" w:rsidRDefault="002F6E0E">
      <w:pPr>
        <w:pStyle w:val="enff8"/>
      </w:pPr>
      <w:r>
        <w:t>Form No. 2 Omitted</w:t>
      </w:r>
    </w:p>
    <w:sectPr w:rsidR="00050CE6" w:rsidSect="00050C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CE6" w:rsidRDefault="00050CE6" w:rsidP="00050CE6">
      <w:r>
        <w:separator/>
      </w:r>
    </w:p>
  </w:endnote>
  <w:endnote w:type="continuationSeparator" w:id="0">
    <w:p w:rsidR="00050CE6" w:rsidRDefault="00050CE6" w:rsidP="0005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CE6" w:rsidRDefault="00050CE6">
    <w:pPr>
      <w:pStyle w:val="a3"/>
    </w:pPr>
    <w:r>
      <w:fldChar w:fldCharType="begin"/>
    </w:r>
    <w:r>
      <w:instrText xml:space="preserve"> PAGE  \* MERGEFORMAT </w:instrText>
    </w:r>
    <w:r>
      <w:fldChar w:fldCharType="separate"/>
    </w:r>
    <w:r w:rsidR="002F6E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CE6" w:rsidRDefault="00050CE6" w:rsidP="00050CE6">
      <w:r>
        <w:separator/>
      </w:r>
    </w:p>
  </w:footnote>
  <w:footnote w:type="continuationSeparator" w:id="0">
    <w:p w:rsidR="00050CE6" w:rsidRDefault="00050CE6" w:rsidP="00050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16E"/>
    <w:multiLevelType w:val="multilevel"/>
    <w:tmpl w:val="18AE1D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71110F"/>
    <w:multiLevelType w:val="multilevel"/>
    <w:tmpl w:val="567A1E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5A3646"/>
    <w:multiLevelType w:val="multilevel"/>
    <w:tmpl w:val="38BAA4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475D42"/>
    <w:multiLevelType w:val="multilevel"/>
    <w:tmpl w:val="10280A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890502"/>
    <w:multiLevelType w:val="multilevel"/>
    <w:tmpl w:val="BCA0EF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A912AB"/>
    <w:multiLevelType w:val="multilevel"/>
    <w:tmpl w:val="A02060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6D47E5"/>
    <w:multiLevelType w:val="multilevel"/>
    <w:tmpl w:val="C0CE21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AF62A8"/>
    <w:multiLevelType w:val="multilevel"/>
    <w:tmpl w:val="3CB09C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E93E85"/>
    <w:multiLevelType w:val="multilevel"/>
    <w:tmpl w:val="66E623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695169"/>
    <w:multiLevelType w:val="multilevel"/>
    <w:tmpl w:val="C944AC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BA5924"/>
    <w:multiLevelType w:val="multilevel"/>
    <w:tmpl w:val="E1E826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FF70AB"/>
    <w:multiLevelType w:val="multilevel"/>
    <w:tmpl w:val="25E89C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9496F"/>
    <w:multiLevelType w:val="multilevel"/>
    <w:tmpl w:val="C05639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11"/>
  </w:num>
  <w:num w:numId="4">
    <w:abstractNumId w:val="6"/>
  </w:num>
  <w:num w:numId="5">
    <w:abstractNumId w:val="10"/>
  </w:num>
  <w:num w:numId="6">
    <w:abstractNumId w:val="5"/>
  </w:num>
  <w:num w:numId="7">
    <w:abstractNumId w:val="3"/>
  </w:num>
  <w:num w:numId="8">
    <w:abstractNumId w:val="12"/>
  </w:num>
  <w:num w:numId="9">
    <w:abstractNumId w:val="4"/>
  </w:num>
  <w:num w:numId="10">
    <w:abstractNumId w:val="0"/>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0CE6"/>
    <w:rsid w:val="00050CE6"/>
    <w:rsid w:val="002F6E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C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0C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0CE6"/>
    <w:rPr>
      <w:rFonts w:ascii="Century" w:eastAsia="Century" w:hAnsi="Century"/>
    </w:rPr>
  </w:style>
  <w:style w:type="paragraph" w:customStyle="1" w:styleId="ja0">
    <w:name w:val="款（ja）"/>
    <w:basedOn w:val="a"/>
    <w:rsid w:val="00050CE6"/>
    <w:pPr>
      <w:widowControl w:val="0"/>
      <w:ind w:left="1321" w:hanging="221"/>
    </w:pPr>
    <w:rPr>
      <w:rFonts w:ascii="ＭＳ 明朝" w:eastAsia="ＭＳ 明朝" w:hAnsi="ＭＳ 明朝" w:cs="ＭＳ 明朝"/>
      <w:b/>
    </w:rPr>
  </w:style>
  <w:style w:type="paragraph" w:customStyle="1" w:styleId="en0">
    <w:name w:val="款（en）"/>
    <w:basedOn w:val="ja0"/>
    <w:rsid w:val="00050CE6"/>
    <w:rPr>
      <w:rFonts w:ascii="Century" w:eastAsia="Century" w:hAnsi="Century" w:cs="Century"/>
    </w:rPr>
  </w:style>
  <w:style w:type="paragraph" w:customStyle="1" w:styleId="ja1">
    <w:name w:val="前文（ja）"/>
    <w:basedOn w:val="a"/>
    <w:rsid w:val="00050CE6"/>
    <w:pPr>
      <w:widowControl w:val="0"/>
      <w:ind w:firstLine="219"/>
    </w:pPr>
    <w:rPr>
      <w:rFonts w:ascii="ＭＳ 明朝" w:eastAsia="ＭＳ 明朝" w:hAnsi="ＭＳ 明朝" w:cs="ＭＳ 明朝"/>
    </w:rPr>
  </w:style>
  <w:style w:type="paragraph" w:customStyle="1" w:styleId="en1">
    <w:name w:val="前文（en）"/>
    <w:basedOn w:val="ja1"/>
    <w:rsid w:val="00050CE6"/>
    <w:rPr>
      <w:rFonts w:ascii="Century" w:eastAsia="Century" w:hAnsi="Century" w:cs="Century"/>
    </w:rPr>
  </w:style>
  <w:style w:type="paragraph" w:customStyle="1" w:styleId="ja2">
    <w:name w:val="附則（ja）"/>
    <w:basedOn w:val="a"/>
    <w:rsid w:val="00050CE6"/>
    <w:pPr>
      <w:widowControl w:val="0"/>
      <w:ind w:left="881" w:hanging="221"/>
    </w:pPr>
    <w:rPr>
      <w:rFonts w:ascii="ＭＳ 明朝" w:eastAsia="ＭＳ 明朝" w:hAnsi="ＭＳ 明朝" w:cs="ＭＳ 明朝"/>
      <w:b/>
    </w:rPr>
  </w:style>
  <w:style w:type="paragraph" w:customStyle="1" w:styleId="en2">
    <w:name w:val="附則（en）"/>
    <w:basedOn w:val="ja2"/>
    <w:rsid w:val="00050CE6"/>
    <w:rPr>
      <w:rFonts w:ascii="Century" w:hAnsi="Century" w:cs="Century"/>
    </w:rPr>
  </w:style>
  <w:style w:type="paragraph" w:customStyle="1" w:styleId="ja3">
    <w:name w:val="章（ja）"/>
    <w:basedOn w:val="a"/>
    <w:rsid w:val="00050CE6"/>
    <w:pPr>
      <w:widowControl w:val="0"/>
      <w:ind w:left="881" w:hanging="221"/>
    </w:pPr>
    <w:rPr>
      <w:rFonts w:ascii="ＭＳ 明朝" w:eastAsia="ＭＳ 明朝" w:hAnsi="ＭＳ 明朝" w:cs="ＭＳ 明朝"/>
      <w:b/>
    </w:rPr>
  </w:style>
  <w:style w:type="paragraph" w:customStyle="1" w:styleId="en3">
    <w:name w:val="章（en）"/>
    <w:basedOn w:val="ja3"/>
    <w:rsid w:val="00050CE6"/>
    <w:rPr>
      <w:rFonts w:ascii="Century" w:eastAsia="Century" w:hAnsi="Century" w:cs="Century"/>
    </w:rPr>
  </w:style>
  <w:style w:type="paragraph" w:customStyle="1" w:styleId="ja4">
    <w:name w:val="目次編（ja）"/>
    <w:basedOn w:val="a"/>
    <w:rsid w:val="00050CE6"/>
    <w:pPr>
      <w:widowControl w:val="0"/>
      <w:ind w:left="219" w:hanging="219"/>
    </w:pPr>
    <w:rPr>
      <w:rFonts w:ascii="ＭＳ 明朝" w:eastAsia="ＭＳ 明朝" w:hAnsi="ＭＳ 明朝"/>
    </w:rPr>
  </w:style>
  <w:style w:type="paragraph" w:customStyle="1" w:styleId="en4">
    <w:name w:val="目次編（en）"/>
    <w:basedOn w:val="ja4"/>
    <w:rsid w:val="00050CE6"/>
    <w:rPr>
      <w:rFonts w:ascii="Century" w:eastAsia="Century" w:hAnsi="Century"/>
    </w:rPr>
  </w:style>
  <w:style w:type="paragraph" w:customStyle="1" w:styleId="ja5">
    <w:name w:val="目次章（ja）"/>
    <w:basedOn w:val="a"/>
    <w:rsid w:val="00050CE6"/>
    <w:pPr>
      <w:widowControl w:val="0"/>
      <w:ind w:left="439" w:hanging="219"/>
    </w:pPr>
    <w:rPr>
      <w:rFonts w:ascii="ＭＳ 明朝" w:eastAsia="ＭＳ 明朝" w:hAnsi="ＭＳ 明朝"/>
    </w:rPr>
  </w:style>
  <w:style w:type="paragraph" w:customStyle="1" w:styleId="en5">
    <w:name w:val="目次章（en）"/>
    <w:basedOn w:val="ja5"/>
    <w:rsid w:val="00050CE6"/>
    <w:rPr>
      <w:rFonts w:ascii="Century" w:eastAsia="Century" w:hAnsi="Century"/>
    </w:rPr>
  </w:style>
  <w:style w:type="paragraph" w:customStyle="1" w:styleId="ja6">
    <w:name w:val="目次節（ja）"/>
    <w:basedOn w:val="a"/>
    <w:rsid w:val="00050CE6"/>
    <w:pPr>
      <w:widowControl w:val="0"/>
      <w:ind w:left="659" w:hanging="219"/>
    </w:pPr>
    <w:rPr>
      <w:rFonts w:ascii="ＭＳ 明朝" w:eastAsia="ＭＳ 明朝" w:hAnsi="ＭＳ 明朝"/>
    </w:rPr>
  </w:style>
  <w:style w:type="paragraph" w:customStyle="1" w:styleId="en6">
    <w:name w:val="目次節（en）"/>
    <w:basedOn w:val="ja6"/>
    <w:rsid w:val="00050CE6"/>
    <w:rPr>
      <w:rFonts w:ascii="Century" w:eastAsia="Century" w:hAnsi="Century"/>
    </w:rPr>
  </w:style>
  <w:style w:type="paragraph" w:customStyle="1" w:styleId="ja7">
    <w:name w:val="目次款（ja）"/>
    <w:basedOn w:val="a"/>
    <w:rsid w:val="00050CE6"/>
    <w:pPr>
      <w:widowControl w:val="0"/>
      <w:ind w:left="879" w:hanging="219"/>
    </w:pPr>
    <w:rPr>
      <w:rFonts w:ascii="ＭＳ 明朝" w:eastAsia="ＭＳ 明朝" w:hAnsi="ＭＳ 明朝" w:cs="Kochi Mincho"/>
    </w:rPr>
  </w:style>
  <w:style w:type="paragraph" w:customStyle="1" w:styleId="en7">
    <w:name w:val="目次款（en）"/>
    <w:basedOn w:val="ja7"/>
    <w:rsid w:val="00050CE6"/>
    <w:rPr>
      <w:rFonts w:ascii="Century" w:eastAsia="Century" w:hAnsi="Century"/>
    </w:rPr>
  </w:style>
  <w:style w:type="paragraph" w:customStyle="1" w:styleId="ja8">
    <w:name w:val="別表名（ja）"/>
    <w:basedOn w:val="a"/>
    <w:rsid w:val="00050C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0CE6"/>
    <w:rPr>
      <w:rFonts w:ascii="Century" w:eastAsia="Century" w:hAnsi="Century" w:cs="Century"/>
    </w:rPr>
  </w:style>
  <w:style w:type="paragraph" w:customStyle="1" w:styleId="ja9">
    <w:name w:val="目（ja）"/>
    <w:basedOn w:val="a"/>
    <w:rsid w:val="00050CE6"/>
    <w:pPr>
      <w:widowControl w:val="0"/>
      <w:ind w:left="1541" w:hanging="221"/>
    </w:pPr>
    <w:rPr>
      <w:rFonts w:ascii="ＭＳ 明朝" w:eastAsia="ＭＳ 明朝" w:hAnsi="ＭＳ 明朝" w:cs="ＭＳ 明朝"/>
      <w:b/>
    </w:rPr>
  </w:style>
  <w:style w:type="paragraph" w:customStyle="1" w:styleId="en9">
    <w:name w:val="目（en）"/>
    <w:basedOn w:val="ja9"/>
    <w:rsid w:val="00050CE6"/>
    <w:rPr>
      <w:rFonts w:ascii="Century" w:eastAsia="Century" w:hAnsi="Century" w:cs="Century"/>
    </w:rPr>
  </w:style>
  <w:style w:type="paragraph" w:customStyle="1" w:styleId="jaa">
    <w:name w:val="見出し（ja）"/>
    <w:basedOn w:val="a"/>
    <w:rsid w:val="00050CE6"/>
    <w:pPr>
      <w:widowControl w:val="0"/>
      <w:ind w:left="439" w:hanging="219"/>
    </w:pPr>
    <w:rPr>
      <w:rFonts w:ascii="ＭＳ 明朝" w:eastAsia="ＭＳ 明朝" w:hAnsi="ＭＳ 明朝" w:cs="ＭＳ 明朝"/>
    </w:rPr>
  </w:style>
  <w:style w:type="paragraph" w:customStyle="1" w:styleId="ena">
    <w:name w:val="見出し（en）"/>
    <w:basedOn w:val="jaa"/>
    <w:rsid w:val="00050CE6"/>
    <w:rPr>
      <w:rFonts w:ascii="Century" w:eastAsia="Century" w:hAnsi="Century" w:cs="Century"/>
    </w:rPr>
  </w:style>
  <w:style w:type="paragraph" w:styleId="a3">
    <w:name w:val="footer"/>
    <w:basedOn w:val="a"/>
    <w:rsid w:val="00050C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0CE6"/>
    <w:pPr>
      <w:widowControl w:val="0"/>
      <w:ind w:left="1099" w:hanging="219"/>
    </w:pPr>
    <w:rPr>
      <w:rFonts w:ascii="ＭＳ 明朝" w:eastAsia="ＭＳ 明朝" w:hAnsi="ＭＳ 明朝" w:cs="Kochi Mincho"/>
    </w:rPr>
  </w:style>
  <w:style w:type="paragraph" w:customStyle="1" w:styleId="enb">
    <w:name w:val="目次目（en）"/>
    <w:basedOn w:val="jab"/>
    <w:rsid w:val="00050CE6"/>
    <w:rPr>
      <w:rFonts w:ascii="Century" w:eastAsia="Century" w:hAnsi="Century"/>
    </w:rPr>
  </w:style>
  <w:style w:type="paragraph" w:customStyle="1" w:styleId="jac">
    <w:name w:val="目次附則（ja）"/>
    <w:basedOn w:val="a"/>
    <w:rsid w:val="00050CE6"/>
    <w:pPr>
      <w:widowControl w:val="0"/>
      <w:ind w:left="439" w:hanging="219"/>
    </w:pPr>
    <w:rPr>
      <w:rFonts w:ascii="ＭＳ 明朝" w:eastAsia="ＭＳ 明朝" w:hAnsi="ＭＳ 明朝" w:cs="Kochi Mincho"/>
    </w:rPr>
  </w:style>
  <w:style w:type="paragraph" w:customStyle="1" w:styleId="enc">
    <w:name w:val="目次附則（en）"/>
    <w:basedOn w:val="jac"/>
    <w:rsid w:val="00050CE6"/>
    <w:rPr>
      <w:rFonts w:ascii="Century" w:eastAsia="Century" w:hAnsi="Century" w:cs="Century"/>
    </w:rPr>
  </w:style>
  <w:style w:type="paragraph" w:customStyle="1" w:styleId="jad">
    <w:name w:val="目次前文（ja）"/>
    <w:basedOn w:val="jac"/>
    <w:rsid w:val="00050CE6"/>
  </w:style>
  <w:style w:type="paragraph" w:customStyle="1" w:styleId="end">
    <w:name w:val="目次前文（en）"/>
    <w:basedOn w:val="enc"/>
    <w:rsid w:val="00050CE6"/>
  </w:style>
  <w:style w:type="paragraph" w:customStyle="1" w:styleId="jae">
    <w:name w:val="制定文（ja）"/>
    <w:basedOn w:val="a"/>
    <w:rsid w:val="00050CE6"/>
    <w:pPr>
      <w:widowControl w:val="0"/>
      <w:ind w:firstLine="219"/>
    </w:pPr>
    <w:rPr>
      <w:rFonts w:ascii="ＭＳ 明朝" w:eastAsia="ＭＳ 明朝" w:hAnsi="ＭＳ 明朝" w:cs="ＭＳ 明朝"/>
    </w:rPr>
  </w:style>
  <w:style w:type="paragraph" w:customStyle="1" w:styleId="ene">
    <w:name w:val="制定文（en）"/>
    <w:basedOn w:val="jae"/>
    <w:rsid w:val="00050CE6"/>
    <w:rPr>
      <w:rFonts w:ascii="Century" w:eastAsia="Century" w:hAnsi="Century" w:cs="Century"/>
    </w:rPr>
  </w:style>
  <w:style w:type="paragraph" w:customStyle="1" w:styleId="jaf">
    <w:name w:val="法令番号（ja）"/>
    <w:basedOn w:val="a"/>
    <w:rsid w:val="00050CE6"/>
    <w:pPr>
      <w:widowControl w:val="0"/>
      <w:jc w:val="right"/>
    </w:pPr>
    <w:rPr>
      <w:rFonts w:ascii="ＭＳ 明朝" w:eastAsia="ＭＳ 明朝" w:hAnsi="ＭＳ 明朝" w:cs="Kochi Mincho"/>
    </w:rPr>
  </w:style>
  <w:style w:type="paragraph" w:customStyle="1" w:styleId="enf">
    <w:name w:val="法令番号（en）"/>
    <w:basedOn w:val="jaf"/>
    <w:rsid w:val="00050CE6"/>
    <w:rPr>
      <w:rFonts w:ascii="Century" w:eastAsia="Century" w:hAnsi="Century" w:cs="Century"/>
    </w:rPr>
  </w:style>
  <w:style w:type="paragraph" w:customStyle="1" w:styleId="jaf0">
    <w:name w:val="目次（ja）"/>
    <w:basedOn w:val="a"/>
    <w:rsid w:val="00050CE6"/>
    <w:rPr>
      <w:rFonts w:ascii="ＭＳ 明朝" w:eastAsia="ＭＳ 明朝" w:hAnsi="ＭＳ 明朝"/>
    </w:rPr>
  </w:style>
  <w:style w:type="paragraph" w:customStyle="1" w:styleId="enf0">
    <w:name w:val="目次（en）"/>
    <w:basedOn w:val="jaf0"/>
    <w:rsid w:val="00050CE6"/>
    <w:rPr>
      <w:rFonts w:ascii="Century" w:eastAsia="Century" w:hAnsi="Century"/>
    </w:rPr>
  </w:style>
  <w:style w:type="paragraph" w:customStyle="1" w:styleId="jaf1">
    <w:name w:val="編（ja）"/>
    <w:basedOn w:val="a"/>
    <w:rsid w:val="00050CE6"/>
    <w:pPr>
      <w:widowControl w:val="0"/>
      <w:ind w:left="661" w:hanging="221"/>
    </w:pPr>
    <w:rPr>
      <w:rFonts w:ascii="ＭＳ 明朝" w:eastAsia="ＭＳ 明朝" w:hAnsi="ＭＳ 明朝" w:cs="ＭＳ 明朝"/>
      <w:b/>
    </w:rPr>
  </w:style>
  <w:style w:type="paragraph" w:customStyle="1" w:styleId="enf1">
    <w:name w:val="編（en）"/>
    <w:basedOn w:val="jaf1"/>
    <w:rsid w:val="00050CE6"/>
    <w:rPr>
      <w:rFonts w:ascii="Century" w:eastAsia="Century" w:hAnsi="Century" w:cs="Century"/>
    </w:rPr>
  </w:style>
  <w:style w:type="paragraph" w:customStyle="1" w:styleId="jaf2">
    <w:name w:val="節（ja）"/>
    <w:basedOn w:val="a"/>
    <w:rsid w:val="00050CE6"/>
    <w:pPr>
      <w:widowControl w:val="0"/>
      <w:ind w:left="1101" w:hanging="221"/>
    </w:pPr>
    <w:rPr>
      <w:rFonts w:ascii="ＭＳ 明朝" w:eastAsia="ＭＳ 明朝" w:hAnsi="ＭＳ 明朝" w:cs="ＭＳ 明朝"/>
      <w:b/>
    </w:rPr>
  </w:style>
  <w:style w:type="paragraph" w:customStyle="1" w:styleId="enf2">
    <w:name w:val="節（en）"/>
    <w:basedOn w:val="jaf2"/>
    <w:rsid w:val="00050CE6"/>
    <w:rPr>
      <w:rFonts w:ascii="Century" w:eastAsia="Century" w:hAnsi="Century" w:cs="Century"/>
    </w:rPr>
  </w:style>
  <w:style w:type="paragraph" w:customStyle="1" w:styleId="jaf3">
    <w:name w:val="条（ja）"/>
    <w:basedOn w:val="a"/>
    <w:rsid w:val="00050CE6"/>
    <w:pPr>
      <w:widowControl w:val="0"/>
      <w:ind w:left="219" w:hanging="219"/>
    </w:pPr>
    <w:rPr>
      <w:rFonts w:ascii="ＭＳ 明朝" w:eastAsia="ＭＳ 明朝" w:hAnsi="ＭＳ 明朝" w:cs="ＭＳ 明朝"/>
    </w:rPr>
  </w:style>
  <w:style w:type="paragraph" w:customStyle="1" w:styleId="enf3">
    <w:name w:val="条（en）"/>
    <w:basedOn w:val="jaf3"/>
    <w:rsid w:val="00050CE6"/>
    <w:rPr>
      <w:rFonts w:ascii="Century" w:eastAsia="Century" w:hAnsi="Century" w:cs="Century"/>
    </w:rPr>
  </w:style>
  <w:style w:type="paragraph" w:customStyle="1" w:styleId="jaf4">
    <w:name w:val="項（ja）"/>
    <w:basedOn w:val="a"/>
    <w:rsid w:val="00050CE6"/>
    <w:pPr>
      <w:widowControl w:val="0"/>
      <w:ind w:left="219" w:hanging="219"/>
    </w:pPr>
    <w:rPr>
      <w:rFonts w:ascii="ＭＳ 明朝" w:eastAsia="ＭＳ 明朝" w:hAnsi="ＭＳ 明朝" w:cs="ＭＳ 明朝"/>
    </w:rPr>
  </w:style>
  <w:style w:type="paragraph" w:customStyle="1" w:styleId="enf4">
    <w:name w:val="項（en）"/>
    <w:basedOn w:val="jaf4"/>
    <w:rsid w:val="00050CE6"/>
    <w:rPr>
      <w:rFonts w:ascii="Century" w:eastAsia="Century" w:hAnsi="Century" w:cs="Century"/>
    </w:rPr>
  </w:style>
  <w:style w:type="paragraph" w:customStyle="1" w:styleId="jaf5">
    <w:name w:val="項　番号なし（ja）"/>
    <w:basedOn w:val="a"/>
    <w:rsid w:val="00050CE6"/>
    <w:pPr>
      <w:widowControl w:val="0"/>
      <w:ind w:firstLine="221"/>
    </w:pPr>
    <w:rPr>
      <w:rFonts w:ascii="ＭＳ 明朝" w:eastAsia="ＭＳ 明朝" w:hAnsi="ＭＳ 明朝" w:cs="ＭＳ 明朝"/>
    </w:rPr>
  </w:style>
  <w:style w:type="paragraph" w:customStyle="1" w:styleId="enf5">
    <w:name w:val="項　番号なし（en）"/>
    <w:basedOn w:val="jaf5"/>
    <w:rsid w:val="00050CE6"/>
    <w:rPr>
      <w:rFonts w:ascii="Century" w:eastAsia="Century" w:hAnsi="Century" w:cs="Century"/>
    </w:rPr>
  </w:style>
  <w:style w:type="paragraph" w:customStyle="1" w:styleId="jaf6">
    <w:name w:val="号（ja）"/>
    <w:basedOn w:val="a"/>
    <w:rsid w:val="00050CE6"/>
    <w:pPr>
      <w:widowControl w:val="0"/>
      <w:ind w:left="439" w:hanging="219"/>
    </w:pPr>
    <w:rPr>
      <w:rFonts w:ascii="ＭＳ 明朝" w:eastAsia="ＭＳ 明朝" w:hAnsi="ＭＳ 明朝" w:cs="ＭＳ 明朝"/>
    </w:rPr>
  </w:style>
  <w:style w:type="paragraph" w:customStyle="1" w:styleId="enf6">
    <w:name w:val="号（en）"/>
    <w:basedOn w:val="jaf6"/>
    <w:rsid w:val="00050CE6"/>
    <w:rPr>
      <w:rFonts w:ascii="Century" w:eastAsia="Century" w:hAnsi="Century" w:cs="Century"/>
    </w:rPr>
  </w:style>
  <w:style w:type="paragraph" w:customStyle="1" w:styleId="jaf7">
    <w:name w:val="号　番号なし（ja）"/>
    <w:basedOn w:val="a"/>
    <w:rsid w:val="00050CE6"/>
    <w:pPr>
      <w:widowControl w:val="0"/>
      <w:ind w:left="221" w:firstLine="221"/>
    </w:pPr>
    <w:rPr>
      <w:rFonts w:ascii="ＭＳ 明朝" w:eastAsia="ＭＳ 明朝" w:hAnsi="ＭＳ 明朝" w:cs="ＭＳ 明朝"/>
    </w:rPr>
  </w:style>
  <w:style w:type="paragraph" w:customStyle="1" w:styleId="enf7">
    <w:name w:val="号　番号なし（en）"/>
    <w:basedOn w:val="jaf7"/>
    <w:rsid w:val="00050CE6"/>
    <w:rPr>
      <w:rFonts w:ascii="Century" w:eastAsia="Century" w:hAnsi="Century" w:cs="Century"/>
    </w:rPr>
  </w:style>
  <w:style w:type="paragraph" w:customStyle="1" w:styleId="jaf8">
    <w:name w:val="備考号（ja）"/>
    <w:basedOn w:val="a"/>
    <w:rsid w:val="00050CE6"/>
    <w:pPr>
      <w:widowControl w:val="0"/>
      <w:ind w:left="659" w:hanging="219"/>
    </w:pPr>
    <w:rPr>
      <w:rFonts w:ascii="ＭＳ 明朝" w:eastAsia="ＭＳ 明朝" w:hAnsi="ＭＳ 明朝" w:cs="ＭＳ 明朝"/>
    </w:rPr>
  </w:style>
  <w:style w:type="paragraph" w:customStyle="1" w:styleId="enf8">
    <w:name w:val="備考号（en）"/>
    <w:basedOn w:val="jaf8"/>
    <w:rsid w:val="00050CE6"/>
    <w:rPr>
      <w:rFonts w:ascii="Century" w:eastAsia="Century" w:hAnsi="Century" w:cs="Century"/>
    </w:rPr>
  </w:style>
  <w:style w:type="paragraph" w:customStyle="1" w:styleId="jaf9">
    <w:name w:val="号細分（ja）"/>
    <w:basedOn w:val="a"/>
    <w:rsid w:val="00050CE6"/>
    <w:pPr>
      <w:widowControl w:val="0"/>
      <w:ind w:left="659" w:hanging="219"/>
    </w:pPr>
    <w:rPr>
      <w:rFonts w:ascii="ＭＳ 明朝" w:eastAsia="ＭＳ 明朝" w:hAnsi="ＭＳ 明朝" w:cs="ＭＳ 明朝"/>
    </w:rPr>
  </w:style>
  <w:style w:type="paragraph" w:customStyle="1" w:styleId="enf9">
    <w:name w:val="号細分（en）"/>
    <w:basedOn w:val="jaf9"/>
    <w:rsid w:val="00050CE6"/>
    <w:rPr>
      <w:rFonts w:ascii="Century" w:eastAsia="Century" w:hAnsi="Century" w:cs="Century"/>
    </w:rPr>
  </w:style>
  <w:style w:type="paragraph" w:customStyle="1" w:styleId="jafa">
    <w:name w:val="号細分　番号なし（ja）"/>
    <w:basedOn w:val="a"/>
    <w:rsid w:val="00050CE6"/>
    <w:pPr>
      <w:widowControl w:val="0"/>
      <w:ind w:left="439"/>
    </w:pPr>
    <w:rPr>
      <w:rFonts w:ascii="ＭＳ 明朝" w:eastAsia="ＭＳ 明朝" w:hAnsi="ＭＳ 明朝" w:cs="ＭＳ 明朝"/>
    </w:rPr>
  </w:style>
  <w:style w:type="paragraph" w:customStyle="1" w:styleId="enfa">
    <w:name w:val="号細分　番号なし（en）"/>
    <w:basedOn w:val="jafa"/>
    <w:rsid w:val="00050CE6"/>
    <w:rPr>
      <w:rFonts w:ascii="Century" w:eastAsia="Century" w:hAnsi="Century" w:cs="Century"/>
    </w:rPr>
  </w:style>
  <w:style w:type="paragraph" w:customStyle="1" w:styleId="jafb">
    <w:name w:val="備考号細分（ja）"/>
    <w:basedOn w:val="a"/>
    <w:rsid w:val="00050CE6"/>
    <w:pPr>
      <w:widowControl w:val="0"/>
      <w:ind w:left="1099" w:hanging="439"/>
    </w:pPr>
    <w:rPr>
      <w:rFonts w:ascii="ＭＳ 明朝" w:eastAsia="ＭＳ 明朝" w:hAnsi="ＭＳ 明朝" w:cs="ＭＳ 明朝"/>
    </w:rPr>
  </w:style>
  <w:style w:type="paragraph" w:customStyle="1" w:styleId="enfb">
    <w:name w:val="備考号細分（en）"/>
    <w:basedOn w:val="jafb"/>
    <w:rsid w:val="00050CE6"/>
    <w:rPr>
      <w:rFonts w:ascii="Century" w:eastAsia="Century" w:hAnsi="Century" w:cs="Century"/>
    </w:rPr>
  </w:style>
  <w:style w:type="paragraph" w:customStyle="1" w:styleId="jafc">
    <w:name w:val="号細細分（ja）"/>
    <w:basedOn w:val="a"/>
    <w:rsid w:val="00050CE6"/>
    <w:pPr>
      <w:widowControl w:val="0"/>
      <w:ind w:left="1099" w:hanging="439"/>
    </w:pPr>
    <w:rPr>
      <w:rFonts w:ascii="ＭＳ 明朝" w:eastAsia="ＭＳ 明朝" w:hAnsi="ＭＳ 明朝" w:cs="ＭＳ 明朝"/>
    </w:rPr>
  </w:style>
  <w:style w:type="paragraph" w:customStyle="1" w:styleId="enfc">
    <w:name w:val="号細細分（en）"/>
    <w:basedOn w:val="jafc"/>
    <w:rsid w:val="00050CE6"/>
    <w:rPr>
      <w:rFonts w:ascii="Century" w:eastAsia="Century" w:hAnsi="Century" w:cs="Century"/>
    </w:rPr>
  </w:style>
  <w:style w:type="paragraph" w:customStyle="1" w:styleId="jafd">
    <w:name w:val="号細細分　番号なし（ja）"/>
    <w:basedOn w:val="a"/>
    <w:rsid w:val="00050CE6"/>
    <w:pPr>
      <w:widowControl w:val="0"/>
      <w:ind w:left="659"/>
    </w:pPr>
    <w:rPr>
      <w:rFonts w:ascii="ＭＳ 明朝" w:eastAsia="ＭＳ 明朝" w:hAnsi="ＭＳ 明朝" w:cs="ＭＳ 明朝"/>
    </w:rPr>
  </w:style>
  <w:style w:type="paragraph" w:customStyle="1" w:styleId="enfd">
    <w:name w:val="号細細分　番号なし（en）"/>
    <w:basedOn w:val="jafd"/>
    <w:rsid w:val="00050CE6"/>
    <w:rPr>
      <w:rFonts w:ascii="Century" w:eastAsia="Century" w:hAnsi="Century" w:cs="Century"/>
    </w:rPr>
  </w:style>
  <w:style w:type="paragraph" w:customStyle="1" w:styleId="jafe">
    <w:name w:val="備考号細細分（ja）"/>
    <w:basedOn w:val="a"/>
    <w:rsid w:val="00050CE6"/>
    <w:pPr>
      <w:widowControl w:val="0"/>
      <w:ind w:left="1319" w:hanging="439"/>
    </w:pPr>
    <w:rPr>
      <w:rFonts w:ascii="ＭＳ 明朝" w:eastAsia="ＭＳ 明朝" w:hAnsi="ＭＳ 明朝" w:cs="ＭＳ 明朝"/>
    </w:rPr>
  </w:style>
  <w:style w:type="paragraph" w:customStyle="1" w:styleId="enfe">
    <w:name w:val="備考号細細分（en）"/>
    <w:basedOn w:val="jafe"/>
    <w:rsid w:val="00050CE6"/>
    <w:rPr>
      <w:rFonts w:ascii="Century" w:eastAsia="Century" w:hAnsi="Century" w:cs="Century"/>
    </w:rPr>
  </w:style>
  <w:style w:type="paragraph" w:customStyle="1" w:styleId="jaff">
    <w:name w:val="号細細細分（ja）"/>
    <w:basedOn w:val="a"/>
    <w:rsid w:val="00050CE6"/>
    <w:pPr>
      <w:widowControl w:val="0"/>
      <w:ind w:left="1319" w:hanging="439"/>
    </w:pPr>
    <w:rPr>
      <w:rFonts w:ascii="ＭＳ 明朝" w:eastAsia="ＭＳ 明朝" w:hAnsi="ＭＳ 明朝" w:cs="ＭＳ 明朝"/>
    </w:rPr>
  </w:style>
  <w:style w:type="paragraph" w:customStyle="1" w:styleId="enff">
    <w:name w:val="号細細細分（en）"/>
    <w:basedOn w:val="jaff"/>
    <w:rsid w:val="00050CE6"/>
    <w:rPr>
      <w:rFonts w:ascii="Century" w:eastAsia="Century" w:hAnsi="Century" w:cs="Century"/>
    </w:rPr>
  </w:style>
  <w:style w:type="paragraph" w:customStyle="1" w:styleId="jaff0">
    <w:name w:val="号細細細分　番号なし（ja）"/>
    <w:basedOn w:val="a"/>
    <w:rsid w:val="00050CE6"/>
    <w:pPr>
      <w:widowControl w:val="0"/>
      <w:ind w:left="879"/>
    </w:pPr>
    <w:rPr>
      <w:rFonts w:ascii="ＭＳ 明朝" w:eastAsia="ＭＳ 明朝" w:hAnsi="ＭＳ 明朝" w:cs="ＭＳ 明朝"/>
    </w:rPr>
  </w:style>
  <w:style w:type="paragraph" w:customStyle="1" w:styleId="enff0">
    <w:name w:val="号細細細分　番号なし（en）"/>
    <w:basedOn w:val="jaff0"/>
    <w:rsid w:val="00050CE6"/>
    <w:rPr>
      <w:rFonts w:ascii="Century" w:eastAsia="Century" w:hAnsi="Century" w:cs="Century"/>
    </w:rPr>
  </w:style>
  <w:style w:type="paragraph" w:customStyle="1" w:styleId="jaff1">
    <w:name w:val="備考号細細細分（ja）"/>
    <w:basedOn w:val="a"/>
    <w:rsid w:val="00050C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0CE6"/>
    <w:rPr>
      <w:rFonts w:ascii="Century" w:eastAsia="Century" w:hAnsi="Century" w:cs="Century"/>
    </w:rPr>
  </w:style>
  <w:style w:type="paragraph" w:customStyle="1" w:styleId="jaff2">
    <w:name w:val="類（ja）"/>
    <w:basedOn w:val="a"/>
    <w:rsid w:val="00050CE6"/>
    <w:pPr>
      <w:widowControl w:val="0"/>
      <w:ind w:left="439" w:hanging="219"/>
    </w:pPr>
    <w:rPr>
      <w:rFonts w:ascii="ＭＳ 明朝" w:eastAsia="ＭＳ 明朝" w:hAnsi="ＭＳ 明朝" w:cs="ＭＳ 明朝"/>
    </w:rPr>
  </w:style>
  <w:style w:type="paragraph" w:customStyle="1" w:styleId="enff2">
    <w:name w:val="類（en）"/>
    <w:basedOn w:val="jaff2"/>
    <w:rsid w:val="00050CE6"/>
    <w:rPr>
      <w:rFonts w:ascii="Century" w:eastAsia="Century" w:hAnsi="Century" w:cs="Century"/>
    </w:rPr>
  </w:style>
  <w:style w:type="paragraph" w:customStyle="1" w:styleId="jaff3">
    <w:name w:val="公布文（ja）"/>
    <w:basedOn w:val="a"/>
    <w:rsid w:val="00050CE6"/>
    <w:pPr>
      <w:widowControl w:val="0"/>
      <w:ind w:firstLine="219"/>
    </w:pPr>
    <w:rPr>
      <w:rFonts w:ascii="ＭＳ 明朝" w:eastAsia="ＭＳ 明朝" w:hAnsi="ＭＳ 明朝" w:cs="ＭＳ 明朝"/>
    </w:rPr>
  </w:style>
  <w:style w:type="paragraph" w:customStyle="1" w:styleId="enff3">
    <w:name w:val="公布文（en）"/>
    <w:basedOn w:val="jaff3"/>
    <w:rsid w:val="00050CE6"/>
    <w:rPr>
      <w:rFonts w:ascii="Century" w:eastAsia="Century" w:hAnsi="Century" w:cs="Century"/>
    </w:rPr>
  </w:style>
  <w:style w:type="paragraph" w:customStyle="1" w:styleId="jaen">
    <w:name w:val="表（ja：en）"/>
    <w:basedOn w:val="a"/>
    <w:rsid w:val="00050CE6"/>
    <w:pPr>
      <w:widowControl w:val="0"/>
      <w:snapToGrid w:val="0"/>
    </w:pPr>
    <w:rPr>
      <w:rFonts w:ascii="Century" w:eastAsia="ＭＳ 明朝" w:hAnsi="Century"/>
    </w:rPr>
  </w:style>
  <w:style w:type="paragraph" w:customStyle="1" w:styleId="jaff4">
    <w:name w:val="備考（ja）"/>
    <w:basedOn w:val="a"/>
    <w:rsid w:val="00050CE6"/>
    <w:pPr>
      <w:widowControl w:val="0"/>
      <w:ind w:left="439" w:hanging="219"/>
    </w:pPr>
    <w:rPr>
      <w:rFonts w:ascii="ＭＳ 明朝" w:eastAsia="ＭＳ 明朝" w:hAnsi="ＭＳ 明朝" w:cs="ＭＳ 明朝"/>
    </w:rPr>
  </w:style>
  <w:style w:type="paragraph" w:customStyle="1" w:styleId="enff4">
    <w:name w:val="備考（en）"/>
    <w:basedOn w:val="jaff4"/>
    <w:rsid w:val="00050CE6"/>
    <w:rPr>
      <w:rFonts w:ascii="Century" w:eastAsia="Century" w:hAnsi="Century" w:cs="Century"/>
    </w:rPr>
  </w:style>
  <w:style w:type="paragraph" w:customStyle="1" w:styleId="jaff5">
    <w:name w:val="表タイトル（ja）"/>
    <w:basedOn w:val="a"/>
    <w:rsid w:val="00050CE6"/>
    <w:pPr>
      <w:widowControl w:val="0"/>
      <w:ind w:left="219"/>
    </w:pPr>
    <w:rPr>
      <w:rFonts w:ascii="ＭＳ 明朝" w:eastAsia="ＭＳ 明朝" w:hAnsi="ＭＳ 明朝" w:cs="ＭＳ 明朝"/>
    </w:rPr>
  </w:style>
  <w:style w:type="paragraph" w:customStyle="1" w:styleId="enff5">
    <w:name w:val="表タイトル（en）"/>
    <w:basedOn w:val="jaff5"/>
    <w:rsid w:val="00050CE6"/>
    <w:rPr>
      <w:rFonts w:ascii="Century" w:eastAsia="Century" w:hAnsi="Century" w:cs="Century"/>
    </w:rPr>
  </w:style>
  <w:style w:type="paragraph" w:customStyle="1" w:styleId="jaff6">
    <w:name w:val="改正規定文（ja）"/>
    <w:basedOn w:val="a"/>
    <w:rsid w:val="00050CE6"/>
    <w:pPr>
      <w:widowControl w:val="0"/>
      <w:ind w:left="219" w:firstLine="219"/>
    </w:pPr>
    <w:rPr>
      <w:rFonts w:ascii="ＭＳ 明朝" w:eastAsia="ＭＳ 明朝" w:hAnsi="ＭＳ 明朝" w:cs="ＭＳ 明朝"/>
    </w:rPr>
  </w:style>
  <w:style w:type="paragraph" w:customStyle="1" w:styleId="enff6">
    <w:name w:val="改正規定文（en）"/>
    <w:basedOn w:val="jaff6"/>
    <w:rsid w:val="00050CE6"/>
    <w:rPr>
      <w:rFonts w:ascii="Century" w:eastAsia="Century" w:hAnsi="Century" w:cs="Century"/>
    </w:rPr>
  </w:style>
  <w:style w:type="paragraph" w:customStyle="1" w:styleId="jaff7">
    <w:name w:val="付記（ja）"/>
    <w:basedOn w:val="a"/>
    <w:rsid w:val="00050CE6"/>
    <w:pPr>
      <w:widowControl w:val="0"/>
      <w:ind w:left="219" w:firstLine="219"/>
    </w:pPr>
    <w:rPr>
      <w:rFonts w:ascii="ＭＳ 明朝" w:eastAsia="ＭＳ 明朝" w:hAnsi="ＭＳ 明朝" w:cs="ＭＳ 明朝"/>
    </w:rPr>
  </w:style>
  <w:style w:type="paragraph" w:customStyle="1" w:styleId="enff7">
    <w:name w:val="付記（en）"/>
    <w:basedOn w:val="jaff7"/>
    <w:rsid w:val="00050CE6"/>
    <w:rPr>
      <w:rFonts w:ascii="Century" w:eastAsia="Century" w:hAnsi="Century" w:cs="Century"/>
    </w:rPr>
  </w:style>
  <w:style w:type="paragraph" w:customStyle="1" w:styleId="jaff8">
    <w:name w:val="様式名（ja）"/>
    <w:basedOn w:val="a"/>
    <w:rsid w:val="00050CE6"/>
    <w:pPr>
      <w:widowControl w:val="0"/>
      <w:ind w:left="439" w:hanging="219"/>
    </w:pPr>
    <w:rPr>
      <w:rFonts w:ascii="ＭＳ 明朝" w:eastAsia="ＭＳ 明朝" w:hAnsi="ＭＳ 明朝" w:cs="ＭＳ 明朝"/>
    </w:rPr>
  </w:style>
  <w:style w:type="paragraph" w:customStyle="1" w:styleId="enff8">
    <w:name w:val="様式名（en）"/>
    <w:basedOn w:val="jaff8"/>
    <w:rsid w:val="00050CE6"/>
    <w:rPr>
      <w:rFonts w:ascii="Century" w:eastAsia="Century" w:hAnsi="Century" w:cs="Century"/>
    </w:rPr>
  </w:style>
  <w:style w:type="paragraph" w:customStyle="1" w:styleId="jaff9">
    <w:name w:val="様式項目（ja）"/>
    <w:basedOn w:val="a"/>
    <w:rsid w:val="00050CE6"/>
    <w:pPr>
      <w:widowControl w:val="0"/>
      <w:ind w:left="221" w:firstLine="221"/>
    </w:pPr>
    <w:rPr>
      <w:rFonts w:ascii="ＭＳ 明朝" w:eastAsia="ＭＳ 明朝" w:hAnsi="ＭＳ 明朝" w:cs="ＭＳ 明朝"/>
    </w:rPr>
  </w:style>
  <w:style w:type="paragraph" w:customStyle="1" w:styleId="enff9">
    <w:name w:val="様式項目（en）"/>
    <w:basedOn w:val="jaff9"/>
    <w:rsid w:val="00050CE6"/>
    <w:rPr>
      <w:rFonts w:ascii="Century" w:eastAsia="Century" w:hAnsi="Century" w:cs="Century"/>
    </w:rPr>
  </w:style>
  <w:style w:type="table" w:customStyle="1" w:styleId="1">
    <w:name w:val="表1"/>
    <w:rsid w:val="00050CE6"/>
    <w:tblPr>
      <w:tblInd w:w="340" w:type="dxa"/>
      <w:tblCellMar>
        <w:top w:w="0" w:type="dxa"/>
        <w:left w:w="0" w:type="dxa"/>
        <w:bottom w:w="0" w:type="dxa"/>
        <w:right w:w="0" w:type="dxa"/>
      </w:tblCellMar>
    </w:tblPr>
  </w:style>
  <w:style w:type="numbering" w:customStyle="1" w:styleId="WW8Num1">
    <w:name w:val="WW8Num1"/>
    <w:rsid w:val="00050CE6"/>
    <w:pPr>
      <w:numPr>
        <w:numId w:val="2"/>
      </w:numPr>
    </w:pPr>
  </w:style>
  <w:style w:type="numbering" w:customStyle="1" w:styleId="WW8Num2">
    <w:name w:val="WW8Num2"/>
    <w:rsid w:val="00050CE6"/>
    <w:pPr>
      <w:numPr>
        <w:numId w:val="3"/>
      </w:numPr>
    </w:pPr>
  </w:style>
  <w:style w:type="numbering" w:customStyle="1" w:styleId="WW8Num3">
    <w:name w:val="WW8Num3"/>
    <w:rsid w:val="00050CE6"/>
    <w:pPr>
      <w:numPr>
        <w:numId w:val="4"/>
      </w:numPr>
    </w:pPr>
  </w:style>
  <w:style w:type="numbering" w:customStyle="1" w:styleId="WW8Num4">
    <w:name w:val="WW8Num4"/>
    <w:rsid w:val="00050CE6"/>
    <w:pPr>
      <w:numPr>
        <w:numId w:val="5"/>
      </w:numPr>
    </w:pPr>
  </w:style>
  <w:style w:type="numbering" w:customStyle="1" w:styleId="WW8Num5">
    <w:name w:val="WW8Num5"/>
    <w:rsid w:val="00050CE6"/>
    <w:pPr>
      <w:numPr>
        <w:numId w:val="6"/>
      </w:numPr>
    </w:pPr>
  </w:style>
  <w:style w:type="numbering" w:customStyle="1" w:styleId="WW8Num6">
    <w:name w:val="WW8Num6"/>
    <w:rsid w:val="00050CE6"/>
    <w:pPr>
      <w:numPr>
        <w:numId w:val="7"/>
      </w:numPr>
    </w:pPr>
  </w:style>
  <w:style w:type="numbering" w:customStyle="1" w:styleId="WW8Num7">
    <w:name w:val="WW8Num7"/>
    <w:rsid w:val="00050CE6"/>
    <w:pPr>
      <w:numPr>
        <w:numId w:val="8"/>
      </w:numPr>
    </w:pPr>
  </w:style>
  <w:style w:type="numbering" w:customStyle="1" w:styleId="WW8Num8">
    <w:name w:val="WW8Num8"/>
    <w:rsid w:val="00050CE6"/>
    <w:pPr>
      <w:numPr>
        <w:numId w:val="9"/>
      </w:numPr>
    </w:pPr>
  </w:style>
  <w:style w:type="numbering" w:customStyle="1" w:styleId="WW8Num9">
    <w:name w:val="WW8Num9"/>
    <w:rsid w:val="00050CE6"/>
    <w:pPr>
      <w:numPr>
        <w:numId w:val="10"/>
      </w:numPr>
    </w:pPr>
  </w:style>
  <w:style w:type="numbering" w:customStyle="1" w:styleId="WW8Num10">
    <w:name w:val="WW8Num10"/>
    <w:rsid w:val="00050CE6"/>
    <w:pPr>
      <w:numPr>
        <w:numId w:val="11"/>
      </w:numPr>
    </w:pPr>
  </w:style>
  <w:style w:type="numbering" w:customStyle="1" w:styleId="WW8Num11">
    <w:name w:val="WW8Num11"/>
    <w:rsid w:val="00050CE6"/>
    <w:pPr>
      <w:numPr>
        <w:numId w:val="12"/>
      </w:numPr>
    </w:pPr>
  </w:style>
  <w:style w:type="numbering" w:customStyle="1" w:styleId="WW8Num12">
    <w:name w:val="WW8Num12"/>
    <w:rsid w:val="00050CE6"/>
    <w:pPr>
      <w:numPr>
        <w:numId w:val="13"/>
      </w:numPr>
    </w:pPr>
  </w:style>
  <w:style w:type="paragraph" w:styleId="a4">
    <w:name w:val="header"/>
    <w:basedOn w:val="a"/>
    <w:link w:val="a5"/>
    <w:uiPriority w:val="99"/>
    <w:unhideWhenUsed/>
    <w:rsid w:val="002F6E0E"/>
    <w:pPr>
      <w:tabs>
        <w:tab w:val="center" w:pos="4252"/>
        <w:tab w:val="right" w:pos="8504"/>
      </w:tabs>
      <w:snapToGrid w:val="0"/>
    </w:pPr>
  </w:style>
  <w:style w:type="character" w:customStyle="1" w:styleId="a5">
    <w:name w:val="ヘッダー (文字)"/>
    <w:basedOn w:val="a0"/>
    <w:link w:val="a4"/>
    <w:uiPriority w:val="99"/>
    <w:rsid w:val="002F6E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2022-01-04T09:00:00Z</dcterms:created>
  <dcterms:modified xsi:type="dcterms:W3CDTF">2022-01-04T09:00:00Z</dcterms:modified>
</cp:coreProperties>
</file>