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1B2B" w:rsidRDefault="006E2761">
      <w:pPr>
        <w:pStyle w:val="en"/>
      </w:pPr>
      <w:r>
        <w:t>Order for Enforcement of the Act on Special Measures Concerning Claim Management and Collection Business</w:t>
      </w:r>
    </w:p>
    <w:p w:rsidR="00511B2B" w:rsidRDefault="00511B2B"/>
    <w:p w:rsidR="00511B2B" w:rsidRDefault="006E2761">
      <w:pPr>
        <w:pStyle w:val="enf"/>
      </w:pPr>
      <w:r>
        <w:t>(Cabinet Order No. 14 of January 27, 1999)</w:t>
      </w:r>
    </w:p>
    <w:p w:rsidR="00511B2B" w:rsidRDefault="00511B2B"/>
    <w:p w:rsidR="00511B2B" w:rsidRDefault="006E2761">
      <w:pPr>
        <w:pStyle w:val="ene"/>
      </w:pPr>
      <w:r>
        <w:t xml:space="preserve">The Cabinet hereby enacts this Cabinet Order based on the provisions of Article 2, paragraph (1) and </w:t>
      </w:r>
      <w:r>
        <w:t>Article 12, item (ii) of the Act on Special Measures Concerning Claim Management and Collection Business (Act No. 126 of 1998).</w:t>
      </w:r>
    </w:p>
    <w:p w:rsidR="00511B2B" w:rsidRDefault="00511B2B"/>
    <w:p w:rsidR="00511B2B" w:rsidRDefault="006E2761">
      <w:pPr>
        <w:pStyle w:val="ena"/>
      </w:pPr>
      <w:r>
        <w:t>(Holders of Loan Claims)</w:t>
      </w:r>
    </w:p>
    <w:p w:rsidR="00511B2B" w:rsidRDefault="006E2761">
      <w:pPr>
        <w:pStyle w:val="enf3"/>
      </w:pPr>
      <w:r>
        <w:t>Article 1  The person specified by Cabinet Order referred to in Article 2, paragraph (1), item (i) (j)</w:t>
      </w:r>
      <w:r>
        <w:t xml:space="preserve"> of the Act on Special Measures Concerning Claim Management and Collection Business (hereinafter referred to as "the Act") is one of the following persons:</w:t>
      </w:r>
    </w:p>
    <w:p w:rsidR="00511B2B" w:rsidRDefault="006E2761">
      <w:pPr>
        <w:pStyle w:val="enf6"/>
      </w:pPr>
      <w:r>
        <w:t>(i) the Branch Office of a Foreign Bank prescribed in Article 47, paragraph (2) of the Banking Act (</w:t>
      </w:r>
      <w:r>
        <w:t>Act No. 59 of 1981);</w:t>
      </w:r>
    </w:p>
    <w:p w:rsidR="00511B2B" w:rsidRDefault="006E2761">
      <w:pPr>
        <w:pStyle w:val="enf6"/>
      </w:pPr>
      <w:r>
        <w:t>(ii) the Development Bank of Japan Inc. ;</w:t>
      </w:r>
    </w:p>
    <w:p w:rsidR="00511B2B" w:rsidRDefault="006E2761">
      <w:pPr>
        <w:pStyle w:val="enf6"/>
      </w:pPr>
      <w:r>
        <w:t>(iii) a prefecture, municipality, or special ward, or an association of local public entities;</w:t>
      </w:r>
    </w:p>
    <w:p w:rsidR="00511B2B" w:rsidRDefault="006E2761">
      <w:pPr>
        <w:pStyle w:val="enf6"/>
      </w:pPr>
      <w:r>
        <w:t>(iv) deleted;</w:t>
      </w:r>
    </w:p>
    <w:p w:rsidR="00511B2B" w:rsidRDefault="006E2761">
      <w:pPr>
        <w:pStyle w:val="enf6"/>
      </w:pPr>
      <w:r>
        <w:t>(v) deleted;</w:t>
      </w:r>
    </w:p>
    <w:p w:rsidR="00511B2B" w:rsidRDefault="006E2761">
      <w:pPr>
        <w:pStyle w:val="enf6"/>
      </w:pPr>
      <w:r>
        <w:t>(vi) the Welfare and Medical Service Agency;</w:t>
      </w:r>
    </w:p>
    <w:p w:rsidR="00511B2B" w:rsidRDefault="006E2761">
      <w:pPr>
        <w:pStyle w:val="enf6"/>
      </w:pPr>
      <w:r>
        <w:t>(vii) deleted;</w:t>
      </w:r>
    </w:p>
    <w:p w:rsidR="00511B2B" w:rsidRDefault="006E2761">
      <w:pPr>
        <w:pStyle w:val="enf6"/>
      </w:pPr>
      <w:r>
        <w:t>(viii) dele</w:t>
      </w:r>
      <w:r>
        <w:t>ted;</w:t>
      </w:r>
    </w:p>
    <w:p w:rsidR="00511B2B" w:rsidRDefault="006E2761">
      <w:pPr>
        <w:pStyle w:val="enf6"/>
      </w:pPr>
      <w:r>
        <w:t>(ix) the New Energy and Industrial Technology Development Organization</w:t>
      </w:r>
    </w:p>
    <w:p w:rsidR="00511B2B" w:rsidRDefault="006E2761">
      <w:pPr>
        <w:pStyle w:val="enf6"/>
      </w:pPr>
      <w:r>
        <w:t>(x) the Japan Student Services Organization;</w:t>
      </w:r>
    </w:p>
    <w:p w:rsidR="00511B2B" w:rsidRDefault="006E2761">
      <w:pPr>
        <w:pStyle w:val="enf6"/>
      </w:pPr>
      <w:r>
        <w:t>(xi) a foreign insurance company, etc. prescribed in Article 2, paragraph (7) of the Insurance Business Act (Act No. 105 of 1995);</w:t>
      </w:r>
    </w:p>
    <w:p w:rsidR="00511B2B" w:rsidRDefault="006E2761">
      <w:pPr>
        <w:pStyle w:val="enf6"/>
      </w:pPr>
      <w:r>
        <w:t>(xii</w:t>
      </w:r>
      <w:r>
        <w:t>) a federation of agricultural cooperatives engaged in the business set forth in Article 10, paragraph (1), item (x) of the Agricultural Cooperatives Act (Act No. 132 of 1947);</w:t>
      </w:r>
    </w:p>
    <w:p w:rsidR="00511B2B" w:rsidRDefault="006E2761">
      <w:pPr>
        <w:pStyle w:val="enf6"/>
      </w:pPr>
      <w:r>
        <w:t>(xiii) a federation of mutual aid fisheries cooperatives; and</w:t>
      </w:r>
    </w:p>
    <w:p w:rsidR="00511B2B" w:rsidRDefault="006E2761">
      <w:pPr>
        <w:pStyle w:val="enf6"/>
      </w:pPr>
      <w:r>
        <w:t>(xiv) a financial</w:t>
      </w:r>
      <w:r>
        <w:t xml:space="preserve"> instruments business operator prescribed in Article 2, paragraph (9) of the Financial Instruments and Exchange Act (Act No. 25 of 1948) (limited to those engaged in the Type I Financial Instruments Business prescribed in Article 28, paragraph (1) of the A</w:t>
      </w:r>
      <w:r>
        <w:t>ct).</w:t>
      </w:r>
    </w:p>
    <w:p w:rsidR="00511B2B" w:rsidRDefault="00511B2B"/>
    <w:p w:rsidR="00511B2B" w:rsidRDefault="006E2761">
      <w:pPr>
        <w:pStyle w:val="ena"/>
      </w:pPr>
      <w:r>
        <w:t>(Holders of the Right to Indemnification)</w:t>
      </w:r>
    </w:p>
    <w:p w:rsidR="00511B2B" w:rsidRDefault="006E2761">
      <w:pPr>
        <w:pStyle w:val="enf3"/>
      </w:pPr>
      <w:r>
        <w:t xml:space="preserve">Article 2  The person specified by Cabinet Order referred to in Article 2, </w:t>
      </w:r>
      <w:r>
        <w:lastRenderedPageBreak/>
        <w:t>paragraph (1), item (xxi) of the Act is one of the following persons:</w:t>
      </w:r>
    </w:p>
    <w:p w:rsidR="00511B2B" w:rsidRDefault="006E2761">
      <w:pPr>
        <w:pStyle w:val="enf6"/>
      </w:pPr>
      <w:r>
        <w:t>(i) an agriculture credit guarantee fund association;</w:t>
      </w:r>
    </w:p>
    <w:p w:rsidR="00511B2B" w:rsidRDefault="006E2761">
      <w:pPr>
        <w:pStyle w:val="enf6"/>
      </w:pPr>
      <w:r>
        <w:t>(ii) a fi</w:t>
      </w:r>
      <w:r>
        <w:t>sheries credit guarantee fund association;</w:t>
      </w:r>
    </w:p>
    <w:p w:rsidR="00511B2B" w:rsidRDefault="006E2761">
      <w:pPr>
        <w:pStyle w:val="enf6"/>
      </w:pPr>
      <w:r>
        <w:t>(iii) the Agriculture, Forestry and Fisheries Credit Foundations;</w:t>
      </w:r>
    </w:p>
    <w:p w:rsidR="00511B2B" w:rsidRDefault="006E2761">
      <w:pPr>
        <w:pStyle w:val="enf6"/>
      </w:pPr>
      <w:r>
        <w:t>(iv) deleted;</w:t>
      </w:r>
    </w:p>
    <w:p w:rsidR="00511B2B" w:rsidRDefault="006E2761">
      <w:pPr>
        <w:pStyle w:val="enf6"/>
      </w:pPr>
      <w:r>
        <w:t>(v) the National Institute of Information and Communications Technology</w:t>
      </w:r>
    </w:p>
    <w:p w:rsidR="00511B2B" w:rsidRDefault="006E2761">
      <w:pPr>
        <w:pStyle w:val="enf6"/>
      </w:pPr>
      <w:r>
        <w:t xml:space="preserve">(vi) a person listed in Article 2, paragraph (1), item (i) </w:t>
      </w:r>
      <w:r>
        <w:t>of the Act; and</w:t>
      </w:r>
    </w:p>
    <w:p w:rsidR="00511B2B" w:rsidRDefault="006E2761">
      <w:pPr>
        <w:pStyle w:val="enf6"/>
      </w:pPr>
      <w:r>
        <w:t>(vii) a corporation other than a person listed in any of the preceding items, and that is engaged in the business of providing guarantees for debts involving claims prescribed in Article 2, paragraph (1), items (i) through (xix) of the Act.</w:t>
      </w:r>
    </w:p>
    <w:p w:rsidR="00511B2B" w:rsidRDefault="00511B2B"/>
    <w:p w:rsidR="00511B2B" w:rsidRDefault="006E2761">
      <w:pPr>
        <w:pStyle w:val="ena"/>
      </w:pPr>
      <w:r>
        <w:t>(Other Specified Monetary Claims)</w:t>
      </w:r>
    </w:p>
    <w:p w:rsidR="00511B2B" w:rsidRDefault="006E2761">
      <w:pPr>
        <w:pStyle w:val="enf3"/>
      </w:pPr>
      <w:r>
        <w:t>Article 3  The claim specified by Cabinet Order referred to in Article 2, paragraph (1), item (xxii) of the Act is one of the following claims:</w:t>
      </w:r>
    </w:p>
    <w:p w:rsidR="00511B2B" w:rsidRDefault="006E2761">
      <w:pPr>
        <w:pStyle w:val="enf6"/>
      </w:pPr>
      <w:r>
        <w:t>(i) a monetary claim (excluding a loan claim; the same applies in the follow</w:t>
      </w:r>
      <w:r>
        <w:t>ing item) that is held by a person listed in Article 2, paragraph (1), item (i) of the Act against the debtor of the loan claim that is held by that person, and is secured by the security interest in that loan claim;</w:t>
      </w:r>
    </w:p>
    <w:p w:rsidR="00511B2B" w:rsidRDefault="006E2761">
      <w:pPr>
        <w:pStyle w:val="enf6"/>
      </w:pPr>
      <w:r>
        <w:t xml:space="preserve">(ii) a monetary claim that was held by </w:t>
      </w:r>
      <w:r>
        <w:t>any person listed in Article 2, paragraph (1), item (i) of the Act against the debtor of the loan claim that was held by that person, which was secured by the security interest in that loan claim, and which has been assigned along with that loan claim by t</w:t>
      </w:r>
      <w:r>
        <w:t>he person listed in item (i);</w:t>
      </w:r>
    </w:p>
    <w:p w:rsidR="00511B2B" w:rsidRDefault="006E2761">
      <w:pPr>
        <w:pStyle w:val="enf6"/>
      </w:pPr>
      <w:r>
        <w:t>(iii) if a person listed in Article 2, paragraph (1), item (i) of the Act has sold real property, a monetary claim that is held by the person listed in item (i) against the purchaser under a sales contract stipulating that the</w:t>
      </w:r>
      <w:r>
        <w:t xml:space="preserve"> seller is to receive the proceeds of the sale in three or more installments over a period of two months or more;</w:t>
      </w:r>
    </w:p>
    <w:p w:rsidR="00511B2B" w:rsidRDefault="006E2761">
      <w:pPr>
        <w:pStyle w:val="enf6"/>
      </w:pPr>
      <w:r>
        <w:t xml:space="preserve">(iv) a loan claim that is held or was held by a person who received a loan of funds, pursuant to the provisions of Article 12, paragraph (2), </w:t>
      </w:r>
      <w:r>
        <w:t xml:space="preserve">item (ii)(a) of the Act on the Dissolution of and Succession to Business of the Pension and Welfare Service Corporation (Act No. 20 of 2000) prior to its repeal pursuant to the provisions of Article 14, item (ii) of the Supplementary Provisions of the Act </w:t>
      </w:r>
      <w:r>
        <w:t>on the Government Pension Investment Fund (Act No. 105 of 2004) or pursuant to the provisions of Article 17, paragraph (1), item (iii)(a) of the Pension and Welfare Service Corporation Act (Act No. 180 of 1961) prior to its repeal pursuant to the provision</w:t>
      </w:r>
      <w:r>
        <w:t xml:space="preserve">s of Article 3, item (i) of the Supplementary Provisions of the Act on the Dissolution of and Succession to Business of the Pension and Welfare Service Corporation, from the old Government Pension Investment Fund prior to its dissolution pursuant to </w:t>
      </w:r>
      <w:r>
        <w:lastRenderedPageBreak/>
        <w:t>the pr</w:t>
      </w:r>
      <w:r>
        <w:t>ovisions of Article 3, paragraph (1) of the Supplementary Provisions of the Act on the Government Pension Investment Fund or from the Pension and Welfare Service Corporation prior to its dissolution pursuant to the provisions of Article 1, paragraph (1) of</w:t>
      </w:r>
      <w:r>
        <w:t xml:space="preserve"> the Act on the Dissolution of and Succession to Business of the Pension and Welfare Service Corporation prior to its repeal pursuant to the provisions of Article 14, item (ii) of the Supplementary Provisions of the Act on the Government Pension Investment</w:t>
      </w:r>
      <w:r>
        <w:t xml:space="preserve"> Fund, against a person insured by employees' pension insurance, by reason of the home loan provided from the funds for the insured person;</w:t>
      </w:r>
    </w:p>
    <w:p w:rsidR="00511B2B" w:rsidRDefault="006E2761">
      <w:pPr>
        <w:pStyle w:val="enf6"/>
      </w:pPr>
      <w:r>
        <w:t>(v) a monetary claim that is held or was held by the creditor of a loan claim set forth in Article 2, paragraph (1),</w:t>
      </w:r>
      <w:r>
        <w:t xml:space="preserve"> item (i) of the Act against the debtor of the loan claim, in connection with an insurance premium under an insurance contract concluded in order to secure payment of the debt under the loan claim, in which the debtor is designated as the insured;</w:t>
      </w:r>
    </w:p>
    <w:p w:rsidR="00511B2B" w:rsidRDefault="006E2761">
      <w:pPr>
        <w:pStyle w:val="enf6"/>
      </w:pPr>
      <w:r>
        <w:t>(vi) any</w:t>
      </w:r>
      <w:r>
        <w:t xml:space="preserve"> other monetary claim that is held or was held by the creditor of any of the claims listed in Article 2, paragraph (1), items (iv) through (vii)-2 of the Act against the debtor of the claim, under an agreement incidental to the contract from which the clai</w:t>
      </w:r>
      <w:r>
        <w:t>m has arisen;</w:t>
      </w:r>
    </w:p>
    <w:p w:rsidR="00511B2B" w:rsidRDefault="006E2761">
      <w:pPr>
        <w:pStyle w:val="enf6"/>
      </w:pPr>
      <w:r>
        <w:t xml:space="preserve">(vii) a monetary claim that is held by a person subject to a ruling to commence composition prescribed in the Composition Act (Act No. 72 of 1922) prior to its repeal pursuant to the provisions of Article 2 of the Supplementary Provisions of </w:t>
      </w:r>
      <w:r>
        <w:t>the Civil Rehabilitation Act (Act No. 225 of 1999) (excluding a person for whom the composition proceedings based on a ruling to commence composition have been closed);</w:t>
      </w:r>
    </w:p>
    <w:p w:rsidR="00511B2B" w:rsidRDefault="006E2761">
      <w:pPr>
        <w:pStyle w:val="enf6"/>
      </w:pPr>
      <w:r>
        <w:t>(viii) a monetary claim assigned by a person subject to the ruling to commence composit</w:t>
      </w:r>
      <w:r>
        <w:t>ion prescribed in the preceding item;</w:t>
      </w:r>
    </w:p>
    <w:p w:rsidR="00511B2B" w:rsidRDefault="006E2761">
      <w:pPr>
        <w:pStyle w:val="enf6"/>
      </w:pPr>
      <w:r>
        <w:t>(ix) a loan claim that is held by a general incorporated association or general incorporated foundation designated by the Minister of Education, Culture, Sports, Science and Technology as a corporation that receives fu</w:t>
      </w:r>
      <w:r>
        <w:t>nds provided by a prefecture to cover expenses and engages in the business of providing loans of funds (limited to loans for which the loan conditions are specified or approved by the prefecture) as school expenses to be provided without interest on behalf</w:t>
      </w:r>
      <w:r>
        <w:t xml:space="preserve"> of the prefecture for students in high school, etc. (meaning in high school, a school for secondary education (limited to the second half of studies prescribed in Article 66 of the School Education Act) (Act No. 26 of 1947), or a school for special needs </w:t>
      </w:r>
      <w:r>
        <w:t>education (limited to a high school section prescribed in Article 76, paragraph (2) of the Act) prescribed in Article 1 of the Act, in a specialized training school prescribed in Article 124 of the Act (limited to high school programs prescribed in Article</w:t>
      </w:r>
      <w:r>
        <w:t xml:space="preserve"> 125, paragraph (1) of the Act); hereinafter the same applies in this item), by reason of the loan of funds provided by that association or foundation as school expenses for a student in high school, etc. in the course of that business;</w:t>
      </w:r>
    </w:p>
    <w:p w:rsidR="00511B2B" w:rsidRDefault="006E2761">
      <w:pPr>
        <w:pStyle w:val="enf6"/>
      </w:pPr>
      <w:r>
        <w:t>(x) a claim for rei</w:t>
      </w:r>
      <w:r>
        <w:t>mbursement of enforcement costs, court costs, or any other costs incurred for collection that are payable by the debtor of any of the monetary claims listed in the items of Article 2, paragraph (1) of the Act;</w:t>
      </w:r>
    </w:p>
    <w:p w:rsidR="00511B2B" w:rsidRDefault="006E2761">
      <w:pPr>
        <w:pStyle w:val="enf6"/>
      </w:pPr>
      <w:r>
        <w:t xml:space="preserve">(xi) a claim under a contract of guarantee to </w:t>
      </w:r>
      <w:r>
        <w:t>secure any of the monetary claims listed in the preceding items;</w:t>
      </w:r>
    </w:p>
    <w:p w:rsidR="00511B2B" w:rsidRDefault="006E2761">
      <w:pPr>
        <w:pStyle w:val="enf6"/>
      </w:pPr>
      <w:r>
        <w:t>(xii) the right to indemnification obtained by a credit guarantee corporation or any of the persons listed in the items of Article 2 when performing an obligation under the claim set forth in</w:t>
      </w:r>
      <w:r>
        <w:t xml:space="preserve"> the preceding item;</w:t>
      </w:r>
    </w:p>
    <w:p w:rsidR="00511B2B" w:rsidRDefault="006E2761">
      <w:pPr>
        <w:pStyle w:val="enf6"/>
      </w:pPr>
      <w:r>
        <w:t xml:space="preserve">(xiii) a claim to a guarantee fee that is held or was held by any of the persons listed in the preceding item under a guarantee consignment contract involving the obligation set forth in Article 2, paragraph (1), item (xxi) of the Act </w:t>
      </w:r>
      <w:r>
        <w:t>or the preceding item;</w:t>
      </w:r>
    </w:p>
    <w:p w:rsidR="00511B2B" w:rsidRDefault="006E2761">
      <w:pPr>
        <w:pStyle w:val="enf6"/>
      </w:pPr>
      <w:r>
        <w:t>(xiv) the right to indemnification set forth in Article 2, paragraph (1), item (xxi) of the Act or in item (xii) above, or a claim under the contract of guarantee to secure the claim set forth in the preceding item; and</w:t>
      </w:r>
    </w:p>
    <w:p w:rsidR="00511B2B" w:rsidRDefault="006E2761">
      <w:pPr>
        <w:pStyle w:val="enf6"/>
      </w:pPr>
      <w:r>
        <w:t>(xv) a loan c</w:t>
      </w:r>
      <w:r>
        <w:t>laim in relation to a loan contract taken over by the National Institute of Information and Communications Technology referred to in Article 3 of the Act on the National Institute of Information and Communications Technology, Independent Administrative Age</w:t>
      </w:r>
      <w:r>
        <w:t>ncy (Act No. 162 of 1999) prior to amendment by the provisions of Article 47 of the Act on the Arrangement of Relevant Acts Incidental to Enforcement of the Act Partially Amending the Act on General Rules for Incorporated Administrative Agencies (Act No. 6</w:t>
      </w:r>
      <w:r>
        <w:t>7 of 2014), pursuant to the provisions of Article 3, paragraph (1) of the Supplementary Provisions of the Act Partially Amending the Act on the National Institute of Information and Communications Technology (Act No. 134 of 2002).</w:t>
      </w:r>
    </w:p>
    <w:p w:rsidR="00511B2B" w:rsidRDefault="00511B2B"/>
    <w:p w:rsidR="00511B2B" w:rsidRDefault="006E2761">
      <w:pPr>
        <w:pStyle w:val="ena"/>
      </w:pPr>
      <w:r>
        <w:t>(Incidental Operations)</w:t>
      </w:r>
    </w:p>
    <w:p w:rsidR="00511B2B" w:rsidRDefault="006E2761">
      <w:pPr>
        <w:pStyle w:val="enf3"/>
      </w:pPr>
      <w:r>
        <w:t>Article 4  The operations specified by Cabinet Order referred to in Article 12, item (ii) of the Act are the business of conducting the sale, exchange, or lease of the real property that is the subject of the security interest in a specified monetary claim</w:t>
      </w:r>
      <w:r>
        <w:t xml:space="preserve"> (if the subject of the security interest is land, this includes its neighboring land, and if the subject of the security interest is a building, this includes the land on which the building is located and its neighboring land), or of acting as an agent or</w:t>
      </w:r>
      <w:r>
        <w:t xml:space="preserve"> intermediary therefor.</w:t>
      </w:r>
    </w:p>
    <w:sectPr w:rsidR="00511B2B" w:rsidSect="00511B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1B2B" w:rsidRDefault="00511B2B" w:rsidP="00511B2B">
      <w:r>
        <w:separator/>
      </w:r>
    </w:p>
  </w:endnote>
  <w:endnote w:type="continuationSeparator" w:id="0">
    <w:p w:rsidR="00511B2B" w:rsidRDefault="00511B2B" w:rsidP="0051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1B2B" w:rsidRDefault="00511B2B">
    <w:pPr>
      <w:pStyle w:val="a3"/>
    </w:pPr>
    <w:r>
      <w:fldChar w:fldCharType="begin"/>
    </w:r>
    <w:r>
      <w:instrText xml:space="preserve"> PAGE  \* MERGEFORMAT </w:instrText>
    </w:r>
    <w:r>
      <w:fldChar w:fldCharType="separate"/>
    </w:r>
    <w:r w:rsidR="006E27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1B2B" w:rsidRDefault="00511B2B" w:rsidP="00511B2B">
      <w:r>
        <w:separator/>
      </w:r>
    </w:p>
  </w:footnote>
  <w:footnote w:type="continuationSeparator" w:id="0">
    <w:p w:rsidR="00511B2B" w:rsidRDefault="00511B2B" w:rsidP="00511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7F0"/>
    <w:multiLevelType w:val="multilevel"/>
    <w:tmpl w:val="20442E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654314"/>
    <w:multiLevelType w:val="multilevel"/>
    <w:tmpl w:val="3BCC83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53A5472"/>
    <w:multiLevelType w:val="multilevel"/>
    <w:tmpl w:val="DB2836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25010F"/>
    <w:multiLevelType w:val="multilevel"/>
    <w:tmpl w:val="93E64E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497406"/>
    <w:multiLevelType w:val="multilevel"/>
    <w:tmpl w:val="CFE40A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E37CD7"/>
    <w:multiLevelType w:val="multilevel"/>
    <w:tmpl w:val="1144D4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916FFA"/>
    <w:multiLevelType w:val="multilevel"/>
    <w:tmpl w:val="37DA2F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1A2FB2"/>
    <w:multiLevelType w:val="multilevel"/>
    <w:tmpl w:val="D34EDD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A65F3B"/>
    <w:multiLevelType w:val="multilevel"/>
    <w:tmpl w:val="FBCEDB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AD2B8B"/>
    <w:multiLevelType w:val="multilevel"/>
    <w:tmpl w:val="43462F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7061A8"/>
    <w:multiLevelType w:val="multilevel"/>
    <w:tmpl w:val="64B4A2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095252"/>
    <w:multiLevelType w:val="multilevel"/>
    <w:tmpl w:val="BA1C37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A6F29"/>
    <w:multiLevelType w:val="multilevel"/>
    <w:tmpl w:val="79D2F9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2"/>
  </w:num>
  <w:num w:numId="3">
    <w:abstractNumId w:val="0"/>
  </w:num>
  <w:num w:numId="4">
    <w:abstractNumId w:val="3"/>
  </w:num>
  <w:num w:numId="5">
    <w:abstractNumId w:val="2"/>
  </w:num>
  <w:num w:numId="6">
    <w:abstractNumId w:val="7"/>
  </w:num>
  <w:num w:numId="7">
    <w:abstractNumId w:val="5"/>
  </w:num>
  <w:num w:numId="8">
    <w:abstractNumId w:val="11"/>
  </w:num>
  <w:num w:numId="9">
    <w:abstractNumId w:val="9"/>
  </w:num>
  <w:num w:numId="10">
    <w:abstractNumId w:val="6"/>
  </w:num>
  <w:num w:numId="11">
    <w:abstractNumId w:val="1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1B2B"/>
    <w:rsid w:val="00511B2B"/>
    <w:rsid w:val="006E27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B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1B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1B2B"/>
    <w:rPr>
      <w:rFonts w:ascii="Century" w:eastAsia="Century" w:hAnsi="Century"/>
    </w:rPr>
  </w:style>
  <w:style w:type="paragraph" w:customStyle="1" w:styleId="ja0">
    <w:name w:val="款（ja）"/>
    <w:basedOn w:val="a"/>
    <w:rsid w:val="00511B2B"/>
    <w:pPr>
      <w:widowControl w:val="0"/>
      <w:ind w:left="1321" w:hanging="221"/>
    </w:pPr>
    <w:rPr>
      <w:rFonts w:ascii="ＭＳ 明朝" w:eastAsia="ＭＳ 明朝" w:hAnsi="ＭＳ 明朝" w:cs="ＭＳ 明朝"/>
      <w:b/>
    </w:rPr>
  </w:style>
  <w:style w:type="paragraph" w:customStyle="1" w:styleId="en0">
    <w:name w:val="款（en）"/>
    <w:basedOn w:val="ja0"/>
    <w:rsid w:val="00511B2B"/>
    <w:rPr>
      <w:rFonts w:ascii="Century" w:eastAsia="Century" w:hAnsi="Century" w:cs="Century"/>
    </w:rPr>
  </w:style>
  <w:style w:type="paragraph" w:customStyle="1" w:styleId="ja1">
    <w:name w:val="前文（ja）"/>
    <w:basedOn w:val="a"/>
    <w:rsid w:val="00511B2B"/>
    <w:pPr>
      <w:widowControl w:val="0"/>
      <w:ind w:firstLine="219"/>
    </w:pPr>
    <w:rPr>
      <w:rFonts w:ascii="ＭＳ 明朝" w:eastAsia="ＭＳ 明朝" w:hAnsi="ＭＳ 明朝" w:cs="ＭＳ 明朝"/>
    </w:rPr>
  </w:style>
  <w:style w:type="paragraph" w:customStyle="1" w:styleId="en1">
    <w:name w:val="前文（en）"/>
    <w:basedOn w:val="ja1"/>
    <w:rsid w:val="00511B2B"/>
    <w:rPr>
      <w:rFonts w:ascii="Century" w:eastAsia="Century" w:hAnsi="Century" w:cs="Century"/>
    </w:rPr>
  </w:style>
  <w:style w:type="paragraph" w:customStyle="1" w:styleId="ja2">
    <w:name w:val="附則（ja）"/>
    <w:basedOn w:val="a"/>
    <w:rsid w:val="00511B2B"/>
    <w:pPr>
      <w:widowControl w:val="0"/>
      <w:ind w:left="881" w:hanging="221"/>
    </w:pPr>
    <w:rPr>
      <w:rFonts w:ascii="ＭＳ 明朝" w:eastAsia="ＭＳ 明朝" w:hAnsi="ＭＳ 明朝" w:cs="ＭＳ 明朝"/>
      <w:b/>
    </w:rPr>
  </w:style>
  <w:style w:type="paragraph" w:customStyle="1" w:styleId="en2">
    <w:name w:val="附則（en）"/>
    <w:basedOn w:val="ja2"/>
    <w:rsid w:val="00511B2B"/>
    <w:rPr>
      <w:rFonts w:ascii="Century" w:hAnsi="Century" w:cs="Century"/>
    </w:rPr>
  </w:style>
  <w:style w:type="paragraph" w:customStyle="1" w:styleId="ja3">
    <w:name w:val="章（ja）"/>
    <w:basedOn w:val="a"/>
    <w:rsid w:val="00511B2B"/>
    <w:pPr>
      <w:widowControl w:val="0"/>
      <w:ind w:left="881" w:hanging="221"/>
    </w:pPr>
    <w:rPr>
      <w:rFonts w:ascii="ＭＳ 明朝" w:eastAsia="ＭＳ 明朝" w:hAnsi="ＭＳ 明朝" w:cs="ＭＳ 明朝"/>
      <w:b/>
    </w:rPr>
  </w:style>
  <w:style w:type="paragraph" w:customStyle="1" w:styleId="en3">
    <w:name w:val="章（en）"/>
    <w:basedOn w:val="ja3"/>
    <w:rsid w:val="00511B2B"/>
    <w:rPr>
      <w:rFonts w:ascii="Century" w:eastAsia="Century" w:hAnsi="Century" w:cs="Century"/>
    </w:rPr>
  </w:style>
  <w:style w:type="paragraph" w:customStyle="1" w:styleId="ja4">
    <w:name w:val="目次編（ja）"/>
    <w:basedOn w:val="a"/>
    <w:rsid w:val="00511B2B"/>
    <w:pPr>
      <w:widowControl w:val="0"/>
      <w:ind w:left="219" w:hanging="219"/>
    </w:pPr>
    <w:rPr>
      <w:rFonts w:ascii="ＭＳ 明朝" w:eastAsia="ＭＳ 明朝" w:hAnsi="ＭＳ 明朝"/>
    </w:rPr>
  </w:style>
  <w:style w:type="paragraph" w:customStyle="1" w:styleId="en4">
    <w:name w:val="目次編（en）"/>
    <w:basedOn w:val="ja4"/>
    <w:rsid w:val="00511B2B"/>
    <w:rPr>
      <w:rFonts w:ascii="Century" w:eastAsia="Century" w:hAnsi="Century"/>
    </w:rPr>
  </w:style>
  <w:style w:type="paragraph" w:customStyle="1" w:styleId="ja5">
    <w:name w:val="目次章（ja）"/>
    <w:basedOn w:val="a"/>
    <w:rsid w:val="00511B2B"/>
    <w:pPr>
      <w:widowControl w:val="0"/>
      <w:ind w:left="439" w:hanging="219"/>
    </w:pPr>
    <w:rPr>
      <w:rFonts w:ascii="ＭＳ 明朝" w:eastAsia="ＭＳ 明朝" w:hAnsi="ＭＳ 明朝"/>
    </w:rPr>
  </w:style>
  <w:style w:type="paragraph" w:customStyle="1" w:styleId="en5">
    <w:name w:val="目次章（en）"/>
    <w:basedOn w:val="ja5"/>
    <w:rsid w:val="00511B2B"/>
    <w:rPr>
      <w:rFonts w:ascii="Century" w:eastAsia="Century" w:hAnsi="Century"/>
    </w:rPr>
  </w:style>
  <w:style w:type="paragraph" w:customStyle="1" w:styleId="ja6">
    <w:name w:val="目次節（ja）"/>
    <w:basedOn w:val="a"/>
    <w:rsid w:val="00511B2B"/>
    <w:pPr>
      <w:widowControl w:val="0"/>
      <w:ind w:left="659" w:hanging="219"/>
    </w:pPr>
    <w:rPr>
      <w:rFonts w:ascii="ＭＳ 明朝" w:eastAsia="ＭＳ 明朝" w:hAnsi="ＭＳ 明朝"/>
    </w:rPr>
  </w:style>
  <w:style w:type="paragraph" w:customStyle="1" w:styleId="en6">
    <w:name w:val="目次節（en）"/>
    <w:basedOn w:val="ja6"/>
    <w:rsid w:val="00511B2B"/>
    <w:rPr>
      <w:rFonts w:ascii="Century" w:eastAsia="Century" w:hAnsi="Century"/>
    </w:rPr>
  </w:style>
  <w:style w:type="paragraph" w:customStyle="1" w:styleId="ja7">
    <w:name w:val="目次款（ja）"/>
    <w:basedOn w:val="a"/>
    <w:rsid w:val="00511B2B"/>
    <w:pPr>
      <w:widowControl w:val="0"/>
      <w:ind w:left="879" w:hanging="219"/>
    </w:pPr>
    <w:rPr>
      <w:rFonts w:ascii="ＭＳ 明朝" w:eastAsia="ＭＳ 明朝" w:hAnsi="ＭＳ 明朝" w:cs="Kochi Mincho"/>
    </w:rPr>
  </w:style>
  <w:style w:type="paragraph" w:customStyle="1" w:styleId="en7">
    <w:name w:val="目次款（en）"/>
    <w:basedOn w:val="ja7"/>
    <w:rsid w:val="00511B2B"/>
    <w:rPr>
      <w:rFonts w:ascii="Century" w:eastAsia="Century" w:hAnsi="Century"/>
    </w:rPr>
  </w:style>
  <w:style w:type="paragraph" w:customStyle="1" w:styleId="ja8">
    <w:name w:val="別表名（ja）"/>
    <w:basedOn w:val="a"/>
    <w:rsid w:val="00511B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1B2B"/>
    <w:rPr>
      <w:rFonts w:ascii="Century" w:eastAsia="Century" w:hAnsi="Century" w:cs="Century"/>
    </w:rPr>
  </w:style>
  <w:style w:type="paragraph" w:customStyle="1" w:styleId="ja9">
    <w:name w:val="目（ja）"/>
    <w:basedOn w:val="a"/>
    <w:rsid w:val="00511B2B"/>
    <w:pPr>
      <w:widowControl w:val="0"/>
      <w:ind w:left="1541" w:hanging="221"/>
    </w:pPr>
    <w:rPr>
      <w:rFonts w:ascii="ＭＳ 明朝" w:eastAsia="ＭＳ 明朝" w:hAnsi="ＭＳ 明朝" w:cs="ＭＳ 明朝"/>
      <w:b/>
    </w:rPr>
  </w:style>
  <w:style w:type="paragraph" w:customStyle="1" w:styleId="en9">
    <w:name w:val="目（en）"/>
    <w:basedOn w:val="ja9"/>
    <w:rsid w:val="00511B2B"/>
    <w:rPr>
      <w:rFonts w:ascii="Century" w:eastAsia="Century" w:hAnsi="Century" w:cs="Century"/>
    </w:rPr>
  </w:style>
  <w:style w:type="paragraph" w:customStyle="1" w:styleId="jaa">
    <w:name w:val="見出し（ja）"/>
    <w:basedOn w:val="a"/>
    <w:rsid w:val="00511B2B"/>
    <w:pPr>
      <w:widowControl w:val="0"/>
      <w:ind w:left="439" w:hanging="219"/>
    </w:pPr>
    <w:rPr>
      <w:rFonts w:ascii="ＭＳ 明朝" w:eastAsia="ＭＳ 明朝" w:hAnsi="ＭＳ 明朝" w:cs="ＭＳ 明朝"/>
    </w:rPr>
  </w:style>
  <w:style w:type="paragraph" w:customStyle="1" w:styleId="ena">
    <w:name w:val="見出し（en）"/>
    <w:basedOn w:val="jaa"/>
    <w:rsid w:val="00511B2B"/>
    <w:rPr>
      <w:rFonts w:ascii="Century" w:eastAsia="Century" w:hAnsi="Century" w:cs="Century"/>
    </w:rPr>
  </w:style>
  <w:style w:type="paragraph" w:styleId="a3">
    <w:name w:val="footer"/>
    <w:basedOn w:val="a"/>
    <w:rsid w:val="00511B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1B2B"/>
    <w:pPr>
      <w:widowControl w:val="0"/>
      <w:ind w:left="1099" w:hanging="219"/>
    </w:pPr>
    <w:rPr>
      <w:rFonts w:ascii="ＭＳ 明朝" w:eastAsia="ＭＳ 明朝" w:hAnsi="ＭＳ 明朝" w:cs="Kochi Mincho"/>
    </w:rPr>
  </w:style>
  <w:style w:type="paragraph" w:customStyle="1" w:styleId="enb">
    <w:name w:val="目次目（en）"/>
    <w:basedOn w:val="jab"/>
    <w:rsid w:val="00511B2B"/>
    <w:rPr>
      <w:rFonts w:ascii="Century" w:eastAsia="Century" w:hAnsi="Century"/>
    </w:rPr>
  </w:style>
  <w:style w:type="paragraph" w:customStyle="1" w:styleId="jac">
    <w:name w:val="目次附則（ja）"/>
    <w:basedOn w:val="a"/>
    <w:rsid w:val="00511B2B"/>
    <w:pPr>
      <w:widowControl w:val="0"/>
      <w:ind w:left="439" w:hanging="219"/>
    </w:pPr>
    <w:rPr>
      <w:rFonts w:ascii="ＭＳ 明朝" w:eastAsia="ＭＳ 明朝" w:hAnsi="ＭＳ 明朝" w:cs="Kochi Mincho"/>
    </w:rPr>
  </w:style>
  <w:style w:type="paragraph" w:customStyle="1" w:styleId="enc">
    <w:name w:val="目次附則（en）"/>
    <w:basedOn w:val="jac"/>
    <w:rsid w:val="00511B2B"/>
    <w:rPr>
      <w:rFonts w:ascii="Century" w:eastAsia="Century" w:hAnsi="Century" w:cs="Century"/>
    </w:rPr>
  </w:style>
  <w:style w:type="paragraph" w:customStyle="1" w:styleId="jad">
    <w:name w:val="目次前文（ja）"/>
    <w:basedOn w:val="jac"/>
    <w:rsid w:val="00511B2B"/>
  </w:style>
  <w:style w:type="paragraph" w:customStyle="1" w:styleId="end">
    <w:name w:val="目次前文（en）"/>
    <w:basedOn w:val="enc"/>
    <w:rsid w:val="00511B2B"/>
  </w:style>
  <w:style w:type="paragraph" w:customStyle="1" w:styleId="jae">
    <w:name w:val="制定文（ja）"/>
    <w:basedOn w:val="a"/>
    <w:rsid w:val="00511B2B"/>
    <w:pPr>
      <w:widowControl w:val="0"/>
      <w:ind w:firstLine="219"/>
    </w:pPr>
    <w:rPr>
      <w:rFonts w:ascii="ＭＳ 明朝" w:eastAsia="ＭＳ 明朝" w:hAnsi="ＭＳ 明朝" w:cs="ＭＳ 明朝"/>
    </w:rPr>
  </w:style>
  <w:style w:type="paragraph" w:customStyle="1" w:styleId="ene">
    <w:name w:val="制定文（en）"/>
    <w:basedOn w:val="jae"/>
    <w:rsid w:val="00511B2B"/>
    <w:rPr>
      <w:rFonts w:ascii="Century" w:eastAsia="Century" w:hAnsi="Century" w:cs="Century"/>
    </w:rPr>
  </w:style>
  <w:style w:type="paragraph" w:customStyle="1" w:styleId="jaf">
    <w:name w:val="法令番号（ja）"/>
    <w:basedOn w:val="a"/>
    <w:rsid w:val="00511B2B"/>
    <w:pPr>
      <w:widowControl w:val="0"/>
      <w:jc w:val="right"/>
    </w:pPr>
    <w:rPr>
      <w:rFonts w:ascii="ＭＳ 明朝" w:eastAsia="ＭＳ 明朝" w:hAnsi="ＭＳ 明朝" w:cs="Kochi Mincho"/>
    </w:rPr>
  </w:style>
  <w:style w:type="paragraph" w:customStyle="1" w:styleId="enf">
    <w:name w:val="法令番号（en）"/>
    <w:basedOn w:val="jaf"/>
    <w:rsid w:val="00511B2B"/>
    <w:rPr>
      <w:rFonts w:ascii="Century" w:eastAsia="Century" w:hAnsi="Century" w:cs="Century"/>
    </w:rPr>
  </w:style>
  <w:style w:type="paragraph" w:customStyle="1" w:styleId="jaf0">
    <w:name w:val="目次（ja）"/>
    <w:basedOn w:val="a"/>
    <w:rsid w:val="00511B2B"/>
    <w:rPr>
      <w:rFonts w:ascii="ＭＳ 明朝" w:eastAsia="ＭＳ 明朝" w:hAnsi="ＭＳ 明朝"/>
    </w:rPr>
  </w:style>
  <w:style w:type="paragraph" w:customStyle="1" w:styleId="enf0">
    <w:name w:val="目次（en）"/>
    <w:basedOn w:val="jaf0"/>
    <w:rsid w:val="00511B2B"/>
    <w:rPr>
      <w:rFonts w:ascii="Century" w:eastAsia="Century" w:hAnsi="Century"/>
    </w:rPr>
  </w:style>
  <w:style w:type="paragraph" w:customStyle="1" w:styleId="jaf1">
    <w:name w:val="編（ja）"/>
    <w:basedOn w:val="a"/>
    <w:rsid w:val="00511B2B"/>
    <w:pPr>
      <w:widowControl w:val="0"/>
      <w:ind w:left="661" w:hanging="221"/>
    </w:pPr>
    <w:rPr>
      <w:rFonts w:ascii="ＭＳ 明朝" w:eastAsia="ＭＳ 明朝" w:hAnsi="ＭＳ 明朝" w:cs="ＭＳ 明朝"/>
      <w:b/>
    </w:rPr>
  </w:style>
  <w:style w:type="paragraph" w:customStyle="1" w:styleId="enf1">
    <w:name w:val="編（en）"/>
    <w:basedOn w:val="jaf1"/>
    <w:rsid w:val="00511B2B"/>
    <w:rPr>
      <w:rFonts w:ascii="Century" w:eastAsia="Century" w:hAnsi="Century" w:cs="Century"/>
    </w:rPr>
  </w:style>
  <w:style w:type="paragraph" w:customStyle="1" w:styleId="jaf2">
    <w:name w:val="節（ja）"/>
    <w:basedOn w:val="a"/>
    <w:rsid w:val="00511B2B"/>
    <w:pPr>
      <w:widowControl w:val="0"/>
      <w:ind w:left="1101" w:hanging="221"/>
    </w:pPr>
    <w:rPr>
      <w:rFonts w:ascii="ＭＳ 明朝" w:eastAsia="ＭＳ 明朝" w:hAnsi="ＭＳ 明朝" w:cs="ＭＳ 明朝"/>
      <w:b/>
    </w:rPr>
  </w:style>
  <w:style w:type="paragraph" w:customStyle="1" w:styleId="enf2">
    <w:name w:val="節（en）"/>
    <w:basedOn w:val="jaf2"/>
    <w:rsid w:val="00511B2B"/>
    <w:rPr>
      <w:rFonts w:ascii="Century" w:eastAsia="Century" w:hAnsi="Century" w:cs="Century"/>
    </w:rPr>
  </w:style>
  <w:style w:type="paragraph" w:customStyle="1" w:styleId="jaf3">
    <w:name w:val="条（ja）"/>
    <w:basedOn w:val="a"/>
    <w:rsid w:val="00511B2B"/>
    <w:pPr>
      <w:widowControl w:val="0"/>
      <w:ind w:left="219" w:hanging="219"/>
    </w:pPr>
    <w:rPr>
      <w:rFonts w:ascii="ＭＳ 明朝" w:eastAsia="ＭＳ 明朝" w:hAnsi="ＭＳ 明朝" w:cs="ＭＳ 明朝"/>
    </w:rPr>
  </w:style>
  <w:style w:type="paragraph" w:customStyle="1" w:styleId="enf3">
    <w:name w:val="条（en）"/>
    <w:basedOn w:val="jaf3"/>
    <w:rsid w:val="00511B2B"/>
    <w:rPr>
      <w:rFonts w:ascii="Century" w:eastAsia="Century" w:hAnsi="Century" w:cs="Century"/>
    </w:rPr>
  </w:style>
  <w:style w:type="paragraph" w:customStyle="1" w:styleId="jaf4">
    <w:name w:val="項（ja）"/>
    <w:basedOn w:val="a"/>
    <w:rsid w:val="00511B2B"/>
    <w:pPr>
      <w:widowControl w:val="0"/>
      <w:ind w:left="219" w:hanging="219"/>
    </w:pPr>
    <w:rPr>
      <w:rFonts w:ascii="ＭＳ 明朝" w:eastAsia="ＭＳ 明朝" w:hAnsi="ＭＳ 明朝" w:cs="ＭＳ 明朝"/>
    </w:rPr>
  </w:style>
  <w:style w:type="paragraph" w:customStyle="1" w:styleId="enf4">
    <w:name w:val="項（en）"/>
    <w:basedOn w:val="jaf4"/>
    <w:rsid w:val="00511B2B"/>
    <w:rPr>
      <w:rFonts w:ascii="Century" w:eastAsia="Century" w:hAnsi="Century" w:cs="Century"/>
    </w:rPr>
  </w:style>
  <w:style w:type="paragraph" w:customStyle="1" w:styleId="jaf5">
    <w:name w:val="項　番号なし（ja）"/>
    <w:basedOn w:val="a"/>
    <w:rsid w:val="00511B2B"/>
    <w:pPr>
      <w:widowControl w:val="0"/>
      <w:ind w:firstLine="221"/>
    </w:pPr>
    <w:rPr>
      <w:rFonts w:ascii="ＭＳ 明朝" w:eastAsia="ＭＳ 明朝" w:hAnsi="ＭＳ 明朝" w:cs="ＭＳ 明朝"/>
    </w:rPr>
  </w:style>
  <w:style w:type="paragraph" w:customStyle="1" w:styleId="enf5">
    <w:name w:val="項　番号なし（en）"/>
    <w:basedOn w:val="jaf5"/>
    <w:rsid w:val="00511B2B"/>
    <w:rPr>
      <w:rFonts w:ascii="Century" w:eastAsia="Century" w:hAnsi="Century" w:cs="Century"/>
    </w:rPr>
  </w:style>
  <w:style w:type="paragraph" w:customStyle="1" w:styleId="jaf6">
    <w:name w:val="号（ja）"/>
    <w:basedOn w:val="a"/>
    <w:rsid w:val="00511B2B"/>
    <w:pPr>
      <w:widowControl w:val="0"/>
      <w:ind w:left="439" w:hanging="219"/>
    </w:pPr>
    <w:rPr>
      <w:rFonts w:ascii="ＭＳ 明朝" w:eastAsia="ＭＳ 明朝" w:hAnsi="ＭＳ 明朝" w:cs="ＭＳ 明朝"/>
    </w:rPr>
  </w:style>
  <w:style w:type="paragraph" w:customStyle="1" w:styleId="enf6">
    <w:name w:val="号（en）"/>
    <w:basedOn w:val="jaf6"/>
    <w:rsid w:val="00511B2B"/>
    <w:rPr>
      <w:rFonts w:ascii="Century" w:eastAsia="Century" w:hAnsi="Century" w:cs="Century"/>
    </w:rPr>
  </w:style>
  <w:style w:type="paragraph" w:customStyle="1" w:styleId="jaf7">
    <w:name w:val="号　番号なし（ja）"/>
    <w:basedOn w:val="a"/>
    <w:rsid w:val="00511B2B"/>
    <w:pPr>
      <w:widowControl w:val="0"/>
      <w:ind w:left="221" w:firstLine="221"/>
    </w:pPr>
    <w:rPr>
      <w:rFonts w:ascii="ＭＳ 明朝" w:eastAsia="ＭＳ 明朝" w:hAnsi="ＭＳ 明朝" w:cs="ＭＳ 明朝"/>
    </w:rPr>
  </w:style>
  <w:style w:type="paragraph" w:customStyle="1" w:styleId="enf7">
    <w:name w:val="号　番号なし（en）"/>
    <w:basedOn w:val="jaf7"/>
    <w:rsid w:val="00511B2B"/>
    <w:rPr>
      <w:rFonts w:ascii="Century" w:eastAsia="Century" w:hAnsi="Century" w:cs="Century"/>
    </w:rPr>
  </w:style>
  <w:style w:type="paragraph" w:customStyle="1" w:styleId="jaf8">
    <w:name w:val="備考号（ja）"/>
    <w:basedOn w:val="a"/>
    <w:rsid w:val="00511B2B"/>
    <w:pPr>
      <w:widowControl w:val="0"/>
      <w:ind w:left="659" w:hanging="219"/>
    </w:pPr>
    <w:rPr>
      <w:rFonts w:ascii="ＭＳ 明朝" w:eastAsia="ＭＳ 明朝" w:hAnsi="ＭＳ 明朝" w:cs="ＭＳ 明朝"/>
    </w:rPr>
  </w:style>
  <w:style w:type="paragraph" w:customStyle="1" w:styleId="enf8">
    <w:name w:val="備考号（en）"/>
    <w:basedOn w:val="jaf8"/>
    <w:rsid w:val="00511B2B"/>
    <w:rPr>
      <w:rFonts w:ascii="Century" w:eastAsia="Century" w:hAnsi="Century" w:cs="Century"/>
    </w:rPr>
  </w:style>
  <w:style w:type="paragraph" w:customStyle="1" w:styleId="jaf9">
    <w:name w:val="号細分（ja）"/>
    <w:basedOn w:val="a"/>
    <w:rsid w:val="00511B2B"/>
    <w:pPr>
      <w:widowControl w:val="0"/>
      <w:ind w:left="659" w:hanging="219"/>
    </w:pPr>
    <w:rPr>
      <w:rFonts w:ascii="ＭＳ 明朝" w:eastAsia="ＭＳ 明朝" w:hAnsi="ＭＳ 明朝" w:cs="ＭＳ 明朝"/>
    </w:rPr>
  </w:style>
  <w:style w:type="paragraph" w:customStyle="1" w:styleId="enf9">
    <w:name w:val="号細分（en）"/>
    <w:basedOn w:val="jaf9"/>
    <w:rsid w:val="00511B2B"/>
    <w:rPr>
      <w:rFonts w:ascii="Century" w:eastAsia="Century" w:hAnsi="Century" w:cs="Century"/>
    </w:rPr>
  </w:style>
  <w:style w:type="paragraph" w:customStyle="1" w:styleId="jafa">
    <w:name w:val="号細分　番号なし（ja）"/>
    <w:basedOn w:val="a"/>
    <w:rsid w:val="00511B2B"/>
    <w:pPr>
      <w:widowControl w:val="0"/>
      <w:ind w:left="439"/>
    </w:pPr>
    <w:rPr>
      <w:rFonts w:ascii="ＭＳ 明朝" w:eastAsia="ＭＳ 明朝" w:hAnsi="ＭＳ 明朝" w:cs="ＭＳ 明朝"/>
    </w:rPr>
  </w:style>
  <w:style w:type="paragraph" w:customStyle="1" w:styleId="enfa">
    <w:name w:val="号細分　番号なし（en）"/>
    <w:basedOn w:val="jafa"/>
    <w:rsid w:val="00511B2B"/>
    <w:rPr>
      <w:rFonts w:ascii="Century" w:eastAsia="Century" w:hAnsi="Century" w:cs="Century"/>
    </w:rPr>
  </w:style>
  <w:style w:type="paragraph" w:customStyle="1" w:styleId="jafb">
    <w:name w:val="備考号細分（ja）"/>
    <w:basedOn w:val="a"/>
    <w:rsid w:val="00511B2B"/>
    <w:pPr>
      <w:widowControl w:val="0"/>
      <w:ind w:left="1099" w:hanging="439"/>
    </w:pPr>
    <w:rPr>
      <w:rFonts w:ascii="ＭＳ 明朝" w:eastAsia="ＭＳ 明朝" w:hAnsi="ＭＳ 明朝" w:cs="ＭＳ 明朝"/>
    </w:rPr>
  </w:style>
  <w:style w:type="paragraph" w:customStyle="1" w:styleId="enfb">
    <w:name w:val="備考号細分（en）"/>
    <w:basedOn w:val="jafb"/>
    <w:rsid w:val="00511B2B"/>
    <w:rPr>
      <w:rFonts w:ascii="Century" w:eastAsia="Century" w:hAnsi="Century" w:cs="Century"/>
    </w:rPr>
  </w:style>
  <w:style w:type="paragraph" w:customStyle="1" w:styleId="jafc">
    <w:name w:val="号細細分（ja）"/>
    <w:basedOn w:val="a"/>
    <w:rsid w:val="00511B2B"/>
    <w:pPr>
      <w:widowControl w:val="0"/>
      <w:ind w:left="1099" w:hanging="439"/>
    </w:pPr>
    <w:rPr>
      <w:rFonts w:ascii="ＭＳ 明朝" w:eastAsia="ＭＳ 明朝" w:hAnsi="ＭＳ 明朝" w:cs="ＭＳ 明朝"/>
    </w:rPr>
  </w:style>
  <w:style w:type="paragraph" w:customStyle="1" w:styleId="enfc">
    <w:name w:val="号細細分（en）"/>
    <w:basedOn w:val="jafc"/>
    <w:rsid w:val="00511B2B"/>
    <w:rPr>
      <w:rFonts w:ascii="Century" w:eastAsia="Century" w:hAnsi="Century" w:cs="Century"/>
    </w:rPr>
  </w:style>
  <w:style w:type="paragraph" w:customStyle="1" w:styleId="jafd">
    <w:name w:val="号細細分　番号なし（ja）"/>
    <w:basedOn w:val="a"/>
    <w:rsid w:val="00511B2B"/>
    <w:pPr>
      <w:widowControl w:val="0"/>
      <w:ind w:left="659"/>
    </w:pPr>
    <w:rPr>
      <w:rFonts w:ascii="ＭＳ 明朝" w:eastAsia="ＭＳ 明朝" w:hAnsi="ＭＳ 明朝" w:cs="ＭＳ 明朝"/>
    </w:rPr>
  </w:style>
  <w:style w:type="paragraph" w:customStyle="1" w:styleId="enfd">
    <w:name w:val="号細細分　番号なし（en）"/>
    <w:basedOn w:val="jafd"/>
    <w:rsid w:val="00511B2B"/>
    <w:rPr>
      <w:rFonts w:ascii="Century" w:eastAsia="Century" w:hAnsi="Century" w:cs="Century"/>
    </w:rPr>
  </w:style>
  <w:style w:type="paragraph" w:customStyle="1" w:styleId="jafe">
    <w:name w:val="備考号細細分（ja）"/>
    <w:basedOn w:val="a"/>
    <w:rsid w:val="00511B2B"/>
    <w:pPr>
      <w:widowControl w:val="0"/>
      <w:ind w:left="1319" w:hanging="439"/>
    </w:pPr>
    <w:rPr>
      <w:rFonts w:ascii="ＭＳ 明朝" w:eastAsia="ＭＳ 明朝" w:hAnsi="ＭＳ 明朝" w:cs="ＭＳ 明朝"/>
    </w:rPr>
  </w:style>
  <w:style w:type="paragraph" w:customStyle="1" w:styleId="enfe">
    <w:name w:val="備考号細細分（en）"/>
    <w:basedOn w:val="jafe"/>
    <w:rsid w:val="00511B2B"/>
    <w:rPr>
      <w:rFonts w:ascii="Century" w:eastAsia="Century" w:hAnsi="Century" w:cs="Century"/>
    </w:rPr>
  </w:style>
  <w:style w:type="paragraph" w:customStyle="1" w:styleId="jaff">
    <w:name w:val="号細細細分（ja）"/>
    <w:basedOn w:val="a"/>
    <w:rsid w:val="00511B2B"/>
    <w:pPr>
      <w:widowControl w:val="0"/>
      <w:ind w:left="1319" w:hanging="439"/>
    </w:pPr>
    <w:rPr>
      <w:rFonts w:ascii="ＭＳ 明朝" w:eastAsia="ＭＳ 明朝" w:hAnsi="ＭＳ 明朝" w:cs="ＭＳ 明朝"/>
    </w:rPr>
  </w:style>
  <w:style w:type="paragraph" w:customStyle="1" w:styleId="enff">
    <w:name w:val="号細細細分（en）"/>
    <w:basedOn w:val="jaff"/>
    <w:rsid w:val="00511B2B"/>
    <w:rPr>
      <w:rFonts w:ascii="Century" w:eastAsia="Century" w:hAnsi="Century" w:cs="Century"/>
    </w:rPr>
  </w:style>
  <w:style w:type="paragraph" w:customStyle="1" w:styleId="jaff0">
    <w:name w:val="号細細細分　番号なし（ja）"/>
    <w:basedOn w:val="a"/>
    <w:rsid w:val="00511B2B"/>
    <w:pPr>
      <w:widowControl w:val="0"/>
      <w:ind w:left="879"/>
    </w:pPr>
    <w:rPr>
      <w:rFonts w:ascii="ＭＳ 明朝" w:eastAsia="ＭＳ 明朝" w:hAnsi="ＭＳ 明朝" w:cs="ＭＳ 明朝"/>
    </w:rPr>
  </w:style>
  <w:style w:type="paragraph" w:customStyle="1" w:styleId="enff0">
    <w:name w:val="号細細細分　番号なし（en）"/>
    <w:basedOn w:val="jaff0"/>
    <w:rsid w:val="00511B2B"/>
    <w:rPr>
      <w:rFonts w:ascii="Century" w:eastAsia="Century" w:hAnsi="Century" w:cs="Century"/>
    </w:rPr>
  </w:style>
  <w:style w:type="paragraph" w:customStyle="1" w:styleId="jaff1">
    <w:name w:val="備考号細細細分（ja）"/>
    <w:basedOn w:val="a"/>
    <w:rsid w:val="00511B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1B2B"/>
    <w:rPr>
      <w:rFonts w:ascii="Century" w:eastAsia="Century" w:hAnsi="Century" w:cs="Century"/>
    </w:rPr>
  </w:style>
  <w:style w:type="paragraph" w:customStyle="1" w:styleId="jaff2">
    <w:name w:val="類（ja）"/>
    <w:basedOn w:val="a"/>
    <w:rsid w:val="00511B2B"/>
    <w:pPr>
      <w:widowControl w:val="0"/>
      <w:ind w:left="439" w:hanging="219"/>
    </w:pPr>
    <w:rPr>
      <w:rFonts w:ascii="ＭＳ 明朝" w:eastAsia="ＭＳ 明朝" w:hAnsi="ＭＳ 明朝" w:cs="ＭＳ 明朝"/>
    </w:rPr>
  </w:style>
  <w:style w:type="paragraph" w:customStyle="1" w:styleId="enff2">
    <w:name w:val="類（en）"/>
    <w:basedOn w:val="jaff2"/>
    <w:rsid w:val="00511B2B"/>
    <w:rPr>
      <w:rFonts w:ascii="Century" w:eastAsia="Century" w:hAnsi="Century" w:cs="Century"/>
    </w:rPr>
  </w:style>
  <w:style w:type="paragraph" w:customStyle="1" w:styleId="jaff3">
    <w:name w:val="公布文（ja）"/>
    <w:basedOn w:val="a"/>
    <w:rsid w:val="00511B2B"/>
    <w:pPr>
      <w:widowControl w:val="0"/>
      <w:ind w:firstLine="219"/>
    </w:pPr>
    <w:rPr>
      <w:rFonts w:ascii="ＭＳ 明朝" w:eastAsia="ＭＳ 明朝" w:hAnsi="ＭＳ 明朝" w:cs="ＭＳ 明朝"/>
    </w:rPr>
  </w:style>
  <w:style w:type="paragraph" w:customStyle="1" w:styleId="enff3">
    <w:name w:val="公布文（en）"/>
    <w:basedOn w:val="jaff3"/>
    <w:rsid w:val="00511B2B"/>
    <w:rPr>
      <w:rFonts w:ascii="Century" w:eastAsia="Century" w:hAnsi="Century" w:cs="Century"/>
    </w:rPr>
  </w:style>
  <w:style w:type="paragraph" w:customStyle="1" w:styleId="jaen">
    <w:name w:val="表（ja：en）"/>
    <w:basedOn w:val="a"/>
    <w:rsid w:val="00511B2B"/>
    <w:pPr>
      <w:widowControl w:val="0"/>
      <w:snapToGrid w:val="0"/>
    </w:pPr>
    <w:rPr>
      <w:rFonts w:ascii="Century" w:eastAsia="ＭＳ 明朝" w:hAnsi="Century"/>
    </w:rPr>
  </w:style>
  <w:style w:type="paragraph" w:customStyle="1" w:styleId="jaff4">
    <w:name w:val="備考（ja）"/>
    <w:basedOn w:val="a"/>
    <w:rsid w:val="00511B2B"/>
    <w:pPr>
      <w:widowControl w:val="0"/>
      <w:ind w:left="439" w:hanging="219"/>
    </w:pPr>
    <w:rPr>
      <w:rFonts w:ascii="ＭＳ 明朝" w:eastAsia="ＭＳ 明朝" w:hAnsi="ＭＳ 明朝" w:cs="ＭＳ 明朝"/>
    </w:rPr>
  </w:style>
  <w:style w:type="paragraph" w:customStyle="1" w:styleId="enff4">
    <w:name w:val="備考（en）"/>
    <w:basedOn w:val="jaff4"/>
    <w:rsid w:val="00511B2B"/>
    <w:rPr>
      <w:rFonts w:ascii="Century" w:eastAsia="Century" w:hAnsi="Century" w:cs="Century"/>
    </w:rPr>
  </w:style>
  <w:style w:type="paragraph" w:customStyle="1" w:styleId="jaff5">
    <w:name w:val="表タイトル（ja）"/>
    <w:basedOn w:val="a"/>
    <w:rsid w:val="00511B2B"/>
    <w:pPr>
      <w:widowControl w:val="0"/>
      <w:ind w:left="219"/>
    </w:pPr>
    <w:rPr>
      <w:rFonts w:ascii="ＭＳ 明朝" w:eastAsia="ＭＳ 明朝" w:hAnsi="ＭＳ 明朝" w:cs="ＭＳ 明朝"/>
    </w:rPr>
  </w:style>
  <w:style w:type="paragraph" w:customStyle="1" w:styleId="enff5">
    <w:name w:val="表タイトル（en）"/>
    <w:basedOn w:val="jaff5"/>
    <w:rsid w:val="00511B2B"/>
    <w:rPr>
      <w:rFonts w:ascii="Century" w:eastAsia="Century" w:hAnsi="Century" w:cs="Century"/>
    </w:rPr>
  </w:style>
  <w:style w:type="paragraph" w:customStyle="1" w:styleId="jaff6">
    <w:name w:val="改正規定文（ja）"/>
    <w:basedOn w:val="a"/>
    <w:rsid w:val="00511B2B"/>
    <w:pPr>
      <w:widowControl w:val="0"/>
      <w:ind w:left="219" w:firstLine="219"/>
    </w:pPr>
    <w:rPr>
      <w:rFonts w:ascii="ＭＳ 明朝" w:eastAsia="ＭＳ 明朝" w:hAnsi="ＭＳ 明朝" w:cs="ＭＳ 明朝"/>
    </w:rPr>
  </w:style>
  <w:style w:type="paragraph" w:customStyle="1" w:styleId="enff6">
    <w:name w:val="改正規定文（en）"/>
    <w:basedOn w:val="jaff6"/>
    <w:rsid w:val="00511B2B"/>
    <w:rPr>
      <w:rFonts w:ascii="Century" w:eastAsia="Century" w:hAnsi="Century" w:cs="Century"/>
    </w:rPr>
  </w:style>
  <w:style w:type="paragraph" w:customStyle="1" w:styleId="jaff7">
    <w:name w:val="付記（ja）"/>
    <w:basedOn w:val="a"/>
    <w:rsid w:val="00511B2B"/>
    <w:pPr>
      <w:widowControl w:val="0"/>
      <w:ind w:left="219" w:firstLine="219"/>
    </w:pPr>
    <w:rPr>
      <w:rFonts w:ascii="ＭＳ 明朝" w:eastAsia="ＭＳ 明朝" w:hAnsi="ＭＳ 明朝" w:cs="ＭＳ 明朝"/>
    </w:rPr>
  </w:style>
  <w:style w:type="paragraph" w:customStyle="1" w:styleId="enff7">
    <w:name w:val="付記（en）"/>
    <w:basedOn w:val="jaff7"/>
    <w:rsid w:val="00511B2B"/>
    <w:rPr>
      <w:rFonts w:ascii="Century" w:eastAsia="Century" w:hAnsi="Century" w:cs="Century"/>
    </w:rPr>
  </w:style>
  <w:style w:type="paragraph" w:customStyle="1" w:styleId="jaff8">
    <w:name w:val="様式名（ja）"/>
    <w:basedOn w:val="a"/>
    <w:rsid w:val="00511B2B"/>
    <w:pPr>
      <w:widowControl w:val="0"/>
      <w:ind w:left="439" w:hanging="219"/>
    </w:pPr>
    <w:rPr>
      <w:rFonts w:ascii="ＭＳ 明朝" w:eastAsia="ＭＳ 明朝" w:hAnsi="ＭＳ 明朝" w:cs="ＭＳ 明朝"/>
    </w:rPr>
  </w:style>
  <w:style w:type="paragraph" w:customStyle="1" w:styleId="enff8">
    <w:name w:val="様式名（en）"/>
    <w:basedOn w:val="jaff8"/>
    <w:rsid w:val="00511B2B"/>
    <w:rPr>
      <w:rFonts w:ascii="Century" w:eastAsia="Century" w:hAnsi="Century" w:cs="Century"/>
    </w:rPr>
  </w:style>
  <w:style w:type="paragraph" w:customStyle="1" w:styleId="jaff9">
    <w:name w:val="様式項目（ja）"/>
    <w:basedOn w:val="a"/>
    <w:rsid w:val="00511B2B"/>
    <w:pPr>
      <w:widowControl w:val="0"/>
      <w:ind w:left="221" w:firstLine="221"/>
    </w:pPr>
    <w:rPr>
      <w:rFonts w:ascii="ＭＳ 明朝" w:eastAsia="ＭＳ 明朝" w:hAnsi="ＭＳ 明朝" w:cs="ＭＳ 明朝"/>
    </w:rPr>
  </w:style>
  <w:style w:type="paragraph" w:customStyle="1" w:styleId="enff9">
    <w:name w:val="様式項目（en）"/>
    <w:basedOn w:val="jaff9"/>
    <w:rsid w:val="00511B2B"/>
    <w:rPr>
      <w:rFonts w:ascii="Century" w:eastAsia="Century" w:hAnsi="Century" w:cs="Century"/>
    </w:rPr>
  </w:style>
  <w:style w:type="table" w:customStyle="1" w:styleId="1">
    <w:name w:val="表1"/>
    <w:rsid w:val="00511B2B"/>
    <w:tblPr>
      <w:tblInd w:w="340" w:type="dxa"/>
      <w:tblCellMar>
        <w:top w:w="0" w:type="dxa"/>
        <w:left w:w="0" w:type="dxa"/>
        <w:bottom w:w="0" w:type="dxa"/>
        <w:right w:w="0" w:type="dxa"/>
      </w:tblCellMar>
    </w:tblPr>
  </w:style>
  <w:style w:type="numbering" w:customStyle="1" w:styleId="WW8Num1">
    <w:name w:val="WW8Num1"/>
    <w:rsid w:val="00511B2B"/>
    <w:pPr>
      <w:numPr>
        <w:numId w:val="2"/>
      </w:numPr>
    </w:pPr>
  </w:style>
  <w:style w:type="numbering" w:customStyle="1" w:styleId="WW8Num2">
    <w:name w:val="WW8Num2"/>
    <w:rsid w:val="00511B2B"/>
    <w:pPr>
      <w:numPr>
        <w:numId w:val="3"/>
      </w:numPr>
    </w:pPr>
  </w:style>
  <w:style w:type="numbering" w:customStyle="1" w:styleId="WW8Num3">
    <w:name w:val="WW8Num3"/>
    <w:rsid w:val="00511B2B"/>
    <w:pPr>
      <w:numPr>
        <w:numId w:val="4"/>
      </w:numPr>
    </w:pPr>
  </w:style>
  <w:style w:type="numbering" w:customStyle="1" w:styleId="WW8Num4">
    <w:name w:val="WW8Num4"/>
    <w:rsid w:val="00511B2B"/>
    <w:pPr>
      <w:numPr>
        <w:numId w:val="5"/>
      </w:numPr>
    </w:pPr>
  </w:style>
  <w:style w:type="numbering" w:customStyle="1" w:styleId="WW8Num5">
    <w:name w:val="WW8Num5"/>
    <w:rsid w:val="00511B2B"/>
    <w:pPr>
      <w:numPr>
        <w:numId w:val="6"/>
      </w:numPr>
    </w:pPr>
  </w:style>
  <w:style w:type="numbering" w:customStyle="1" w:styleId="WW8Num6">
    <w:name w:val="WW8Num6"/>
    <w:rsid w:val="00511B2B"/>
    <w:pPr>
      <w:numPr>
        <w:numId w:val="7"/>
      </w:numPr>
    </w:pPr>
  </w:style>
  <w:style w:type="numbering" w:customStyle="1" w:styleId="WW8Num7">
    <w:name w:val="WW8Num7"/>
    <w:rsid w:val="00511B2B"/>
    <w:pPr>
      <w:numPr>
        <w:numId w:val="8"/>
      </w:numPr>
    </w:pPr>
  </w:style>
  <w:style w:type="numbering" w:customStyle="1" w:styleId="WW8Num8">
    <w:name w:val="WW8Num8"/>
    <w:rsid w:val="00511B2B"/>
    <w:pPr>
      <w:numPr>
        <w:numId w:val="9"/>
      </w:numPr>
    </w:pPr>
  </w:style>
  <w:style w:type="numbering" w:customStyle="1" w:styleId="WW8Num9">
    <w:name w:val="WW8Num9"/>
    <w:rsid w:val="00511B2B"/>
    <w:pPr>
      <w:numPr>
        <w:numId w:val="10"/>
      </w:numPr>
    </w:pPr>
  </w:style>
  <w:style w:type="numbering" w:customStyle="1" w:styleId="WW8Num10">
    <w:name w:val="WW8Num10"/>
    <w:rsid w:val="00511B2B"/>
    <w:pPr>
      <w:numPr>
        <w:numId w:val="11"/>
      </w:numPr>
    </w:pPr>
  </w:style>
  <w:style w:type="numbering" w:customStyle="1" w:styleId="WW8Num11">
    <w:name w:val="WW8Num11"/>
    <w:rsid w:val="00511B2B"/>
    <w:pPr>
      <w:numPr>
        <w:numId w:val="12"/>
      </w:numPr>
    </w:pPr>
  </w:style>
  <w:style w:type="numbering" w:customStyle="1" w:styleId="WW8Num12">
    <w:name w:val="WW8Num12"/>
    <w:rsid w:val="00511B2B"/>
    <w:pPr>
      <w:numPr>
        <w:numId w:val="13"/>
      </w:numPr>
    </w:pPr>
  </w:style>
  <w:style w:type="paragraph" w:styleId="a4">
    <w:name w:val="header"/>
    <w:basedOn w:val="a"/>
    <w:link w:val="a5"/>
    <w:uiPriority w:val="99"/>
    <w:unhideWhenUsed/>
    <w:rsid w:val="006E2761"/>
    <w:pPr>
      <w:tabs>
        <w:tab w:val="center" w:pos="4252"/>
        <w:tab w:val="right" w:pos="8504"/>
      </w:tabs>
      <w:snapToGrid w:val="0"/>
    </w:pPr>
  </w:style>
  <w:style w:type="character" w:customStyle="1" w:styleId="a5">
    <w:name w:val="ヘッダー (文字)"/>
    <w:basedOn w:val="a0"/>
    <w:link w:val="a4"/>
    <w:uiPriority w:val="99"/>
    <w:rsid w:val="006E27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1492</Words>
  <Characters>8509</Characters>
  <Application>Microsoft Office Word</Application>
  <DocSecurity>0</DocSecurity>
  <Lines>70</Lines>
  <Paragraphs>19</Paragraphs>
  <ScaleCrop>false</ScaleCrop>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2022-01-04T09:24:00Z</dcterms:created>
  <dcterms:modified xsi:type="dcterms:W3CDTF">2022-01-04T09:24:00Z</dcterms:modified>
</cp:coreProperties>
</file>