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265" w:rsidRDefault="00FC6B5A">
      <w:pPr>
        <w:pStyle w:val="en"/>
      </w:pPr>
      <w:r>
        <w:t>Cabinet Office Order Regarding Special Provisions, etc. on Carrying Out Procedures Via an Electronic Data Processing System for Disclosure (Tentative translation)</w:t>
      </w:r>
    </w:p>
    <w:p w:rsidR="00272265" w:rsidRDefault="00272265"/>
    <w:p w:rsidR="00272265" w:rsidRDefault="00FC6B5A">
      <w:pPr>
        <w:pStyle w:val="enf"/>
      </w:pPr>
      <w:r>
        <w:t>(Cabinet Office Order No. 45 of May 22, 2002)</w:t>
      </w:r>
    </w:p>
    <w:p w:rsidR="00272265" w:rsidRDefault="00272265"/>
    <w:p w:rsidR="00272265" w:rsidRDefault="00FC6B5A">
      <w:pPr>
        <w:pStyle w:val="ene"/>
      </w:pPr>
      <w:r>
        <w:t xml:space="preserve">In conjunction with the </w:t>
      </w:r>
      <w:r>
        <w:t>enforcement of the Act Partially Amending the Securities and Exchange Act and the Financial Futures Trading Act (Act No. 96 of 2000), and pursuant to the provisions of Article 27-30-3, paragraph (2), Article 27-30-4, paragraph (2) and Article 194-6, paragr</w:t>
      </w:r>
      <w:r>
        <w:t>aph (3) of the Securities and Exchange Act (Act No. 25 of 1948), the Cabinet Office Order Regarding Special Provisions, etc. on Carrying Out Procedures Via an Electronic Data Processing System for Disclosure is established as follows.</w:t>
      </w:r>
    </w:p>
    <w:p w:rsidR="00272265" w:rsidRDefault="00272265"/>
    <w:p w:rsidR="00272265" w:rsidRDefault="00FC6B5A">
      <w:pPr>
        <w:pStyle w:val="ena"/>
      </w:pPr>
      <w:r>
        <w:t>(Method of Electroni</w:t>
      </w:r>
      <w:r>
        <w:t>c Disclosure Procedure or Discretionary Electronic Disclosure Procedure)</w:t>
      </w:r>
    </w:p>
    <w:p w:rsidR="00272265" w:rsidRDefault="00FC6B5A">
      <w:pPr>
        <w:pStyle w:val="enf3"/>
      </w:pPr>
      <w:r>
        <w:t>Article 1  A person who carries out an Electronic Disclosure Procedure (meaning an Electronic Disclosure Procedure prescribed in Article 27-30-2 of the Financial Instruments and Excha</w:t>
      </w:r>
      <w:r>
        <w:t xml:space="preserve">nge Act (hereinafter referred to as the "Act"); the same applies hereinafter) or Discretionary Electronic Disclosure Procedure (meaning a Discretionary Electronic Disclosure Procedure prescribed in Article 27-30-2 of the Act; the same applies hereinafter) </w:t>
      </w:r>
      <w:r>
        <w:t>pursuant to the provisions of Article 14-10, paragraph (1) of the Order for Enforcement of the Financial Instruments and Exchange Act (Cabinet Order No.321 of 1965; hereinafter referred to as the "Order") shall input the matters to be stated in the written</w:t>
      </w:r>
      <w:r>
        <w:t xml:space="preserve"> documents in a case where an Electronic Disclosure Procedure or Discretionary Electronic Disclosure Procedure is carried out in writing with an input-output device (meaning input-output device referred to in Article 14-10, paragraph (1) of the Order; the </w:t>
      </w:r>
      <w:r>
        <w:t>same applies hereinafter) used by the person who carries out the Electronic Disclosure Procedure or Discretionary Electronic Disclosure Procedure, based on a method by which the input-output device and the computer referred to in Article 27-30-2 of the Act</w:t>
      </w:r>
      <w:r>
        <w:t xml:space="preserve"> can be connected over a telecommunications line by inputting an identification number and security number, and by which input can be performed from the input-output device; provided, however, that among such matters, the signature and seal may be omitted.</w:t>
      </w:r>
    </w:p>
    <w:p w:rsidR="00272265" w:rsidRDefault="00272265"/>
    <w:p w:rsidR="00272265" w:rsidRDefault="00FC6B5A">
      <w:pPr>
        <w:pStyle w:val="ena"/>
      </w:pPr>
      <w:r>
        <w:t>(Notification, etc. pertaining to an Electronic Disclosure Procedure or Discretionary Electronic Disclosure Procedure)</w:t>
      </w:r>
    </w:p>
    <w:p w:rsidR="00272265" w:rsidRDefault="00FC6B5A">
      <w:pPr>
        <w:pStyle w:val="enf3"/>
      </w:pPr>
      <w:r>
        <w:lastRenderedPageBreak/>
        <w:t>Article 2  (1) A person who intends to make a notification pursuant to the provisions of Article 14-10, paragraph (2) of the Order (her</w:t>
      </w:r>
      <w:r>
        <w:t>einafter referred to as "person making the notification" in this Article) shall submit a document prepared using Form 1 (limited to that stating the number obtained by connecting the input-output device used by the person making the notification and the co</w:t>
      </w:r>
      <w:r>
        <w:t>mputer referred to in Article 27-30-2 of the Act over a telecommunications line and by inputting matters to be stated in Form 1 and other matters; hereinafter referred to as "Electronic Disclosure System Notice") to the Director-General of the Local Financ</w:t>
      </w:r>
      <w:r>
        <w:t>e Bureau or the Director-General of the Fukuoka Local Finance Branch Bureau to whom such notification is to be submitted in a case where the Electronic Disclosure Procedure or Discretionary Electronic Disclosure Procedure is carried out in writing (hereina</w:t>
      </w:r>
      <w:r>
        <w:t>fter referred to as "Director-General of the Local Finance Bureau, etc.").</w:t>
      </w:r>
    </w:p>
    <w:p w:rsidR="00272265" w:rsidRDefault="00FC6B5A">
      <w:pPr>
        <w:pStyle w:val="enf4"/>
      </w:pPr>
      <w:r>
        <w:t>(2) The Director-General of the Local Finance Bureau, etc. shall, in the case where an Electronic Disclosure System Notice has been submitted pursuant to the provisions of the prece</w:t>
      </w:r>
      <w:r>
        <w:t xml:space="preserve">ding paragraph, notify the person making the notification who submitted the Electronic Disclosure System Notice of the date on which the Electronic Disclosure System Notice was received (referred to as "Receipt Date" in paragraphs (6) and (7)), the number </w:t>
      </w:r>
      <w:r>
        <w:t>granted to the person making the notification by the Commissioner of the Financial Services Agency to identify the person making the notification, and the identification number and the security number required to carry out an Electronic Disclosure Procedur</w:t>
      </w:r>
      <w:r>
        <w:t>e or Discretionary Electronic Disclosure Procedure.</w:t>
      </w:r>
    </w:p>
    <w:p w:rsidR="00272265" w:rsidRDefault="00FC6B5A">
      <w:pPr>
        <w:pStyle w:val="enf4"/>
      </w:pPr>
      <w:r>
        <w:t>(3) In the case where the person making the notification is a foreign juridical person (including an Issuer (meaning an Issuer prescribed in Article 2, paragraph (5) of the Act; the same applies hereinaft</w:t>
      </w:r>
      <w:r>
        <w:t>er) of foreign government bonds, etc. (meaning foreign government bonds, etc. prescribed in Article 1, item (i) of the Cabinet Office Order on Disclosure of Information, etc. on Issuers of Foreign Government Bonds, etc. (Ministry of Finance Order No. 26 of</w:t>
      </w:r>
      <w:r>
        <w:t xml:space="preserve"> 1972); the same applies in the following paragraph); the same applies hereinafter) or a Non-Resident (meaning a Non-Resident prescribed in Article 6, paragraph (1), item (vi) of the Foreign Exchange and Foreign Trade Act (Act No. 228 of 1949); limited to </w:t>
      </w:r>
      <w:r>
        <w:t>an individual), a person domiciled in Japan who has the authority to represent the person making the notification in all acts related to the submission of the Electronic Disclosure System Notice under paragraph (1) shall be specified when submitting the El</w:t>
      </w:r>
      <w:r>
        <w:t>ectronic Disclosure System Notice.</w:t>
      </w:r>
    </w:p>
    <w:p w:rsidR="00272265" w:rsidRDefault="00FC6B5A">
      <w:pPr>
        <w:pStyle w:val="enf4"/>
      </w:pPr>
      <w:r>
        <w:t>(4) A person making the notification who must submit articles of incorporation and other documents pursuant to the provisions of Article 14-10, paragraph (2) of the Order shall attach the documents listed in the following</w:t>
      </w:r>
      <w:r>
        <w:t xml:space="preserve"> items to the Electronic Disclosure System Notice referred to in paragraph (1) according to </w:t>
      </w:r>
      <w:r>
        <w:lastRenderedPageBreak/>
        <w:t>the category of the person making the notification specified therein.</w:t>
      </w:r>
    </w:p>
    <w:p w:rsidR="00272265" w:rsidRDefault="00FC6B5A">
      <w:pPr>
        <w:pStyle w:val="enf6"/>
      </w:pPr>
      <w:r>
        <w:t>(i) Domestic juridical person - The following documents:</w:t>
      </w:r>
    </w:p>
    <w:p w:rsidR="00272265" w:rsidRDefault="00FC6B5A">
      <w:pPr>
        <w:pStyle w:val="enf9"/>
      </w:pPr>
      <w:r>
        <w:t>(a) articles of incorporation or docu</w:t>
      </w:r>
      <w:r>
        <w:t>ment equivalent thereto; and</w:t>
      </w:r>
    </w:p>
    <w:p w:rsidR="00272265" w:rsidRDefault="00FC6B5A">
      <w:pPr>
        <w:pStyle w:val="enf9"/>
      </w:pPr>
      <w:r>
        <w:t>(b) certificate of registered information or document equivalent thereto (limited to one issued within three months prior to the date on which the document is to be submitted).</w:t>
      </w:r>
    </w:p>
    <w:p w:rsidR="00272265" w:rsidRDefault="00FC6B5A">
      <w:pPr>
        <w:pStyle w:val="enf6"/>
      </w:pPr>
      <w:r>
        <w:t>(ii) Foreign juridical person - The following docu</w:t>
      </w:r>
      <w:r>
        <w:t>ments:</w:t>
      </w:r>
    </w:p>
    <w:p w:rsidR="00272265" w:rsidRDefault="00FC6B5A">
      <w:pPr>
        <w:pStyle w:val="enf9"/>
      </w:pPr>
      <w:r>
        <w:t>(a) documents specified in (a) and (b) of the preceding item (excluding a case in which the person making the notification is an Issuer of foreign government bonds, etc.); and</w:t>
      </w:r>
    </w:p>
    <w:p w:rsidR="00272265" w:rsidRDefault="00FC6B5A">
      <w:pPr>
        <w:pStyle w:val="enf9"/>
      </w:pPr>
      <w:r>
        <w:t>(b) a document evidencing that the person making the notification has gra</w:t>
      </w:r>
      <w:r>
        <w:t>nted the authority prescribed in the preceding paragraph to a person domiciled in Japan.</w:t>
      </w:r>
    </w:p>
    <w:p w:rsidR="00272265" w:rsidRDefault="00FC6B5A">
      <w:pPr>
        <w:pStyle w:val="enf6"/>
      </w:pPr>
      <w:r>
        <w:t>(iii) An individual - The following documents:</w:t>
      </w:r>
    </w:p>
    <w:p w:rsidR="00272265" w:rsidRDefault="00FC6B5A">
      <w:pPr>
        <w:pStyle w:val="enf9"/>
      </w:pPr>
      <w:r>
        <w:t>(a) extract of residence certificate or document equivalent thereto; and</w:t>
      </w:r>
    </w:p>
    <w:p w:rsidR="00272265" w:rsidRDefault="00FC6B5A">
      <w:pPr>
        <w:pStyle w:val="enf9"/>
      </w:pPr>
      <w:r>
        <w:t xml:space="preserve">(b) document specified in (b) of the preceding </w:t>
      </w:r>
      <w:r>
        <w:t>item (limited to a case in which the person making the notification is a Non-Resident (meaning a Non-Resident prescribed in Article 6, paragraph (1), item (vi) of the Foreign Exchange and Foreign Trade Act)).</w:t>
      </w:r>
    </w:p>
    <w:p w:rsidR="00272265" w:rsidRDefault="00FC6B5A">
      <w:pPr>
        <w:pStyle w:val="enf4"/>
      </w:pPr>
      <w:r>
        <w:t>(5) In the case where there has been any change</w:t>
      </w:r>
      <w:r>
        <w:t xml:space="preserve"> in the matters to be described in the Electronic Disclosure System Notice submitted pursuant to the provisions of paragraph (1) (including a case in which there has been a change in the documents that must be attached pursuant to the provisions of the pre</w:t>
      </w:r>
      <w:r>
        <w:t>ceding paragraph), a document describing the changes shall be submitted to the Director-General of the Local Finance Bureau, etc. without delay.</w:t>
      </w:r>
    </w:p>
    <w:p w:rsidR="00272265" w:rsidRDefault="00FC6B5A">
      <w:pPr>
        <w:pStyle w:val="enf4"/>
      </w:pPr>
      <w:r>
        <w:t>(6) In the case where a person who already made a notification (meaning a person who has already made the notif</w:t>
      </w:r>
      <w:r>
        <w:t>ication under the main clause of Article 14-10, paragraph (2) of the Order; hereinafter the same applies in this paragraph) submits articles of incorporation or other documents under the proviso to paragraph (2) of that Article, the person who already made</w:t>
      </w:r>
      <w:r>
        <w:t xml:space="preserve"> the notification shall submit the documents listed in the following items according to the category of the person who already made the notification specified therein to the Director-General of the Local Finance Bureau, etc. every three years, within one m</w:t>
      </w:r>
      <w:r>
        <w:t>onth after the day on which three years have elapsed from the Receipt Date (referred to as "Reference Date" in the following paragraph).</w:t>
      </w:r>
    </w:p>
    <w:p w:rsidR="00272265" w:rsidRDefault="00FC6B5A">
      <w:pPr>
        <w:pStyle w:val="enf6"/>
      </w:pPr>
      <w:r>
        <w:t>(i) Domestic juridical person - Documents prescribed in paragraph (4), item (i)</w:t>
      </w:r>
    </w:p>
    <w:p w:rsidR="00272265" w:rsidRDefault="00FC6B5A">
      <w:pPr>
        <w:pStyle w:val="enf6"/>
      </w:pPr>
      <w:r>
        <w:t>(ii) Foreign juridical person - Documen</w:t>
      </w:r>
      <w:r>
        <w:t>ts prescribed in paragraph (4), item (ii) (excluding (b))</w:t>
      </w:r>
    </w:p>
    <w:p w:rsidR="00272265" w:rsidRDefault="00FC6B5A">
      <w:pPr>
        <w:pStyle w:val="enf6"/>
      </w:pPr>
      <w:r>
        <w:t>(iii) Individual - Documents prescribed in paragraph (4), item (iii) (excluding (b))</w:t>
      </w:r>
    </w:p>
    <w:p w:rsidR="00272265" w:rsidRDefault="00FC6B5A">
      <w:pPr>
        <w:pStyle w:val="enf4"/>
      </w:pPr>
      <w:r>
        <w:t xml:space="preserve">(7) A case specified by Cabinet Office Order prescribed in the proviso to Article 14-10, paragraph (2) of the </w:t>
      </w:r>
      <w:r>
        <w:t>Order shall be the following:</w:t>
      </w:r>
    </w:p>
    <w:p w:rsidR="00272265" w:rsidRDefault="00FC6B5A">
      <w:pPr>
        <w:pStyle w:val="enf6"/>
      </w:pPr>
      <w:r>
        <w:t>(i) a case in which the person who made the notification under the main clause of Article 14-10, paragraph (2) of the Order carries out an Electronic Disclosure Procedure or Discretionary Electronic Disclosure Procedure during</w:t>
      </w:r>
      <w:r>
        <w:t xml:space="preserve"> the period of three years from the Receipt Date pertaining to the notification;</w:t>
      </w:r>
    </w:p>
    <w:p w:rsidR="00272265" w:rsidRDefault="00FC6B5A">
      <w:pPr>
        <w:pStyle w:val="enf6"/>
      </w:pPr>
      <w:r>
        <w:t xml:space="preserve">(ii) a case in which the person who submitted the notification corresponds to an Issuer of Securities listed in any of the items of Article 24, paragraph (1) of the Act as of </w:t>
      </w:r>
      <w:r>
        <w:t>the Reference Date; and</w:t>
      </w:r>
    </w:p>
    <w:p w:rsidR="00272265" w:rsidRDefault="00FC6B5A">
      <w:pPr>
        <w:pStyle w:val="enf6"/>
      </w:pPr>
      <w:r>
        <w:t>(iii) a case in which the person who submitted the notification corresponds to a holder of Share Certificates, etc. Subject to Special Provisions prescribed in Article 27-26, paragraph (1) of the Act as of the Reference Date.</w:t>
      </w:r>
    </w:p>
    <w:p w:rsidR="00272265" w:rsidRDefault="00FC6B5A">
      <w:pPr>
        <w:pStyle w:val="enf4"/>
      </w:pPr>
      <w:r>
        <w:t>(8) Wh</w:t>
      </w:r>
      <w:r>
        <w:t>en the documents set forth in paragraph (4), items (ii) and (iii), and paragraph (6), items (ii) and (iii) are not written in Japanese, a Japanese translation of the documents shall be attached to such documents; provided, however, that this does not apply</w:t>
      </w:r>
      <w:r>
        <w:t xml:space="preserve"> if a person that intends to submit the document set forth in the items of Article 5, paragraph (6) of the Act pursuant to the provisions of that paragraph or a foreign company report prescribed in Article 24, paragraph (8) of the Act pursuant to the provi</w:t>
      </w:r>
      <w:r>
        <w:t>sions of that paragraph submits the document specified in paragraph (4), item (ii) or paragraph (6), item (ii).</w:t>
      </w:r>
    </w:p>
    <w:p w:rsidR="00272265" w:rsidRDefault="00272265"/>
    <w:p w:rsidR="00272265" w:rsidRDefault="00FC6B5A">
      <w:pPr>
        <w:pStyle w:val="ena"/>
      </w:pPr>
      <w:r>
        <w:t>(Approval of Electronic Disclosure Procedure or Discretionary Electronic Disclosure Procedure by Submission of Magnetic Disk)</w:t>
      </w:r>
    </w:p>
    <w:p w:rsidR="00272265" w:rsidRDefault="00FC6B5A">
      <w:pPr>
        <w:pStyle w:val="enf3"/>
      </w:pPr>
      <w:r>
        <w:t>Article 3  A pers</w:t>
      </w:r>
      <w:r>
        <w:t>on who intends to obtain approval to carry out an Electronic Disclosure Procedure or Discretionary Electronic Disclosure Procedure by submitting a magnetic disk pursuant to the provisions of Article 14-11, paragraph (1) of the Order (meaning a magnetic dis</w:t>
      </w:r>
      <w:r>
        <w:t xml:space="preserve">k referred to in paragraph (2) of that Article, including media which are capable of keeping accurate records of information by a method similar thereto; the same applies in the following Article) shall submit a document prepared using Form 2 (hereinafter </w:t>
      </w:r>
      <w:r>
        <w:t>referred to as "Application for Disk Submission Approval") to the Director-General of the Local Finance Bureau, etc. to whom such document is to be submitted in the case where the Electronic Disclosure Procedure or Discretionary Electronic Disclosure Proce</w:t>
      </w:r>
      <w:r>
        <w:t>dure is carried out in writing.</w:t>
      </w:r>
    </w:p>
    <w:p w:rsidR="00272265" w:rsidRDefault="00272265"/>
    <w:p w:rsidR="00272265" w:rsidRDefault="00FC6B5A">
      <w:pPr>
        <w:pStyle w:val="ena"/>
      </w:pPr>
      <w:r>
        <w:t>(In the Case Where an Electronic Disclosure Procedure or Discretionary Electronic Disclosure Procedure is Carried Out by Magnetic Disk)</w:t>
      </w:r>
    </w:p>
    <w:p w:rsidR="00272265" w:rsidRDefault="00FC6B5A">
      <w:pPr>
        <w:pStyle w:val="enf3"/>
      </w:pPr>
      <w:r>
        <w:t>Article 4  A person who carried out an Electronic Disclosure Procedure or Discretionary</w:t>
      </w:r>
      <w:r>
        <w:t xml:space="preserve"> Electronic Disclosure Procedure by submitting a magnetic disk pursuant to the provisions of Article 14-11, paragraph (2) of the Order shall record the matters to be stated in the written documents in the case where the Electronic Disclosure Procedure or D</w:t>
      </w:r>
      <w:r>
        <w:t>iscretionary Electronic Disclosure Procedure is carried out in writing onto a magnetic disk based on a method by which the matters can be inputted in a computer referred to in Article 27-30-2 of the Act from an input-output device used by the person who ca</w:t>
      </w:r>
      <w:r>
        <w:t xml:space="preserve">rries out the Electronic Disclosure Procedure or Discretionary Electronic Disclosure Procedure over a telecommunications line, and submit the same to the Director-General of the Local Finance Bureau, etc. to whom such record is to be submitted in the case </w:t>
      </w:r>
      <w:r>
        <w:t>where the Electronic Disclosure Procedure or Discretionary Electronic Disclosure Procedure is carried out in writing; provided, however, that among such matters, the signature and seal may be omitted.</w:t>
      </w:r>
    </w:p>
    <w:p w:rsidR="00272265" w:rsidRDefault="00272265"/>
    <w:p w:rsidR="00272265" w:rsidRDefault="00FC6B5A">
      <w:pPr>
        <w:pStyle w:val="ena"/>
      </w:pPr>
      <w:r>
        <w:t>(Method of Recording Information in a File)</w:t>
      </w:r>
    </w:p>
    <w:p w:rsidR="00272265" w:rsidRDefault="00FC6B5A">
      <w:pPr>
        <w:pStyle w:val="enf3"/>
      </w:pPr>
      <w:r>
        <w:t xml:space="preserve">Article 5 </w:t>
      </w:r>
      <w:r>
        <w:t xml:space="preserve"> Recording of the information in a File under the provisions of Article 27-30-4, paragraph (2) of the Act shall be made by means of the operation of a computer referred to in Article 27-30-2 of the Act.</w:t>
      </w:r>
    </w:p>
    <w:p w:rsidR="00272265" w:rsidRDefault="00272265"/>
    <w:p w:rsidR="00272265" w:rsidRDefault="00FC6B5A">
      <w:pPr>
        <w:pStyle w:val="ena"/>
      </w:pPr>
      <w:r>
        <w:t>(Procedures for Approval of Exclusion from Applicati</w:t>
      </w:r>
      <w:r>
        <w:t>on of Electronic Disclosure Procedure)</w:t>
      </w:r>
    </w:p>
    <w:p w:rsidR="00272265" w:rsidRDefault="00FC6B5A">
      <w:pPr>
        <w:pStyle w:val="enf3"/>
      </w:pPr>
      <w:r>
        <w:t>Article 6  A person who wants to obtain an approval referred to in Article 27-30-5, paragraph (1) of the Act shall submit a document prepared using Form 3 to the Director-General of the Local Finance Bureau, etc. to w</w:t>
      </w:r>
      <w:r>
        <w:t>hom such document is to be submitted in the case where the Electronic Disclosure Procedure is carried out in writing.</w:t>
      </w:r>
    </w:p>
    <w:p w:rsidR="00272265" w:rsidRDefault="00272265"/>
    <w:p w:rsidR="00272265" w:rsidRDefault="00FC6B5A">
      <w:pPr>
        <w:pStyle w:val="ena"/>
      </w:pPr>
      <w:r>
        <w:t>(Company specified by Cabinet Office Order prescribed in Article 41-2, paragraph (2) of the Order)</w:t>
      </w:r>
    </w:p>
    <w:p w:rsidR="00272265" w:rsidRDefault="00FC6B5A">
      <w:pPr>
        <w:pStyle w:val="enf3"/>
      </w:pPr>
      <w:r>
        <w:t>Article 7  A company specified by Cabi</w:t>
      </w:r>
      <w:r>
        <w:t>net Office Order prescribed in Article 41-2, paragraph (2) of the Order shall be a domestic company (limited to the case in which an Electronic Disclosure Procedure or Discretionary Electronic Disclosure Procedure is carried out with respect to the Securit</w:t>
      </w:r>
      <w:r>
        <w:t>ies of that company) that is an Issuer of Securities specified in Article 1, item (vii) of the Cabinet Office Order on Disclosure of Information, etc. of Regulated Securities (Ministry of Finance Order No.22 of 1993; referred to as "Cabinet Office Order on</w:t>
      </w:r>
      <w:r>
        <w:t xml:space="preserve"> Regulated Securities" in the following Article).</w:t>
      </w:r>
    </w:p>
    <w:p w:rsidR="00272265" w:rsidRDefault="00272265"/>
    <w:p w:rsidR="00272265" w:rsidRDefault="00FC6B5A">
      <w:pPr>
        <w:pStyle w:val="ena"/>
      </w:pPr>
      <w:r>
        <w:t>(Public Inspection, etc. by a Person Who Carries Out Procedures Via an Electronic Data Processing System for Disclosure)</w:t>
      </w:r>
    </w:p>
    <w:p w:rsidR="00272265" w:rsidRDefault="00FC6B5A">
      <w:pPr>
        <w:pStyle w:val="enf3"/>
      </w:pPr>
      <w:r>
        <w:t>Article 8  (1) A case specified by Cabinet Office Order prescribed in Article 27-30-</w:t>
      </w:r>
      <w:r>
        <w:t>10 of the Act shall be a case in which all of the requirements listed below are satisfied:</w:t>
      </w:r>
    </w:p>
    <w:p w:rsidR="00272265" w:rsidRDefault="00FC6B5A">
      <w:pPr>
        <w:pStyle w:val="enf6"/>
      </w:pPr>
      <w:r>
        <w:t>(i) information is made available for public inspection by the method specified in the following paragraph; and</w:t>
      </w:r>
    </w:p>
    <w:p w:rsidR="00272265" w:rsidRDefault="00FC6B5A">
      <w:pPr>
        <w:pStyle w:val="enf6"/>
      </w:pPr>
      <w:r>
        <w:t>(ii) in the case where any problem arises in making i</w:t>
      </w:r>
      <w:r>
        <w:t xml:space="preserve">nformation available for public inspection by the method specified in the following paragraph, measures are taken to make the information available for public inspection according to the example set forth in Article 25, paragraph (2) of the Act or Article </w:t>
      </w:r>
      <w:r>
        <w:t>27-14, paragraph (2) of the Act without delay.</w:t>
      </w:r>
    </w:p>
    <w:p w:rsidR="00272265" w:rsidRDefault="00FC6B5A">
      <w:pPr>
        <w:pStyle w:val="enf4"/>
      </w:pPr>
      <w:r>
        <w:t>(2) The method specified by Cabinet Office Order prescribed in Article 27-30-10 of the Act shall be a method by which information is made available for public inspection by indicating the information on the sc</w:t>
      </w:r>
      <w:r>
        <w:t>reen of an input-output device of the computer used by such person at the place where the person making the information available for public inspection pursuant to the provisions of that Article is obliged to keep copies of documents to be made available f</w:t>
      </w:r>
      <w:r>
        <w:t>or public inspection pursuant to provisions of Article 25, paragraph (2) of the Act or Article 27-14, paragraph (2) of the Act.</w:t>
      </w:r>
    </w:p>
    <w:sectPr w:rsidR="00272265" w:rsidSect="002722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2265" w:rsidRDefault="00272265" w:rsidP="00272265">
      <w:r>
        <w:separator/>
      </w:r>
    </w:p>
  </w:endnote>
  <w:endnote w:type="continuationSeparator" w:id="0">
    <w:p w:rsidR="00272265" w:rsidRDefault="00272265" w:rsidP="0027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265" w:rsidRDefault="00272265">
    <w:pPr>
      <w:pStyle w:val="a3"/>
    </w:pPr>
    <w:r>
      <w:fldChar w:fldCharType="begin"/>
    </w:r>
    <w:r>
      <w:instrText xml:space="preserve"> PAGE  \* MERGEFORMAT </w:instrText>
    </w:r>
    <w:r>
      <w:fldChar w:fldCharType="separate"/>
    </w:r>
    <w:r w:rsidR="00FC6B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2265" w:rsidRDefault="00272265" w:rsidP="00272265">
      <w:r>
        <w:separator/>
      </w:r>
    </w:p>
  </w:footnote>
  <w:footnote w:type="continuationSeparator" w:id="0">
    <w:p w:rsidR="00272265" w:rsidRDefault="00272265" w:rsidP="0027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24C9"/>
    <w:multiLevelType w:val="multilevel"/>
    <w:tmpl w:val="D48CB0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52637"/>
    <w:multiLevelType w:val="multilevel"/>
    <w:tmpl w:val="B0042A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A0173D"/>
    <w:multiLevelType w:val="multilevel"/>
    <w:tmpl w:val="89AAB1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1437E2"/>
    <w:multiLevelType w:val="multilevel"/>
    <w:tmpl w:val="4E7C80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777B2"/>
    <w:multiLevelType w:val="multilevel"/>
    <w:tmpl w:val="799CEC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7A655FC"/>
    <w:multiLevelType w:val="multilevel"/>
    <w:tmpl w:val="DFDA5D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5C4080"/>
    <w:multiLevelType w:val="multilevel"/>
    <w:tmpl w:val="54E67F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3708FA"/>
    <w:multiLevelType w:val="multilevel"/>
    <w:tmpl w:val="371445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7C04BD"/>
    <w:multiLevelType w:val="multilevel"/>
    <w:tmpl w:val="D26895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FA37E6"/>
    <w:multiLevelType w:val="multilevel"/>
    <w:tmpl w:val="BAE8E5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BF7961"/>
    <w:multiLevelType w:val="multilevel"/>
    <w:tmpl w:val="869ECB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3171D"/>
    <w:multiLevelType w:val="multilevel"/>
    <w:tmpl w:val="E33C13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72A55"/>
    <w:multiLevelType w:val="multilevel"/>
    <w:tmpl w:val="790424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7"/>
  </w:num>
  <w:num w:numId="4">
    <w:abstractNumId w:val="1"/>
  </w:num>
  <w:num w:numId="5">
    <w:abstractNumId w:val="12"/>
  </w:num>
  <w:num w:numId="6">
    <w:abstractNumId w:val="5"/>
  </w:num>
  <w:num w:numId="7">
    <w:abstractNumId w:val="0"/>
  </w:num>
  <w:num w:numId="8">
    <w:abstractNumId w:val="11"/>
  </w:num>
  <w:num w:numId="9">
    <w:abstractNumId w:val="8"/>
  </w:num>
  <w:num w:numId="10">
    <w:abstractNumId w:val="6"/>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2265"/>
    <w:rsid w:val="00272265"/>
    <w:rsid w:val="00FC6B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2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22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2265"/>
    <w:rPr>
      <w:rFonts w:ascii="Century" w:eastAsia="Century" w:hAnsi="Century"/>
    </w:rPr>
  </w:style>
  <w:style w:type="paragraph" w:customStyle="1" w:styleId="ja0">
    <w:name w:val="款（ja）"/>
    <w:basedOn w:val="a"/>
    <w:rsid w:val="00272265"/>
    <w:pPr>
      <w:widowControl w:val="0"/>
      <w:ind w:left="1321" w:hanging="221"/>
    </w:pPr>
    <w:rPr>
      <w:rFonts w:ascii="ＭＳ 明朝" w:eastAsia="ＭＳ 明朝" w:hAnsi="ＭＳ 明朝" w:cs="ＭＳ 明朝"/>
      <w:b/>
    </w:rPr>
  </w:style>
  <w:style w:type="paragraph" w:customStyle="1" w:styleId="en0">
    <w:name w:val="款（en）"/>
    <w:basedOn w:val="ja0"/>
    <w:rsid w:val="00272265"/>
    <w:rPr>
      <w:rFonts w:ascii="Century" w:eastAsia="Century" w:hAnsi="Century" w:cs="Century"/>
    </w:rPr>
  </w:style>
  <w:style w:type="paragraph" w:customStyle="1" w:styleId="ja1">
    <w:name w:val="前文（ja）"/>
    <w:basedOn w:val="a"/>
    <w:rsid w:val="00272265"/>
    <w:pPr>
      <w:widowControl w:val="0"/>
      <w:ind w:firstLine="219"/>
    </w:pPr>
    <w:rPr>
      <w:rFonts w:ascii="ＭＳ 明朝" w:eastAsia="ＭＳ 明朝" w:hAnsi="ＭＳ 明朝" w:cs="ＭＳ 明朝"/>
    </w:rPr>
  </w:style>
  <w:style w:type="paragraph" w:customStyle="1" w:styleId="en1">
    <w:name w:val="前文（en）"/>
    <w:basedOn w:val="ja1"/>
    <w:rsid w:val="00272265"/>
    <w:rPr>
      <w:rFonts w:ascii="Century" w:eastAsia="Century" w:hAnsi="Century" w:cs="Century"/>
    </w:rPr>
  </w:style>
  <w:style w:type="paragraph" w:customStyle="1" w:styleId="ja2">
    <w:name w:val="附則（ja）"/>
    <w:basedOn w:val="a"/>
    <w:rsid w:val="00272265"/>
    <w:pPr>
      <w:widowControl w:val="0"/>
      <w:ind w:left="881" w:hanging="221"/>
    </w:pPr>
    <w:rPr>
      <w:rFonts w:ascii="ＭＳ 明朝" w:eastAsia="ＭＳ 明朝" w:hAnsi="ＭＳ 明朝" w:cs="ＭＳ 明朝"/>
      <w:b/>
    </w:rPr>
  </w:style>
  <w:style w:type="paragraph" w:customStyle="1" w:styleId="en2">
    <w:name w:val="附則（en）"/>
    <w:basedOn w:val="ja2"/>
    <w:rsid w:val="00272265"/>
    <w:rPr>
      <w:rFonts w:ascii="Century" w:hAnsi="Century" w:cs="Century"/>
    </w:rPr>
  </w:style>
  <w:style w:type="paragraph" w:customStyle="1" w:styleId="ja3">
    <w:name w:val="章（ja）"/>
    <w:basedOn w:val="a"/>
    <w:rsid w:val="00272265"/>
    <w:pPr>
      <w:widowControl w:val="0"/>
      <w:ind w:left="881" w:hanging="221"/>
    </w:pPr>
    <w:rPr>
      <w:rFonts w:ascii="ＭＳ 明朝" w:eastAsia="ＭＳ 明朝" w:hAnsi="ＭＳ 明朝" w:cs="ＭＳ 明朝"/>
      <w:b/>
    </w:rPr>
  </w:style>
  <w:style w:type="paragraph" w:customStyle="1" w:styleId="en3">
    <w:name w:val="章（en）"/>
    <w:basedOn w:val="ja3"/>
    <w:rsid w:val="00272265"/>
    <w:rPr>
      <w:rFonts w:ascii="Century" w:eastAsia="Century" w:hAnsi="Century" w:cs="Century"/>
    </w:rPr>
  </w:style>
  <w:style w:type="paragraph" w:customStyle="1" w:styleId="ja4">
    <w:name w:val="目次編（ja）"/>
    <w:basedOn w:val="a"/>
    <w:rsid w:val="00272265"/>
    <w:pPr>
      <w:widowControl w:val="0"/>
      <w:ind w:left="219" w:hanging="219"/>
    </w:pPr>
    <w:rPr>
      <w:rFonts w:ascii="ＭＳ 明朝" w:eastAsia="ＭＳ 明朝" w:hAnsi="ＭＳ 明朝"/>
    </w:rPr>
  </w:style>
  <w:style w:type="paragraph" w:customStyle="1" w:styleId="en4">
    <w:name w:val="目次編（en）"/>
    <w:basedOn w:val="ja4"/>
    <w:rsid w:val="00272265"/>
    <w:rPr>
      <w:rFonts w:ascii="Century" w:eastAsia="Century" w:hAnsi="Century"/>
    </w:rPr>
  </w:style>
  <w:style w:type="paragraph" w:customStyle="1" w:styleId="ja5">
    <w:name w:val="目次章（ja）"/>
    <w:basedOn w:val="a"/>
    <w:rsid w:val="00272265"/>
    <w:pPr>
      <w:widowControl w:val="0"/>
      <w:ind w:left="439" w:hanging="219"/>
    </w:pPr>
    <w:rPr>
      <w:rFonts w:ascii="ＭＳ 明朝" w:eastAsia="ＭＳ 明朝" w:hAnsi="ＭＳ 明朝"/>
    </w:rPr>
  </w:style>
  <w:style w:type="paragraph" w:customStyle="1" w:styleId="en5">
    <w:name w:val="目次章（en）"/>
    <w:basedOn w:val="ja5"/>
    <w:rsid w:val="00272265"/>
    <w:rPr>
      <w:rFonts w:ascii="Century" w:eastAsia="Century" w:hAnsi="Century"/>
    </w:rPr>
  </w:style>
  <w:style w:type="paragraph" w:customStyle="1" w:styleId="ja6">
    <w:name w:val="目次節（ja）"/>
    <w:basedOn w:val="a"/>
    <w:rsid w:val="00272265"/>
    <w:pPr>
      <w:widowControl w:val="0"/>
      <w:ind w:left="659" w:hanging="219"/>
    </w:pPr>
    <w:rPr>
      <w:rFonts w:ascii="ＭＳ 明朝" w:eastAsia="ＭＳ 明朝" w:hAnsi="ＭＳ 明朝"/>
    </w:rPr>
  </w:style>
  <w:style w:type="paragraph" w:customStyle="1" w:styleId="en6">
    <w:name w:val="目次節（en）"/>
    <w:basedOn w:val="ja6"/>
    <w:rsid w:val="00272265"/>
    <w:rPr>
      <w:rFonts w:ascii="Century" w:eastAsia="Century" w:hAnsi="Century"/>
    </w:rPr>
  </w:style>
  <w:style w:type="paragraph" w:customStyle="1" w:styleId="ja7">
    <w:name w:val="目次款（ja）"/>
    <w:basedOn w:val="a"/>
    <w:rsid w:val="00272265"/>
    <w:pPr>
      <w:widowControl w:val="0"/>
      <w:ind w:left="879" w:hanging="219"/>
    </w:pPr>
    <w:rPr>
      <w:rFonts w:ascii="ＭＳ 明朝" w:eastAsia="ＭＳ 明朝" w:hAnsi="ＭＳ 明朝" w:cs="Kochi Mincho"/>
    </w:rPr>
  </w:style>
  <w:style w:type="paragraph" w:customStyle="1" w:styleId="en7">
    <w:name w:val="目次款（en）"/>
    <w:basedOn w:val="ja7"/>
    <w:rsid w:val="00272265"/>
    <w:rPr>
      <w:rFonts w:ascii="Century" w:eastAsia="Century" w:hAnsi="Century"/>
    </w:rPr>
  </w:style>
  <w:style w:type="paragraph" w:customStyle="1" w:styleId="ja8">
    <w:name w:val="別表名（ja）"/>
    <w:basedOn w:val="a"/>
    <w:rsid w:val="002722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2265"/>
    <w:rPr>
      <w:rFonts w:ascii="Century" w:eastAsia="Century" w:hAnsi="Century" w:cs="Century"/>
    </w:rPr>
  </w:style>
  <w:style w:type="paragraph" w:customStyle="1" w:styleId="ja9">
    <w:name w:val="目（ja）"/>
    <w:basedOn w:val="a"/>
    <w:rsid w:val="00272265"/>
    <w:pPr>
      <w:widowControl w:val="0"/>
      <w:ind w:left="1541" w:hanging="221"/>
    </w:pPr>
    <w:rPr>
      <w:rFonts w:ascii="ＭＳ 明朝" w:eastAsia="ＭＳ 明朝" w:hAnsi="ＭＳ 明朝" w:cs="ＭＳ 明朝"/>
      <w:b/>
    </w:rPr>
  </w:style>
  <w:style w:type="paragraph" w:customStyle="1" w:styleId="en9">
    <w:name w:val="目（en）"/>
    <w:basedOn w:val="ja9"/>
    <w:rsid w:val="00272265"/>
    <w:rPr>
      <w:rFonts w:ascii="Century" w:eastAsia="Century" w:hAnsi="Century" w:cs="Century"/>
    </w:rPr>
  </w:style>
  <w:style w:type="paragraph" w:customStyle="1" w:styleId="jaa">
    <w:name w:val="見出し（ja）"/>
    <w:basedOn w:val="a"/>
    <w:rsid w:val="00272265"/>
    <w:pPr>
      <w:widowControl w:val="0"/>
      <w:ind w:left="439" w:hanging="219"/>
    </w:pPr>
    <w:rPr>
      <w:rFonts w:ascii="ＭＳ 明朝" w:eastAsia="ＭＳ 明朝" w:hAnsi="ＭＳ 明朝" w:cs="ＭＳ 明朝"/>
    </w:rPr>
  </w:style>
  <w:style w:type="paragraph" w:customStyle="1" w:styleId="ena">
    <w:name w:val="見出し（en）"/>
    <w:basedOn w:val="jaa"/>
    <w:rsid w:val="00272265"/>
    <w:rPr>
      <w:rFonts w:ascii="Century" w:eastAsia="Century" w:hAnsi="Century" w:cs="Century"/>
    </w:rPr>
  </w:style>
  <w:style w:type="paragraph" w:styleId="a3">
    <w:name w:val="footer"/>
    <w:basedOn w:val="a"/>
    <w:rsid w:val="002722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2265"/>
    <w:pPr>
      <w:widowControl w:val="0"/>
      <w:ind w:left="1099" w:hanging="219"/>
    </w:pPr>
    <w:rPr>
      <w:rFonts w:ascii="ＭＳ 明朝" w:eastAsia="ＭＳ 明朝" w:hAnsi="ＭＳ 明朝" w:cs="Kochi Mincho"/>
    </w:rPr>
  </w:style>
  <w:style w:type="paragraph" w:customStyle="1" w:styleId="enb">
    <w:name w:val="目次目（en）"/>
    <w:basedOn w:val="jab"/>
    <w:rsid w:val="00272265"/>
    <w:rPr>
      <w:rFonts w:ascii="Century" w:eastAsia="Century" w:hAnsi="Century"/>
    </w:rPr>
  </w:style>
  <w:style w:type="paragraph" w:customStyle="1" w:styleId="jac">
    <w:name w:val="目次附則（ja）"/>
    <w:basedOn w:val="a"/>
    <w:rsid w:val="00272265"/>
    <w:pPr>
      <w:widowControl w:val="0"/>
      <w:ind w:left="439" w:hanging="219"/>
    </w:pPr>
    <w:rPr>
      <w:rFonts w:ascii="ＭＳ 明朝" w:eastAsia="ＭＳ 明朝" w:hAnsi="ＭＳ 明朝" w:cs="Kochi Mincho"/>
    </w:rPr>
  </w:style>
  <w:style w:type="paragraph" w:customStyle="1" w:styleId="enc">
    <w:name w:val="目次附則（en）"/>
    <w:basedOn w:val="jac"/>
    <w:rsid w:val="00272265"/>
    <w:rPr>
      <w:rFonts w:ascii="Century" w:eastAsia="Century" w:hAnsi="Century" w:cs="Century"/>
    </w:rPr>
  </w:style>
  <w:style w:type="paragraph" w:customStyle="1" w:styleId="jad">
    <w:name w:val="目次前文（ja）"/>
    <w:basedOn w:val="jac"/>
    <w:rsid w:val="00272265"/>
  </w:style>
  <w:style w:type="paragraph" w:customStyle="1" w:styleId="end">
    <w:name w:val="目次前文（en）"/>
    <w:basedOn w:val="enc"/>
    <w:rsid w:val="00272265"/>
  </w:style>
  <w:style w:type="paragraph" w:customStyle="1" w:styleId="jae">
    <w:name w:val="制定文（ja）"/>
    <w:basedOn w:val="a"/>
    <w:rsid w:val="00272265"/>
    <w:pPr>
      <w:widowControl w:val="0"/>
      <w:ind w:firstLine="219"/>
    </w:pPr>
    <w:rPr>
      <w:rFonts w:ascii="ＭＳ 明朝" w:eastAsia="ＭＳ 明朝" w:hAnsi="ＭＳ 明朝" w:cs="ＭＳ 明朝"/>
    </w:rPr>
  </w:style>
  <w:style w:type="paragraph" w:customStyle="1" w:styleId="ene">
    <w:name w:val="制定文（en）"/>
    <w:basedOn w:val="jae"/>
    <w:rsid w:val="00272265"/>
    <w:rPr>
      <w:rFonts w:ascii="Century" w:eastAsia="Century" w:hAnsi="Century" w:cs="Century"/>
    </w:rPr>
  </w:style>
  <w:style w:type="paragraph" w:customStyle="1" w:styleId="jaf">
    <w:name w:val="法令番号（ja）"/>
    <w:basedOn w:val="a"/>
    <w:rsid w:val="00272265"/>
    <w:pPr>
      <w:widowControl w:val="0"/>
      <w:jc w:val="right"/>
    </w:pPr>
    <w:rPr>
      <w:rFonts w:ascii="ＭＳ 明朝" w:eastAsia="ＭＳ 明朝" w:hAnsi="ＭＳ 明朝" w:cs="Kochi Mincho"/>
    </w:rPr>
  </w:style>
  <w:style w:type="paragraph" w:customStyle="1" w:styleId="enf">
    <w:name w:val="法令番号（en）"/>
    <w:basedOn w:val="jaf"/>
    <w:rsid w:val="00272265"/>
    <w:rPr>
      <w:rFonts w:ascii="Century" w:eastAsia="Century" w:hAnsi="Century" w:cs="Century"/>
    </w:rPr>
  </w:style>
  <w:style w:type="paragraph" w:customStyle="1" w:styleId="jaf0">
    <w:name w:val="目次（ja）"/>
    <w:basedOn w:val="a"/>
    <w:rsid w:val="00272265"/>
    <w:rPr>
      <w:rFonts w:ascii="ＭＳ 明朝" w:eastAsia="ＭＳ 明朝" w:hAnsi="ＭＳ 明朝"/>
    </w:rPr>
  </w:style>
  <w:style w:type="paragraph" w:customStyle="1" w:styleId="enf0">
    <w:name w:val="目次（en）"/>
    <w:basedOn w:val="jaf0"/>
    <w:rsid w:val="00272265"/>
    <w:rPr>
      <w:rFonts w:ascii="Century" w:eastAsia="Century" w:hAnsi="Century"/>
    </w:rPr>
  </w:style>
  <w:style w:type="paragraph" w:customStyle="1" w:styleId="jaf1">
    <w:name w:val="編（ja）"/>
    <w:basedOn w:val="a"/>
    <w:rsid w:val="00272265"/>
    <w:pPr>
      <w:widowControl w:val="0"/>
      <w:ind w:left="661" w:hanging="221"/>
    </w:pPr>
    <w:rPr>
      <w:rFonts w:ascii="ＭＳ 明朝" w:eastAsia="ＭＳ 明朝" w:hAnsi="ＭＳ 明朝" w:cs="ＭＳ 明朝"/>
      <w:b/>
    </w:rPr>
  </w:style>
  <w:style w:type="paragraph" w:customStyle="1" w:styleId="enf1">
    <w:name w:val="編（en）"/>
    <w:basedOn w:val="jaf1"/>
    <w:rsid w:val="00272265"/>
    <w:rPr>
      <w:rFonts w:ascii="Century" w:eastAsia="Century" w:hAnsi="Century" w:cs="Century"/>
    </w:rPr>
  </w:style>
  <w:style w:type="paragraph" w:customStyle="1" w:styleId="jaf2">
    <w:name w:val="節（ja）"/>
    <w:basedOn w:val="a"/>
    <w:rsid w:val="00272265"/>
    <w:pPr>
      <w:widowControl w:val="0"/>
      <w:ind w:left="1101" w:hanging="221"/>
    </w:pPr>
    <w:rPr>
      <w:rFonts w:ascii="ＭＳ 明朝" w:eastAsia="ＭＳ 明朝" w:hAnsi="ＭＳ 明朝" w:cs="ＭＳ 明朝"/>
      <w:b/>
    </w:rPr>
  </w:style>
  <w:style w:type="paragraph" w:customStyle="1" w:styleId="enf2">
    <w:name w:val="節（en）"/>
    <w:basedOn w:val="jaf2"/>
    <w:rsid w:val="00272265"/>
    <w:rPr>
      <w:rFonts w:ascii="Century" w:eastAsia="Century" w:hAnsi="Century" w:cs="Century"/>
    </w:rPr>
  </w:style>
  <w:style w:type="paragraph" w:customStyle="1" w:styleId="jaf3">
    <w:name w:val="条（ja）"/>
    <w:basedOn w:val="a"/>
    <w:rsid w:val="00272265"/>
    <w:pPr>
      <w:widowControl w:val="0"/>
      <w:ind w:left="219" w:hanging="219"/>
    </w:pPr>
    <w:rPr>
      <w:rFonts w:ascii="ＭＳ 明朝" w:eastAsia="ＭＳ 明朝" w:hAnsi="ＭＳ 明朝" w:cs="ＭＳ 明朝"/>
    </w:rPr>
  </w:style>
  <w:style w:type="paragraph" w:customStyle="1" w:styleId="enf3">
    <w:name w:val="条（en）"/>
    <w:basedOn w:val="jaf3"/>
    <w:rsid w:val="00272265"/>
    <w:rPr>
      <w:rFonts w:ascii="Century" w:eastAsia="Century" w:hAnsi="Century" w:cs="Century"/>
    </w:rPr>
  </w:style>
  <w:style w:type="paragraph" w:customStyle="1" w:styleId="jaf4">
    <w:name w:val="項（ja）"/>
    <w:basedOn w:val="a"/>
    <w:rsid w:val="00272265"/>
    <w:pPr>
      <w:widowControl w:val="0"/>
      <w:ind w:left="219" w:hanging="219"/>
    </w:pPr>
    <w:rPr>
      <w:rFonts w:ascii="ＭＳ 明朝" w:eastAsia="ＭＳ 明朝" w:hAnsi="ＭＳ 明朝" w:cs="ＭＳ 明朝"/>
    </w:rPr>
  </w:style>
  <w:style w:type="paragraph" w:customStyle="1" w:styleId="enf4">
    <w:name w:val="項（en）"/>
    <w:basedOn w:val="jaf4"/>
    <w:rsid w:val="00272265"/>
    <w:rPr>
      <w:rFonts w:ascii="Century" w:eastAsia="Century" w:hAnsi="Century" w:cs="Century"/>
    </w:rPr>
  </w:style>
  <w:style w:type="paragraph" w:customStyle="1" w:styleId="jaf5">
    <w:name w:val="項　番号なし（ja）"/>
    <w:basedOn w:val="a"/>
    <w:rsid w:val="00272265"/>
    <w:pPr>
      <w:widowControl w:val="0"/>
      <w:ind w:firstLine="221"/>
    </w:pPr>
    <w:rPr>
      <w:rFonts w:ascii="ＭＳ 明朝" w:eastAsia="ＭＳ 明朝" w:hAnsi="ＭＳ 明朝" w:cs="ＭＳ 明朝"/>
    </w:rPr>
  </w:style>
  <w:style w:type="paragraph" w:customStyle="1" w:styleId="enf5">
    <w:name w:val="項　番号なし（en）"/>
    <w:basedOn w:val="jaf5"/>
    <w:rsid w:val="00272265"/>
    <w:rPr>
      <w:rFonts w:ascii="Century" w:eastAsia="Century" w:hAnsi="Century" w:cs="Century"/>
    </w:rPr>
  </w:style>
  <w:style w:type="paragraph" w:customStyle="1" w:styleId="jaf6">
    <w:name w:val="号（ja）"/>
    <w:basedOn w:val="a"/>
    <w:rsid w:val="00272265"/>
    <w:pPr>
      <w:widowControl w:val="0"/>
      <w:ind w:left="439" w:hanging="219"/>
    </w:pPr>
    <w:rPr>
      <w:rFonts w:ascii="ＭＳ 明朝" w:eastAsia="ＭＳ 明朝" w:hAnsi="ＭＳ 明朝" w:cs="ＭＳ 明朝"/>
    </w:rPr>
  </w:style>
  <w:style w:type="paragraph" w:customStyle="1" w:styleId="enf6">
    <w:name w:val="号（en）"/>
    <w:basedOn w:val="jaf6"/>
    <w:rsid w:val="00272265"/>
    <w:rPr>
      <w:rFonts w:ascii="Century" w:eastAsia="Century" w:hAnsi="Century" w:cs="Century"/>
    </w:rPr>
  </w:style>
  <w:style w:type="paragraph" w:customStyle="1" w:styleId="jaf7">
    <w:name w:val="号　番号なし（ja）"/>
    <w:basedOn w:val="a"/>
    <w:rsid w:val="00272265"/>
    <w:pPr>
      <w:widowControl w:val="0"/>
      <w:ind w:left="221" w:firstLine="221"/>
    </w:pPr>
    <w:rPr>
      <w:rFonts w:ascii="ＭＳ 明朝" w:eastAsia="ＭＳ 明朝" w:hAnsi="ＭＳ 明朝" w:cs="ＭＳ 明朝"/>
    </w:rPr>
  </w:style>
  <w:style w:type="paragraph" w:customStyle="1" w:styleId="enf7">
    <w:name w:val="号　番号なし（en）"/>
    <w:basedOn w:val="jaf7"/>
    <w:rsid w:val="00272265"/>
    <w:rPr>
      <w:rFonts w:ascii="Century" w:eastAsia="Century" w:hAnsi="Century" w:cs="Century"/>
    </w:rPr>
  </w:style>
  <w:style w:type="paragraph" w:customStyle="1" w:styleId="jaf8">
    <w:name w:val="備考号（ja）"/>
    <w:basedOn w:val="a"/>
    <w:rsid w:val="00272265"/>
    <w:pPr>
      <w:widowControl w:val="0"/>
      <w:ind w:left="659" w:hanging="219"/>
    </w:pPr>
    <w:rPr>
      <w:rFonts w:ascii="ＭＳ 明朝" w:eastAsia="ＭＳ 明朝" w:hAnsi="ＭＳ 明朝" w:cs="ＭＳ 明朝"/>
    </w:rPr>
  </w:style>
  <w:style w:type="paragraph" w:customStyle="1" w:styleId="enf8">
    <w:name w:val="備考号（en）"/>
    <w:basedOn w:val="jaf8"/>
    <w:rsid w:val="00272265"/>
    <w:rPr>
      <w:rFonts w:ascii="Century" w:eastAsia="Century" w:hAnsi="Century" w:cs="Century"/>
    </w:rPr>
  </w:style>
  <w:style w:type="paragraph" w:customStyle="1" w:styleId="jaf9">
    <w:name w:val="号細分（ja）"/>
    <w:basedOn w:val="a"/>
    <w:rsid w:val="00272265"/>
    <w:pPr>
      <w:widowControl w:val="0"/>
      <w:ind w:left="659" w:hanging="219"/>
    </w:pPr>
    <w:rPr>
      <w:rFonts w:ascii="ＭＳ 明朝" w:eastAsia="ＭＳ 明朝" w:hAnsi="ＭＳ 明朝" w:cs="ＭＳ 明朝"/>
    </w:rPr>
  </w:style>
  <w:style w:type="paragraph" w:customStyle="1" w:styleId="enf9">
    <w:name w:val="号細分（en）"/>
    <w:basedOn w:val="jaf9"/>
    <w:rsid w:val="00272265"/>
    <w:rPr>
      <w:rFonts w:ascii="Century" w:eastAsia="Century" w:hAnsi="Century" w:cs="Century"/>
    </w:rPr>
  </w:style>
  <w:style w:type="paragraph" w:customStyle="1" w:styleId="jafa">
    <w:name w:val="号細分　番号なし（ja）"/>
    <w:basedOn w:val="a"/>
    <w:rsid w:val="00272265"/>
    <w:pPr>
      <w:widowControl w:val="0"/>
      <w:ind w:left="439"/>
    </w:pPr>
    <w:rPr>
      <w:rFonts w:ascii="ＭＳ 明朝" w:eastAsia="ＭＳ 明朝" w:hAnsi="ＭＳ 明朝" w:cs="ＭＳ 明朝"/>
    </w:rPr>
  </w:style>
  <w:style w:type="paragraph" w:customStyle="1" w:styleId="enfa">
    <w:name w:val="号細分　番号なし（en）"/>
    <w:basedOn w:val="jafa"/>
    <w:rsid w:val="00272265"/>
    <w:rPr>
      <w:rFonts w:ascii="Century" w:eastAsia="Century" w:hAnsi="Century" w:cs="Century"/>
    </w:rPr>
  </w:style>
  <w:style w:type="paragraph" w:customStyle="1" w:styleId="jafb">
    <w:name w:val="備考号細分（ja）"/>
    <w:basedOn w:val="a"/>
    <w:rsid w:val="00272265"/>
    <w:pPr>
      <w:widowControl w:val="0"/>
      <w:ind w:left="1099" w:hanging="439"/>
    </w:pPr>
    <w:rPr>
      <w:rFonts w:ascii="ＭＳ 明朝" w:eastAsia="ＭＳ 明朝" w:hAnsi="ＭＳ 明朝" w:cs="ＭＳ 明朝"/>
    </w:rPr>
  </w:style>
  <w:style w:type="paragraph" w:customStyle="1" w:styleId="enfb">
    <w:name w:val="備考号細分（en）"/>
    <w:basedOn w:val="jafb"/>
    <w:rsid w:val="00272265"/>
    <w:rPr>
      <w:rFonts w:ascii="Century" w:eastAsia="Century" w:hAnsi="Century" w:cs="Century"/>
    </w:rPr>
  </w:style>
  <w:style w:type="paragraph" w:customStyle="1" w:styleId="jafc">
    <w:name w:val="号細細分（ja）"/>
    <w:basedOn w:val="a"/>
    <w:rsid w:val="00272265"/>
    <w:pPr>
      <w:widowControl w:val="0"/>
      <w:ind w:left="1099" w:hanging="439"/>
    </w:pPr>
    <w:rPr>
      <w:rFonts w:ascii="ＭＳ 明朝" w:eastAsia="ＭＳ 明朝" w:hAnsi="ＭＳ 明朝" w:cs="ＭＳ 明朝"/>
    </w:rPr>
  </w:style>
  <w:style w:type="paragraph" w:customStyle="1" w:styleId="enfc">
    <w:name w:val="号細細分（en）"/>
    <w:basedOn w:val="jafc"/>
    <w:rsid w:val="00272265"/>
    <w:rPr>
      <w:rFonts w:ascii="Century" w:eastAsia="Century" w:hAnsi="Century" w:cs="Century"/>
    </w:rPr>
  </w:style>
  <w:style w:type="paragraph" w:customStyle="1" w:styleId="jafd">
    <w:name w:val="号細細分　番号なし（ja）"/>
    <w:basedOn w:val="a"/>
    <w:rsid w:val="00272265"/>
    <w:pPr>
      <w:widowControl w:val="0"/>
      <w:ind w:left="659"/>
    </w:pPr>
    <w:rPr>
      <w:rFonts w:ascii="ＭＳ 明朝" w:eastAsia="ＭＳ 明朝" w:hAnsi="ＭＳ 明朝" w:cs="ＭＳ 明朝"/>
    </w:rPr>
  </w:style>
  <w:style w:type="paragraph" w:customStyle="1" w:styleId="enfd">
    <w:name w:val="号細細分　番号なし（en）"/>
    <w:basedOn w:val="jafd"/>
    <w:rsid w:val="00272265"/>
    <w:rPr>
      <w:rFonts w:ascii="Century" w:eastAsia="Century" w:hAnsi="Century" w:cs="Century"/>
    </w:rPr>
  </w:style>
  <w:style w:type="paragraph" w:customStyle="1" w:styleId="jafe">
    <w:name w:val="備考号細細分（ja）"/>
    <w:basedOn w:val="a"/>
    <w:rsid w:val="00272265"/>
    <w:pPr>
      <w:widowControl w:val="0"/>
      <w:ind w:left="1319" w:hanging="439"/>
    </w:pPr>
    <w:rPr>
      <w:rFonts w:ascii="ＭＳ 明朝" w:eastAsia="ＭＳ 明朝" w:hAnsi="ＭＳ 明朝" w:cs="ＭＳ 明朝"/>
    </w:rPr>
  </w:style>
  <w:style w:type="paragraph" w:customStyle="1" w:styleId="enfe">
    <w:name w:val="備考号細細分（en）"/>
    <w:basedOn w:val="jafe"/>
    <w:rsid w:val="00272265"/>
    <w:rPr>
      <w:rFonts w:ascii="Century" w:eastAsia="Century" w:hAnsi="Century" w:cs="Century"/>
    </w:rPr>
  </w:style>
  <w:style w:type="paragraph" w:customStyle="1" w:styleId="jaff">
    <w:name w:val="号細細細分（ja）"/>
    <w:basedOn w:val="a"/>
    <w:rsid w:val="00272265"/>
    <w:pPr>
      <w:widowControl w:val="0"/>
      <w:ind w:left="1319" w:hanging="439"/>
    </w:pPr>
    <w:rPr>
      <w:rFonts w:ascii="ＭＳ 明朝" w:eastAsia="ＭＳ 明朝" w:hAnsi="ＭＳ 明朝" w:cs="ＭＳ 明朝"/>
    </w:rPr>
  </w:style>
  <w:style w:type="paragraph" w:customStyle="1" w:styleId="enff">
    <w:name w:val="号細細細分（en）"/>
    <w:basedOn w:val="jaff"/>
    <w:rsid w:val="00272265"/>
    <w:rPr>
      <w:rFonts w:ascii="Century" w:eastAsia="Century" w:hAnsi="Century" w:cs="Century"/>
    </w:rPr>
  </w:style>
  <w:style w:type="paragraph" w:customStyle="1" w:styleId="jaff0">
    <w:name w:val="号細細細分　番号なし（ja）"/>
    <w:basedOn w:val="a"/>
    <w:rsid w:val="00272265"/>
    <w:pPr>
      <w:widowControl w:val="0"/>
      <w:ind w:left="879"/>
    </w:pPr>
    <w:rPr>
      <w:rFonts w:ascii="ＭＳ 明朝" w:eastAsia="ＭＳ 明朝" w:hAnsi="ＭＳ 明朝" w:cs="ＭＳ 明朝"/>
    </w:rPr>
  </w:style>
  <w:style w:type="paragraph" w:customStyle="1" w:styleId="enff0">
    <w:name w:val="号細細細分　番号なし（en）"/>
    <w:basedOn w:val="jaff0"/>
    <w:rsid w:val="00272265"/>
    <w:rPr>
      <w:rFonts w:ascii="Century" w:eastAsia="Century" w:hAnsi="Century" w:cs="Century"/>
    </w:rPr>
  </w:style>
  <w:style w:type="paragraph" w:customStyle="1" w:styleId="jaff1">
    <w:name w:val="備考号細細細分（ja）"/>
    <w:basedOn w:val="a"/>
    <w:rsid w:val="002722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2265"/>
    <w:rPr>
      <w:rFonts w:ascii="Century" w:eastAsia="Century" w:hAnsi="Century" w:cs="Century"/>
    </w:rPr>
  </w:style>
  <w:style w:type="paragraph" w:customStyle="1" w:styleId="jaff2">
    <w:name w:val="類（ja）"/>
    <w:basedOn w:val="a"/>
    <w:rsid w:val="00272265"/>
    <w:pPr>
      <w:widowControl w:val="0"/>
      <w:ind w:left="439" w:hanging="219"/>
    </w:pPr>
    <w:rPr>
      <w:rFonts w:ascii="ＭＳ 明朝" w:eastAsia="ＭＳ 明朝" w:hAnsi="ＭＳ 明朝" w:cs="ＭＳ 明朝"/>
    </w:rPr>
  </w:style>
  <w:style w:type="paragraph" w:customStyle="1" w:styleId="enff2">
    <w:name w:val="類（en）"/>
    <w:basedOn w:val="jaff2"/>
    <w:rsid w:val="00272265"/>
    <w:rPr>
      <w:rFonts w:ascii="Century" w:eastAsia="Century" w:hAnsi="Century" w:cs="Century"/>
    </w:rPr>
  </w:style>
  <w:style w:type="paragraph" w:customStyle="1" w:styleId="jaff3">
    <w:name w:val="公布文（ja）"/>
    <w:basedOn w:val="a"/>
    <w:rsid w:val="00272265"/>
    <w:pPr>
      <w:widowControl w:val="0"/>
      <w:ind w:firstLine="219"/>
    </w:pPr>
    <w:rPr>
      <w:rFonts w:ascii="ＭＳ 明朝" w:eastAsia="ＭＳ 明朝" w:hAnsi="ＭＳ 明朝" w:cs="ＭＳ 明朝"/>
    </w:rPr>
  </w:style>
  <w:style w:type="paragraph" w:customStyle="1" w:styleId="enff3">
    <w:name w:val="公布文（en）"/>
    <w:basedOn w:val="jaff3"/>
    <w:rsid w:val="00272265"/>
    <w:rPr>
      <w:rFonts w:ascii="Century" w:eastAsia="Century" w:hAnsi="Century" w:cs="Century"/>
    </w:rPr>
  </w:style>
  <w:style w:type="paragraph" w:customStyle="1" w:styleId="jaen">
    <w:name w:val="表（ja：en）"/>
    <w:basedOn w:val="a"/>
    <w:rsid w:val="00272265"/>
    <w:pPr>
      <w:widowControl w:val="0"/>
      <w:snapToGrid w:val="0"/>
    </w:pPr>
    <w:rPr>
      <w:rFonts w:ascii="Century" w:eastAsia="ＭＳ 明朝" w:hAnsi="Century"/>
    </w:rPr>
  </w:style>
  <w:style w:type="paragraph" w:customStyle="1" w:styleId="jaff4">
    <w:name w:val="備考（ja）"/>
    <w:basedOn w:val="a"/>
    <w:rsid w:val="00272265"/>
    <w:pPr>
      <w:widowControl w:val="0"/>
      <w:ind w:left="439" w:hanging="219"/>
    </w:pPr>
    <w:rPr>
      <w:rFonts w:ascii="ＭＳ 明朝" w:eastAsia="ＭＳ 明朝" w:hAnsi="ＭＳ 明朝" w:cs="ＭＳ 明朝"/>
    </w:rPr>
  </w:style>
  <w:style w:type="paragraph" w:customStyle="1" w:styleId="enff4">
    <w:name w:val="備考（en）"/>
    <w:basedOn w:val="jaff4"/>
    <w:rsid w:val="00272265"/>
    <w:rPr>
      <w:rFonts w:ascii="Century" w:eastAsia="Century" w:hAnsi="Century" w:cs="Century"/>
    </w:rPr>
  </w:style>
  <w:style w:type="paragraph" w:customStyle="1" w:styleId="jaff5">
    <w:name w:val="表タイトル（ja）"/>
    <w:basedOn w:val="a"/>
    <w:rsid w:val="00272265"/>
    <w:pPr>
      <w:widowControl w:val="0"/>
      <w:ind w:left="219"/>
    </w:pPr>
    <w:rPr>
      <w:rFonts w:ascii="ＭＳ 明朝" w:eastAsia="ＭＳ 明朝" w:hAnsi="ＭＳ 明朝" w:cs="ＭＳ 明朝"/>
    </w:rPr>
  </w:style>
  <w:style w:type="paragraph" w:customStyle="1" w:styleId="enff5">
    <w:name w:val="表タイトル（en）"/>
    <w:basedOn w:val="jaff5"/>
    <w:rsid w:val="00272265"/>
    <w:rPr>
      <w:rFonts w:ascii="Century" w:eastAsia="Century" w:hAnsi="Century" w:cs="Century"/>
    </w:rPr>
  </w:style>
  <w:style w:type="paragraph" w:customStyle="1" w:styleId="jaff6">
    <w:name w:val="改正規定文（ja）"/>
    <w:basedOn w:val="a"/>
    <w:rsid w:val="00272265"/>
    <w:pPr>
      <w:widowControl w:val="0"/>
      <w:ind w:left="219" w:firstLine="219"/>
    </w:pPr>
    <w:rPr>
      <w:rFonts w:ascii="ＭＳ 明朝" w:eastAsia="ＭＳ 明朝" w:hAnsi="ＭＳ 明朝" w:cs="ＭＳ 明朝"/>
    </w:rPr>
  </w:style>
  <w:style w:type="paragraph" w:customStyle="1" w:styleId="enff6">
    <w:name w:val="改正規定文（en）"/>
    <w:basedOn w:val="jaff6"/>
    <w:rsid w:val="00272265"/>
    <w:rPr>
      <w:rFonts w:ascii="Century" w:eastAsia="Century" w:hAnsi="Century" w:cs="Century"/>
    </w:rPr>
  </w:style>
  <w:style w:type="paragraph" w:customStyle="1" w:styleId="jaff7">
    <w:name w:val="付記（ja）"/>
    <w:basedOn w:val="a"/>
    <w:rsid w:val="00272265"/>
    <w:pPr>
      <w:widowControl w:val="0"/>
      <w:ind w:left="219" w:firstLine="219"/>
    </w:pPr>
    <w:rPr>
      <w:rFonts w:ascii="ＭＳ 明朝" w:eastAsia="ＭＳ 明朝" w:hAnsi="ＭＳ 明朝" w:cs="ＭＳ 明朝"/>
    </w:rPr>
  </w:style>
  <w:style w:type="paragraph" w:customStyle="1" w:styleId="enff7">
    <w:name w:val="付記（en）"/>
    <w:basedOn w:val="jaff7"/>
    <w:rsid w:val="00272265"/>
    <w:rPr>
      <w:rFonts w:ascii="Century" w:eastAsia="Century" w:hAnsi="Century" w:cs="Century"/>
    </w:rPr>
  </w:style>
  <w:style w:type="paragraph" w:customStyle="1" w:styleId="jaff8">
    <w:name w:val="様式名（ja）"/>
    <w:basedOn w:val="a"/>
    <w:rsid w:val="00272265"/>
    <w:pPr>
      <w:widowControl w:val="0"/>
      <w:ind w:left="439" w:hanging="219"/>
    </w:pPr>
    <w:rPr>
      <w:rFonts w:ascii="ＭＳ 明朝" w:eastAsia="ＭＳ 明朝" w:hAnsi="ＭＳ 明朝" w:cs="ＭＳ 明朝"/>
    </w:rPr>
  </w:style>
  <w:style w:type="paragraph" w:customStyle="1" w:styleId="enff8">
    <w:name w:val="様式名（en）"/>
    <w:basedOn w:val="jaff8"/>
    <w:rsid w:val="00272265"/>
    <w:rPr>
      <w:rFonts w:ascii="Century" w:eastAsia="Century" w:hAnsi="Century" w:cs="Century"/>
    </w:rPr>
  </w:style>
  <w:style w:type="paragraph" w:customStyle="1" w:styleId="jaff9">
    <w:name w:val="様式項目（ja）"/>
    <w:basedOn w:val="a"/>
    <w:rsid w:val="00272265"/>
    <w:pPr>
      <w:widowControl w:val="0"/>
      <w:ind w:left="221" w:firstLine="221"/>
    </w:pPr>
    <w:rPr>
      <w:rFonts w:ascii="ＭＳ 明朝" w:eastAsia="ＭＳ 明朝" w:hAnsi="ＭＳ 明朝" w:cs="ＭＳ 明朝"/>
    </w:rPr>
  </w:style>
  <w:style w:type="paragraph" w:customStyle="1" w:styleId="enff9">
    <w:name w:val="様式項目（en）"/>
    <w:basedOn w:val="jaff9"/>
    <w:rsid w:val="00272265"/>
    <w:rPr>
      <w:rFonts w:ascii="Century" w:eastAsia="Century" w:hAnsi="Century" w:cs="Century"/>
    </w:rPr>
  </w:style>
  <w:style w:type="table" w:customStyle="1" w:styleId="1">
    <w:name w:val="表1"/>
    <w:rsid w:val="00272265"/>
    <w:tblPr>
      <w:tblInd w:w="340" w:type="dxa"/>
      <w:tblCellMar>
        <w:top w:w="0" w:type="dxa"/>
        <w:left w:w="0" w:type="dxa"/>
        <w:bottom w:w="0" w:type="dxa"/>
        <w:right w:w="0" w:type="dxa"/>
      </w:tblCellMar>
    </w:tblPr>
  </w:style>
  <w:style w:type="numbering" w:customStyle="1" w:styleId="WW8Num1">
    <w:name w:val="WW8Num1"/>
    <w:rsid w:val="00272265"/>
    <w:pPr>
      <w:numPr>
        <w:numId w:val="2"/>
      </w:numPr>
    </w:pPr>
  </w:style>
  <w:style w:type="numbering" w:customStyle="1" w:styleId="WW8Num2">
    <w:name w:val="WW8Num2"/>
    <w:rsid w:val="00272265"/>
    <w:pPr>
      <w:numPr>
        <w:numId w:val="3"/>
      </w:numPr>
    </w:pPr>
  </w:style>
  <w:style w:type="numbering" w:customStyle="1" w:styleId="WW8Num3">
    <w:name w:val="WW8Num3"/>
    <w:rsid w:val="00272265"/>
    <w:pPr>
      <w:numPr>
        <w:numId w:val="4"/>
      </w:numPr>
    </w:pPr>
  </w:style>
  <w:style w:type="numbering" w:customStyle="1" w:styleId="WW8Num4">
    <w:name w:val="WW8Num4"/>
    <w:rsid w:val="00272265"/>
    <w:pPr>
      <w:numPr>
        <w:numId w:val="5"/>
      </w:numPr>
    </w:pPr>
  </w:style>
  <w:style w:type="numbering" w:customStyle="1" w:styleId="WW8Num5">
    <w:name w:val="WW8Num5"/>
    <w:rsid w:val="00272265"/>
    <w:pPr>
      <w:numPr>
        <w:numId w:val="6"/>
      </w:numPr>
    </w:pPr>
  </w:style>
  <w:style w:type="numbering" w:customStyle="1" w:styleId="WW8Num6">
    <w:name w:val="WW8Num6"/>
    <w:rsid w:val="00272265"/>
    <w:pPr>
      <w:numPr>
        <w:numId w:val="7"/>
      </w:numPr>
    </w:pPr>
  </w:style>
  <w:style w:type="numbering" w:customStyle="1" w:styleId="WW8Num7">
    <w:name w:val="WW8Num7"/>
    <w:rsid w:val="00272265"/>
    <w:pPr>
      <w:numPr>
        <w:numId w:val="8"/>
      </w:numPr>
    </w:pPr>
  </w:style>
  <w:style w:type="numbering" w:customStyle="1" w:styleId="WW8Num8">
    <w:name w:val="WW8Num8"/>
    <w:rsid w:val="00272265"/>
    <w:pPr>
      <w:numPr>
        <w:numId w:val="9"/>
      </w:numPr>
    </w:pPr>
  </w:style>
  <w:style w:type="numbering" w:customStyle="1" w:styleId="WW8Num9">
    <w:name w:val="WW8Num9"/>
    <w:rsid w:val="00272265"/>
    <w:pPr>
      <w:numPr>
        <w:numId w:val="10"/>
      </w:numPr>
    </w:pPr>
  </w:style>
  <w:style w:type="numbering" w:customStyle="1" w:styleId="WW8Num10">
    <w:name w:val="WW8Num10"/>
    <w:rsid w:val="00272265"/>
    <w:pPr>
      <w:numPr>
        <w:numId w:val="11"/>
      </w:numPr>
    </w:pPr>
  </w:style>
  <w:style w:type="numbering" w:customStyle="1" w:styleId="WW8Num11">
    <w:name w:val="WW8Num11"/>
    <w:rsid w:val="00272265"/>
    <w:pPr>
      <w:numPr>
        <w:numId w:val="12"/>
      </w:numPr>
    </w:pPr>
  </w:style>
  <w:style w:type="numbering" w:customStyle="1" w:styleId="WW8Num12">
    <w:name w:val="WW8Num12"/>
    <w:rsid w:val="00272265"/>
    <w:pPr>
      <w:numPr>
        <w:numId w:val="13"/>
      </w:numPr>
    </w:pPr>
  </w:style>
  <w:style w:type="paragraph" w:styleId="a4">
    <w:name w:val="header"/>
    <w:basedOn w:val="a"/>
    <w:link w:val="a5"/>
    <w:uiPriority w:val="99"/>
    <w:unhideWhenUsed/>
    <w:rsid w:val="00FC6B5A"/>
    <w:pPr>
      <w:tabs>
        <w:tab w:val="center" w:pos="4252"/>
        <w:tab w:val="right" w:pos="8504"/>
      </w:tabs>
      <w:snapToGrid w:val="0"/>
    </w:pPr>
  </w:style>
  <w:style w:type="character" w:customStyle="1" w:styleId="a5">
    <w:name w:val="ヘッダー (文字)"/>
    <w:basedOn w:val="a0"/>
    <w:link w:val="a4"/>
    <w:uiPriority w:val="99"/>
    <w:rsid w:val="00FC6B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2155</Words>
  <Characters>12285</Characters>
  <Application>Microsoft Office Word</Application>
  <DocSecurity>0</DocSecurity>
  <Lines>102</Lines>
  <Paragraphs>28</Paragraphs>
  <ScaleCrop>false</ScaleCrop>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2022-01-04T10:11:00Z</dcterms:created>
  <dcterms:modified xsi:type="dcterms:W3CDTF">2022-01-04T10:11:00Z</dcterms:modified>
</cp:coreProperties>
</file>