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377" w:rsidRDefault="001858A8">
      <w:pPr>
        <w:pStyle w:val="en"/>
      </w:pPr>
      <w:r>
        <w:t>Cabinet Office Order on the Provision and Publication of Information on Securities</w:t>
      </w:r>
    </w:p>
    <w:p w:rsidR="00764377" w:rsidRDefault="00764377"/>
    <w:p w:rsidR="00764377" w:rsidRDefault="001858A8">
      <w:pPr>
        <w:pStyle w:val="enf"/>
      </w:pPr>
      <w:r>
        <w:t>(Cabinet Office Order No. 78 of December 5, 2008)</w:t>
      </w:r>
    </w:p>
    <w:p w:rsidR="00764377" w:rsidRDefault="00764377"/>
    <w:p w:rsidR="00764377" w:rsidRDefault="001858A8">
      <w:pPr>
        <w:pStyle w:val="ene"/>
      </w:pPr>
      <w:r>
        <w:t xml:space="preserve">Pursuant to the provisions of Article 21-2, paragraph (3) of the Financial Instruments and Exchange Act (Act No. 25 of </w:t>
      </w:r>
      <w:r>
        <w:t xml:space="preserve">1948) as applied mutatis mutandis by replacing certain terms pursuant to Article 27-31, Article 27-32 and Article 27-34 of that Act, the Cabinet Office Order on the Provision and Publication of Specified Information, on Securities is hereby established as </w:t>
      </w:r>
      <w:r>
        <w:t>follows.</w:t>
      </w:r>
    </w:p>
    <w:p w:rsidR="00764377" w:rsidRDefault="00764377"/>
    <w:p w:rsidR="00764377" w:rsidRDefault="001858A8">
      <w:pPr>
        <w:pStyle w:val="enf0"/>
      </w:pPr>
      <w:r>
        <w:t>Table of Contents</w:t>
      </w:r>
    </w:p>
    <w:p w:rsidR="00764377" w:rsidRDefault="001858A8">
      <w:pPr>
        <w:pStyle w:val="en5"/>
      </w:pPr>
      <w:r>
        <w:t>Chapter I General Provisions (Article 1)</w:t>
      </w:r>
    </w:p>
    <w:p w:rsidR="00764377" w:rsidRDefault="001858A8">
      <w:pPr>
        <w:pStyle w:val="en5"/>
      </w:pPr>
      <w:r>
        <w:t>Chapter II Provision and Publication of Specified Information on Securities (Articles 2 to 11)</w:t>
      </w:r>
    </w:p>
    <w:p w:rsidR="00764377" w:rsidRDefault="001858A8">
      <w:pPr>
        <w:pStyle w:val="en5"/>
      </w:pPr>
      <w:r>
        <w:t>Chapter III Provision and Publication of Information on Foreign Securities Information (Arti</w:t>
      </w:r>
      <w:r>
        <w:t>cles 12 to 17)</w:t>
      </w:r>
    </w:p>
    <w:p w:rsidR="00764377" w:rsidRDefault="001858A8">
      <w:pPr>
        <w:pStyle w:val="enc"/>
      </w:pPr>
      <w:r>
        <w:t>Supplementary Provisions</w:t>
      </w:r>
    </w:p>
    <w:p w:rsidR="00764377" w:rsidRDefault="00764377"/>
    <w:p w:rsidR="00764377" w:rsidRDefault="001858A8">
      <w:pPr>
        <w:pStyle w:val="en3"/>
      </w:pPr>
      <w:r>
        <w:t>Chapter I General Provisions</w:t>
      </w:r>
    </w:p>
    <w:p w:rsidR="00764377" w:rsidRDefault="00764377"/>
    <w:p w:rsidR="00764377" w:rsidRDefault="001858A8">
      <w:pPr>
        <w:pStyle w:val="enf3"/>
      </w:pPr>
      <w:r>
        <w:t>Article 1  In this Cabinet Office Order, the meanings of the terms listed in the following items are as prescribed in each of the relevant items:</w:t>
      </w:r>
    </w:p>
    <w:p w:rsidR="00764377" w:rsidRDefault="001858A8">
      <w:pPr>
        <w:pStyle w:val="enf6"/>
      </w:pPr>
      <w:r>
        <w:t>(i) securities: meaning securities as p</w:t>
      </w:r>
      <w:r>
        <w:t>rescribed in Article 2, paragraph (1) of the Financial Instruments and Exchange Act (hereinafter referred to as the "Act") and rights that are deemed to be securities pursuant to the provisions of Article 2, paragraph (2) of the Act;</w:t>
      </w:r>
    </w:p>
    <w:p w:rsidR="00764377" w:rsidRDefault="001858A8">
      <w:pPr>
        <w:pStyle w:val="enf6"/>
      </w:pPr>
      <w:r>
        <w:t>(ii) specified securit</w:t>
      </w:r>
      <w:r>
        <w:t>ies: meaning specified securities as prescribed in Article 5, paragraph (1) of the Act;</w:t>
      </w:r>
    </w:p>
    <w:p w:rsidR="00764377" w:rsidRDefault="001858A8">
      <w:pPr>
        <w:pStyle w:val="enf6"/>
      </w:pPr>
      <w:r>
        <w:t>(iii) issuer: meaning an issuer as prescribed in Article 2, paragraph (5) of the Act;</w:t>
      </w:r>
    </w:p>
    <w:p w:rsidR="00764377" w:rsidRDefault="001858A8">
      <w:pPr>
        <w:pStyle w:val="enf6"/>
      </w:pPr>
      <w:r>
        <w:t>(iv) specified information on securities: meaning specified information on securit</w:t>
      </w:r>
      <w:r>
        <w:t>ies as prescribed in Article 27-31, paragraph (1) of the Act;</w:t>
      </w:r>
    </w:p>
    <w:p w:rsidR="00764377" w:rsidRDefault="001858A8">
      <w:pPr>
        <w:pStyle w:val="enf6"/>
      </w:pPr>
      <w:r>
        <w:t>(v) issuer's information: meaning issuer's information as prescribed in Article 27-32, paragraph (1) of the Act;</w:t>
      </w:r>
    </w:p>
    <w:p w:rsidR="00764377" w:rsidRDefault="001858A8">
      <w:pPr>
        <w:pStyle w:val="enf6"/>
      </w:pPr>
      <w:r>
        <w:t>(vi) business year: meaning a business year as prescribed in Article 27-32, parag</w:t>
      </w:r>
      <w:r>
        <w:t>raph (1) of the Act;</w:t>
      </w:r>
    </w:p>
    <w:p w:rsidR="00764377" w:rsidRDefault="001858A8">
      <w:pPr>
        <w:pStyle w:val="enf6"/>
      </w:pPr>
      <w:r>
        <w:t>(vii) foreign securities information: meaning foreign securities information as prescribed in Article 27-32-2, paragraph (1) of the Act;</w:t>
      </w:r>
    </w:p>
    <w:p w:rsidR="00764377" w:rsidRDefault="001858A8">
      <w:pPr>
        <w:pStyle w:val="enf6"/>
      </w:pPr>
      <w:r>
        <w:t xml:space="preserve">(viii) secondary distribution of foreign securities: meaning secondary </w:t>
      </w:r>
      <w:r>
        <w:lastRenderedPageBreak/>
        <w:t>distribution of foreign sec</w:t>
      </w:r>
      <w:r>
        <w:t>urities as prescribed in Article 27-32-2, paragraph (1) of the Act; and</w:t>
      </w:r>
    </w:p>
    <w:p w:rsidR="00764377" w:rsidRDefault="001858A8">
      <w:pPr>
        <w:pStyle w:val="enf6"/>
      </w:pPr>
      <w:r>
        <w:t>(ix) designated foreign financial instruments exchange: meaning a designated foreign financial instruments exchange as prescribed in Article 2-12-3, item (iv), sub-item (b) of the Orde</w:t>
      </w:r>
      <w:r>
        <w:t>r for Enforcement of the Financial Instruments and Exchange Act (Cabinet Order No. 321 of 1965; hereinafter referred to as the "Order").</w:t>
      </w:r>
    </w:p>
    <w:p w:rsidR="00764377" w:rsidRDefault="00764377"/>
    <w:p w:rsidR="00764377" w:rsidRDefault="001858A8">
      <w:pPr>
        <w:pStyle w:val="en3"/>
      </w:pPr>
      <w:r>
        <w:t>Chapter II Provision and Publication of Specified Information on Securities</w:t>
      </w:r>
    </w:p>
    <w:p w:rsidR="00764377" w:rsidRDefault="00764377"/>
    <w:p w:rsidR="00764377" w:rsidRDefault="001858A8">
      <w:pPr>
        <w:pStyle w:val="ena"/>
      </w:pPr>
      <w:r>
        <w:t xml:space="preserve">(Contents of Specified </w:t>
      </w:r>
      <w:r>
        <w:t>Information on Securities)</w:t>
      </w:r>
    </w:p>
    <w:p w:rsidR="00764377" w:rsidRDefault="001858A8">
      <w:pPr>
        <w:pStyle w:val="enf3"/>
      </w:pPr>
      <w:r>
        <w:t xml:space="preserve">Article 2  (1) The information prescribed by Cabinet Office Order, referred to in Article 27-31, paragraph (1) of the Act, is the information prescribed in the following items in accordance with the category of securities listed </w:t>
      </w:r>
      <w:r>
        <w:t>in each of those items; provided, however, that where it is found to be inappropriate as regards the public interest or protection of investors to provide such information on securities listed in item (i) or item (ii) as the relevant information, it is pre</w:t>
      </w:r>
      <w:r>
        <w:t>scribed by the instructions of the Commissioner of the Financial Services Agency:</w:t>
      </w:r>
    </w:p>
    <w:p w:rsidR="00764377" w:rsidRDefault="001858A8">
      <w:pPr>
        <w:pStyle w:val="enf6"/>
      </w:pPr>
      <w:r>
        <w:t>(i) specified listed securities (meaning specified listed securities as prescribed in Article 2, paragraph (33) of the Act) or securities that the issuer thereof intends to l</w:t>
      </w:r>
      <w:r>
        <w:t xml:space="preserve">ist on a specified financial instruments exchange market (meaning a specified financial instruments exchange market as prescribed in Article 2, paragraph (32) of the Act; hereinafter the same applies in this item) (hereinafter such securities are referred </w:t>
      </w:r>
      <w:r>
        <w:t>to as "specified listed securities, etc."): the information specified by the rules laid down by the relevant financial instruments exchange (meaning a financial instruments exchange as prescribed in Article 2, paragraph (16) of the Act; the same applies he</w:t>
      </w:r>
      <w:r>
        <w:t>reinafter) that has established the specified financial instruments exchange market on which the issuer has listed or intends to list the specified listed securities, etc. (hereinafter such rules are referred to as the "specified exchange rules");</w:t>
      </w:r>
    </w:p>
    <w:p w:rsidR="00764377" w:rsidRDefault="001858A8">
      <w:pPr>
        <w:pStyle w:val="enf6"/>
      </w:pPr>
      <w:r>
        <w:t>(ii) spe</w:t>
      </w:r>
      <w:r>
        <w:t>cified over-the-counter traded securities (meaning specified over-the-counter traded securities as prescribed in Article 2-12-4, paragraph (3), item (ii) of the Order: hereinafter the same applies in this item) or securities that the issuer thereof intends</w:t>
      </w:r>
      <w:r>
        <w:t xml:space="preserve"> to register with an authorized financial instruments firms association (meaning an authorized financial instruments firms association as prescribed in Article 2, paragraph (13) of the Act; hereinafter the same applies in this item) as specified over-the-c</w:t>
      </w:r>
      <w:r>
        <w:t xml:space="preserve">ounter traded securities (hereinafter such securities are referred to as "specified over-the-counter traded securities, etc."): the information specified by the </w:t>
      </w:r>
      <w:r>
        <w:lastRenderedPageBreak/>
        <w:t>rules laid down by the Authorized Financial Instruments Firms Association with which the issuer</w:t>
      </w:r>
      <w:r>
        <w:t xml:space="preserve"> has either registered or intends to register the specified over-the-counter traded securities, etc. (hereinafter such rules are referred to as the "specified association rules"); or</w:t>
      </w:r>
    </w:p>
    <w:p w:rsidR="00764377" w:rsidRDefault="001858A8">
      <w:pPr>
        <w:pStyle w:val="enf6"/>
      </w:pPr>
      <w:r>
        <w:t xml:space="preserve">(iii) securities other than those listed in the preceding two items: the </w:t>
      </w:r>
      <w:r>
        <w:t>information designated by the Commissioner of the Financial Services Agency.</w:t>
      </w:r>
    </w:p>
    <w:p w:rsidR="00764377" w:rsidRDefault="001858A8">
      <w:pPr>
        <w:pStyle w:val="enf4"/>
      </w:pPr>
      <w:r>
        <w:t>(2) The information prescribed in the items of the preceding paragraph is to include the information prescribed in the following items, in accordance with the category of securiti</w:t>
      </w:r>
      <w:r>
        <w:t>es listed in each of those items:</w:t>
      </w:r>
    </w:p>
    <w:p w:rsidR="00764377" w:rsidRDefault="001858A8">
      <w:pPr>
        <w:pStyle w:val="enf6"/>
      </w:pPr>
      <w:r>
        <w:t>(i) securities (excluding securities listed in the following item): concerning the following matters (where the issuer of the securities has already submitted an annual securities report as prescribed in Article 9-3, parag</w:t>
      </w:r>
      <w:r>
        <w:t>raph (2) of the Cabinet Office Order on Disclosure of Corporate Affairs (Ministry of Finance Order No. 5 of 1973) (or where the securities are foreign bonds, etc. as prescribed in Article 1, item (i) of the Cabinet Office Order on Disclosure of Information</w:t>
      </w:r>
      <w:r>
        <w:t xml:space="preserve"> about Issuers of Foreign Government Bonds (Ministry of Finance Order No. 26 of 1972), an annual securities report as prescribed in Article 6-2, paragraph (2) of that Order) continuously for one year, to that effect and the matters listed in sub-items (a) </w:t>
      </w:r>
      <w:r>
        <w:t>and (b)):</w:t>
      </w:r>
    </w:p>
    <w:p w:rsidR="00764377" w:rsidRDefault="001858A8">
      <w:pPr>
        <w:pStyle w:val="enf9"/>
      </w:pPr>
      <w:r>
        <w:t>(a) that the information falls under the category of specified information on securities;</w:t>
      </w:r>
    </w:p>
    <w:p w:rsidR="00764377" w:rsidRDefault="001858A8">
      <w:pPr>
        <w:pStyle w:val="enf9"/>
      </w:pPr>
      <w:r>
        <w:t>(b) matters concerning the relevant securities;</w:t>
      </w:r>
    </w:p>
    <w:p w:rsidR="00764377" w:rsidRDefault="001858A8">
      <w:pPr>
        <w:pStyle w:val="enf9"/>
      </w:pPr>
      <w:r>
        <w:t>(c) matters concerning securities other than the relevant securities issued by the issuer of the relevant se</w:t>
      </w:r>
      <w:r>
        <w:t>curities; and</w:t>
      </w:r>
    </w:p>
    <w:p w:rsidR="00764377" w:rsidRDefault="001858A8">
      <w:pPr>
        <w:pStyle w:val="enf9"/>
      </w:pPr>
      <w:r>
        <w:t>(d) matters concerning the business and accounting of the issuer (excluding states and local governments) of the relevant securities.</w:t>
      </w:r>
    </w:p>
    <w:p w:rsidR="00764377" w:rsidRDefault="001858A8">
      <w:pPr>
        <w:pStyle w:val="enf6"/>
      </w:pPr>
      <w:r>
        <w:t>(ii) specified securities: the following matters:</w:t>
      </w:r>
    </w:p>
    <w:p w:rsidR="00764377" w:rsidRDefault="001858A8">
      <w:pPr>
        <w:pStyle w:val="enf9"/>
      </w:pPr>
      <w:r>
        <w:t>(a) that the information falls under the category of speci</w:t>
      </w:r>
      <w:r>
        <w:t>fied information on securities;</w:t>
      </w:r>
    </w:p>
    <w:p w:rsidR="00764377" w:rsidRDefault="001858A8">
      <w:pPr>
        <w:pStyle w:val="enf9"/>
      </w:pPr>
      <w:r>
        <w:t>(b) matters concerning the relevant securities;</w:t>
      </w:r>
    </w:p>
    <w:p w:rsidR="00764377" w:rsidRDefault="001858A8">
      <w:pPr>
        <w:pStyle w:val="enf9"/>
      </w:pPr>
      <w:r>
        <w:t>(c) matters concerning any details and investment of funds (meaning funds as prescribed in Article 1, item (ix) of the Cabinet Office Order on Disclosure of Information of Spec</w:t>
      </w:r>
      <w:r>
        <w:t>ified Securities (Ministry of Finance Order No. 22 of 1993); the same applies hereinafter) in relation to the relevant securities, collateralized assets (meaning collateralized assets as prescribed in Article 1, item (ix)-2 of that Order), and other equiva</w:t>
      </w:r>
      <w:r>
        <w:t>lent property or assets (referred to as "assets under management, etc." in sub-item (d) and Article 7, paragraph (3), item (ii)); and</w:t>
      </w:r>
    </w:p>
    <w:p w:rsidR="00764377" w:rsidRDefault="001858A8">
      <w:pPr>
        <w:pStyle w:val="enf9"/>
      </w:pPr>
      <w:r>
        <w:t>(d) matters concerning the person engaged in the investment of the assets under management, etc.</w:t>
      </w:r>
    </w:p>
    <w:p w:rsidR="00764377" w:rsidRDefault="00764377"/>
    <w:p w:rsidR="00764377" w:rsidRDefault="001858A8">
      <w:pPr>
        <w:pStyle w:val="ena"/>
      </w:pPr>
      <w:r>
        <w:t xml:space="preserve">(Method of Provision or </w:t>
      </w:r>
      <w:r>
        <w:t>Publication of Specified Information on Securities)</w:t>
      </w:r>
    </w:p>
    <w:p w:rsidR="00764377" w:rsidRDefault="001858A8">
      <w:pPr>
        <w:pStyle w:val="enf3"/>
      </w:pPr>
      <w:r>
        <w:t>Article 3  An issuer that intends to provide or publicize specified information on securities must do so by the methods prescribed in the following items in accordance with the category of securities list</w:t>
      </w:r>
      <w:r>
        <w:t>ed in each of those items:</w:t>
      </w:r>
    </w:p>
    <w:p w:rsidR="00764377" w:rsidRDefault="001858A8">
      <w:pPr>
        <w:pStyle w:val="enf6"/>
      </w:pPr>
      <w:r>
        <w:t>(i) specified listed securities, etc.: the method of publication specified in the specified exchange rules;</w:t>
      </w:r>
    </w:p>
    <w:p w:rsidR="00764377" w:rsidRDefault="001858A8">
      <w:pPr>
        <w:pStyle w:val="enf6"/>
      </w:pPr>
      <w:r>
        <w:t>(ii) specified over-the-counter traded securities, etc.: the method of publication specified in the specified association</w:t>
      </w:r>
      <w:r>
        <w:t xml:space="preserve"> rules; or</w:t>
      </w:r>
    </w:p>
    <w:p w:rsidR="00764377" w:rsidRDefault="001858A8">
      <w:pPr>
        <w:pStyle w:val="enf6"/>
      </w:pPr>
      <w:r>
        <w:t>(iii) securities other than those listed in the preceding two items: the method designated by the Commissioner of the Financial Services Agency.</w:t>
      </w:r>
    </w:p>
    <w:p w:rsidR="00764377" w:rsidRDefault="00764377"/>
    <w:p w:rsidR="00764377" w:rsidRDefault="001858A8">
      <w:pPr>
        <w:pStyle w:val="ena"/>
      </w:pPr>
      <w:r>
        <w:t>(Provision or Publication of Specified Information on Securities by the Reference Method)</w:t>
      </w:r>
    </w:p>
    <w:p w:rsidR="00764377" w:rsidRDefault="001858A8">
      <w:pPr>
        <w:pStyle w:val="enf3"/>
      </w:pPr>
      <w:r>
        <w:t>Article 4</w:t>
      </w:r>
      <w:r>
        <w:t xml:space="preserve">  (1) The period specified by Cabinet Office Order, referred to in Article 27-31, paragraph (3) of the Act, is one year.</w:t>
      </w:r>
    </w:p>
    <w:p w:rsidR="00764377" w:rsidRDefault="001858A8">
      <w:pPr>
        <w:pStyle w:val="enf4"/>
      </w:pPr>
      <w:r>
        <w:t>(2) Where an issuer as prescribed in Article 27-31, paragraph (3) of the Act intends to provide or publicize specified information on s</w:t>
      </w:r>
      <w:r>
        <w:t>ecurities, the issuer must note in the specified information on securities that reference should be made to the reference information (meaning reference information as prescribed in Article 27-31, paragraph (3) of the Act) in connection with the issuer (or</w:t>
      </w:r>
      <w:r>
        <w:t xml:space="preserve"> where the securities are specified securities, in connection with the securities or with the same class of securities (meaning the same class of securities as referred to in Article 4, paragraph (3), item (iii) of the Act) as those issued by the issuer of</w:t>
      </w:r>
      <w:r>
        <w:t xml:space="preserve"> the securities), by the methods prescribed in the following items in accordance with the category of securities listed in each of those items:</w:t>
      </w:r>
    </w:p>
    <w:p w:rsidR="00764377" w:rsidRDefault="001858A8">
      <w:pPr>
        <w:pStyle w:val="enf6"/>
      </w:pPr>
      <w:r>
        <w:t>(i) specified listed securities, etc.: the method specified in the specified exchange rules;</w:t>
      </w:r>
    </w:p>
    <w:p w:rsidR="00764377" w:rsidRDefault="001858A8">
      <w:pPr>
        <w:pStyle w:val="enf6"/>
      </w:pPr>
      <w:r>
        <w:t>(ii) specified over</w:t>
      </w:r>
      <w:r>
        <w:t>-the-counter traded securities, etc.: the method specified in the specified association rules; or</w:t>
      </w:r>
    </w:p>
    <w:p w:rsidR="00764377" w:rsidRDefault="001858A8">
      <w:pPr>
        <w:pStyle w:val="enf6"/>
      </w:pPr>
      <w:r>
        <w:t>(iii) securities other than those listed in the preceding two items: the method designated by the Commissioner of the Financial Services Agency.</w:t>
      </w:r>
    </w:p>
    <w:p w:rsidR="00764377" w:rsidRDefault="001858A8">
      <w:pPr>
        <w:pStyle w:val="enf4"/>
      </w:pPr>
      <w:r>
        <w:t xml:space="preserve">(3) The </w:t>
      </w:r>
      <w:r>
        <w:t>information specified by Cabinet Office Order, referred to in Article 27-31, paragraph (3) of the Act, is the information prescribed in the following items in accordance with the category of securities listed in each of those items:</w:t>
      </w:r>
    </w:p>
    <w:p w:rsidR="00764377" w:rsidRDefault="001858A8">
      <w:pPr>
        <w:pStyle w:val="enf6"/>
      </w:pPr>
      <w:r>
        <w:t>(i) securities (excludi</w:t>
      </w:r>
      <w:r>
        <w:t>ng securities listed in the following item): information concerning the matters listed in Article 2, paragraph (2), item (i), sub-items (c) and sub-item (d); or</w:t>
      </w:r>
    </w:p>
    <w:p w:rsidR="00764377" w:rsidRDefault="001858A8">
      <w:pPr>
        <w:pStyle w:val="enf6"/>
      </w:pPr>
      <w:r>
        <w:t>(ii) specified securities: information concerning the matters listed in Article 2, paragraph (2</w:t>
      </w:r>
      <w:r>
        <w:t>), item (ii), sub-item (c) and sub-item (d).</w:t>
      </w:r>
    </w:p>
    <w:p w:rsidR="00764377" w:rsidRDefault="00764377"/>
    <w:p w:rsidR="00764377" w:rsidRDefault="001858A8">
      <w:pPr>
        <w:pStyle w:val="ena"/>
      </w:pPr>
      <w:r>
        <w:t>(Amendment of Specified Information on Securities)</w:t>
      </w:r>
    </w:p>
    <w:p w:rsidR="00764377" w:rsidRDefault="001858A8">
      <w:pPr>
        <w:pStyle w:val="enf3"/>
      </w:pPr>
      <w:r>
        <w:t xml:space="preserve">Article 5  (1) The cases specified by Cabinet Office Order, referred to in Article 27-31, paragraph (4) of the Act, are the cases listed in the </w:t>
      </w:r>
      <w:r>
        <w:t>following items, and the period specified by Cabinet Office Order, referred to in that paragraph, is the period prescribed in each of those items:</w:t>
      </w:r>
    </w:p>
    <w:p w:rsidR="00764377" w:rsidRDefault="001858A8">
      <w:pPr>
        <w:pStyle w:val="enf6"/>
      </w:pPr>
      <w:r>
        <w:t xml:space="preserve">(i) cases that fall under the case where disclosures have been made (meaning the case where disclosures have </w:t>
      </w:r>
      <w:r>
        <w:t>been made as prescribed in Article 4, paragraph (7) of the Act; the same applies hereinafter) for the securities connected with the specified information on securities: the period from the date of the provision or publication of the specified information o</w:t>
      </w:r>
      <w:r>
        <w:t>n securities to the date when the case comes to fall under the case where disclosures have been made; or</w:t>
      </w:r>
    </w:p>
    <w:p w:rsidR="00764377" w:rsidRDefault="001858A8">
      <w:pPr>
        <w:pStyle w:val="enf6"/>
      </w:pPr>
      <w:r>
        <w:t xml:space="preserve">(ii) cases where securities connected with the specified information on securities have ceased to exist due to retirement, redemption, or on any other </w:t>
      </w:r>
      <w:r>
        <w:t>grounds: the period from the date of the provision or publication of the specified information on securities to the date on which the relevant securities ceased to exist.</w:t>
      </w:r>
    </w:p>
    <w:p w:rsidR="00764377" w:rsidRDefault="001858A8">
      <w:pPr>
        <w:pStyle w:val="enf4"/>
      </w:pPr>
      <w:r>
        <w:t>(2) An issuer who is to provide or publicize amended specified information on securit</w:t>
      </w:r>
      <w:r>
        <w:t xml:space="preserve">ies (meaning amended specified information on securities as prescribed in Article 27-31, paragraph (4) of the Act; hereinafter the same applies in this paragraph) pursuant to the provisions of that paragraph must provide or publicize the amended specified </w:t>
      </w:r>
      <w:r>
        <w:t>information on securities to the other party to the Specified solicitation or offer, etc. (meaning specified solicitation or offer, etc. as prescribed in Article 27-31, paragraph (1) of the Act; the same applies in Article 8, paragraph (1), item (ii)) in c</w:t>
      </w:r>
      <w:r>
        <w:t>onnection with the specified information on securities to which the amended specified information on securities is related and to the holder of the securities under the specified solicitation or offer, etc., by the method prescribed in the following items,</w:t>
      </w:r>
      <w:r>
        <w:t xml:space="preserve"> in accordance with the category of securities listed in each of those items, that is the same as the method that the issuer used to provide or publicize such specified information on securities:</w:t>
      </w:r>
    </w:p>
    <w:p w:rsidR="00764377" w:rsidRDefault="001858A8">
      <w:pPr>
        <w:pStyle w:val="enf6"/>
      </w:pPr>
      <w:r>
        <w:t xml:space="preserve">(i) specified listed securities, etc.: the method specified </w:t>
      </w:r>
      <w:r>
        <w:t>in the specified exchange rules;</w:t>
      </w:r>
    </w:p>
    <w:p w:rsidR="00764377" w:rsidRDefault="001858A8">
      <w:pPr>
        <w:pStyle w:val="enf6"/>
      </w:pPr>
      <w:r>
        <w:t>(ii) specified over-the-counter traded securities, etc.: the method specified in the specified association rules; or</w:t>
      </w:r>
    </w:p>
    <w:p w:rsidR="00764377" w:rsidRDefault="001858A8">
      <w:pPr>
        <w:pStyle w:val="enf6"/>
      </w:pPr>
      <w:r>
        <w:t>(iii) securities other than those listed in the preceding two items: the method designated by the Commissi</w:t>
      </w:r>
      <w:r>
        <w:t>oner of the Financial Services Agency.</w:t>
      </w:r>
    </w:p>
    <w:p w:rsidR="00764377" w:rsidRDefault="001858A8">
      <w:pPr>
        <w:pStyle w:val="enf4"/>
      </w:pPr>
      <w:r>
        <w:t>(3) The holder prescribed in the preceding paragraph is the person prescribed in the following items in accordance with the category of securities listed in each of those items:</w:t>
      </w:r>
    </w:p>
    <w:p w:rsidR="00764377" w:rsidRDefault="001858A8">
      <w:pPr>
        <w:pStyle w:val="enf6"/>
      </w:pPr>
      <w:r>
        <w:t>(i) securities (excluding the securitie</w:t>
      </w:r>
      <w:r>
        <w:t>s listed in the following item): the person who is listed or recorded as the holder in the shareholder registry (including the preferred equity investor registry prescribed in Article 25, paragraph (1) of the Act on Preferred Equity Investment by Cooperati</w:t>
      </w:r>
      <w:r>
        <w:t>ve Structured Financial Institutions (Act No. 44 of 1993), and where the relevant securities are securities other than share certificates, the registry of the holders thereof); or</w:t>
      </w:r>
    </w:p>
    <w:p w:rsidR="00764377" w:rsidRDefault="001858A8">
      <w:pPr>
        <w:pStyle w:val="enf6"/>
      </w:pPr>
      <w:r>
        <w:t xml:space="preserve">(ii) Securities issued by a foreign state or foreign person: the person who </w:t>
      </w:r>
      <w:r>
        <w:t>is listed in the registry of the holders of the securities that are being held by the financial instruments business operator, etc. (meaning a financial instruments business operator, etc. as prescribed in Article 34 of the Act; the same applies in Article</w:t>
      </w:r>
      <w:r>
        <w:t xml:space="preserve"> 13, item (iii), Article 14, and Article 16, item (iii)) who has been entrusted to retain the relevant securities.</w:t>
      </w:r>
    </w:p>
    <w:p w:rsidR="00764377" w:rsidRDefault="00764377"/>
    <w:p w:rsidR="00764377" w:rsidRDefault="001858A8">
      <w:pPr>
        <w:pStyle w:val="ena"/>
      </w:pPr>
      <w:r>
        <w:t>(Period in Which Specified Information on Securities Is to Be Publicized)</w:t>
      </w:r>
    </w:p>
    <w:p w:rsidR="00764377" w:rsidRDefault="001858A8">
      <w:pPr>
        <w:pStyle w:val="enf3"/>
      </w:pPr>
      <w:r>
        <w:t>Article 6  The provisions of paragraph (1) of the preceding Articl</w:t>
      </w:r>
      <w:r>
        <w:t>e applies mutatis mutandis to the cases and the period specified by Cabinet Office Order, referred to in Article 27-31, paragraph (5) of the Act; provided, however, that the term "the provision or publication" in paragraph (1) of the preceding Article is d</w:t>
      </w:r>
      <w:r>
        <w:t>eemed to be replaced with "the publication."</w:t>
      </w:r>
    </w:p>
    <w:p w:rsidR="00764377" w:rsidRDefault="00764377"/>
    <w:p w:rsidR="00764377" w:rsidRDefault="001858A8">
      <w:pPr>
        <w:pStyle w:val="ena"/>
      </w:pPr>
      <w:r>
        <w:t>(Contents of an Issuer's Information)</w:t>
      </w:r>
    </w:p>
    <w:p w:rsidR="00764377" w:rsidRDefault="001858A8">
      <w:pPr>
        <w:pStyle w:val="enf3"/>
      </w:pPr>
      <w:r>
        <w:t xml:space="preserve">Article 7  (1) An issuer who is to provide or publicize issuer's information pursuant to the provisions of Article 27-32, paragraph (1) of the Act must do so by the method </w:t>
      </w:r>
      <w:r>
        <w:t>prescribed in the following items, in accordance with the category of securities listed in each of those items:</w:t>
      </w:r>
    </w:p>
    <w:p w:rsidR="00764377" w:rsidRDefault="001858A8">
      <w:pPr>
        <w:pStyle w:val="enf6"/>
      </w:pPr>
      <w:r>
        <w:t>(i) specified listed securities, etc.: the method of publication specified in the specified exchange rules;</w:t>
      </w:r>
    </w:p>
    <w:p w:rsidR="00764377" w:rsidRDefault="001858A8">
      <w:pPr>
        <w:pStyle w:val="enf6"/>
      </w:pPr>
      <w:r>
        <w:t>(ii) specified over-the-counter trad</w:t>
      </w:r>
      <w:r>
        <w:t>ed securities, etc.: the method of publication specified in the specified association rules; or</w:t>
      </w:r>
    </w:p>
    <w:p w:rsidR="00764377" w:rsidRDefault="001858A8">
      <w:pPr>
        <w:pStyle w:val="enf6"/>
      </w:pPr>
      <w:r>
        <w:t>(iii) securities other than those listed in the preceding two items: the method designated by the Commissioner of the Financial Services Agency.</w:t>
      </w:r>
    </w:p>
    <w:p w:rsidR="00764377" w:rsidRDefault="001858A8">
      <w:pPr>
        <w:pStyle w:val="enf4"/>
      </w:pPr>
      <w:r>
        <w:t>(2) The informa</w:t>
      </w:r>
      <w:r>
        <w:t xml:space="preserve">tion specified by Cabinet Office Order, referred to in Article 27-32, paragraph (1) of the Act, is the information prescribed in the following items in accordance with the category of securities listed in each of those items; provided, however, that where </w:t>
      </w:r>
      <w:r>
        <w:t xml:space="preserve">it is found to be inappropriate as regards the public interest or protection of investors to provide the information on the securities listed in items (i) or (ii) as the relevant information, it is prescribed by the instructions of the Commissioner of the </w:t>
      </w:r>
      <w:r>
        <w:t>Financial Services Agency:</w:t>
      </w:r>
    </w:p>
    <w:p w:rsidR="00764377" w:rsidRDefault="001858A8">
      <w:pPr>
        <w:pStyle w:val="enf6"/>
      </w:pPr>
      <w:r>
        <w:t>(i) specified listed securities, etc.: the information specified in the specified exchange rules;</w:t>
      </w:r>
    </w:p>
    <w:p w:rsidR="00764377" w:rsidRDefault="001858A8">
      <w:pPr>
        <w:pStyle w:val="enf6"/>
      </w:pPr>
      <w:r>
        <w:t>(ii) specified over-the-counter traded securities, etc.: the information specified in the specified association rules; or</w:t>
      </w:r>
    </w:p>
    <w:p w:rsidR="00764377" w:rsidRDefault="001858A8">
      <w:pPr>
        <w:pStyle w:val="enf6"/>
      </w:pPr>
      <w:r>
        <w:t>(iii) securities other than those listed in the preceding two items: the information designated by the Commissioner of the Financial Services Agency.</w:t>
      </w:r>
    </w:p>
    <w:p w:rsidR="00764377" w:rsidRDefault="001858A8">
      <w:pPr>
        <w:pStyle w:val="enf4"/>
      </w:pPr>
      <w:r>
        <w:t>(3) The information prescribed in the items of the preceding paragraph is to include the information presc</w:t>
      </w:r>
      <w:r>
        <w:t>ribed in the following items in accordance with the category of securities listed in each of those items:</w:t>
      </w:r>
    </w:p>
    <w:p w:rsidR="00764377" w:rsidRDefault="001858A8">
      <w:pPr>
        <w:pStyle w:val="enf6"/>
      </w:pPr>
      <w:r>
        <w:t>(i) securities (excluding the securities listed in the following item): the following matters:</w:t>
      </w:r>
    </w:p>
    <w:p w:rsidR="00764377" w:rsidRDefault="001858A8">
      <w:pPr>
        <w:pStyle w:val="enf9"/>
      </w:pPr>
      <w:r>
        <w:t>(a) that the information falls under the category of sp</w:t>
      </w:r>
      <w:r>
        <w:t>ecified information on securities;</w:t>
      </w:r>
    </w:p>
    <w:p w:rsidR="00764377" w:rsidRDefault="001858A8">
      <w:pPr>
        <w:pStyle w:val="enf9"/>
      </w:pPr>
      <w:r>
        <w:t>(b) matters concerning securities other than the relevant securities issued by the issuer of the relevant securities; and</w:t>
      </w:r>
    </w:p>
    <w:p w:rsidR="00764377" w:rsidRDefault="001858A8">
      <w:pPr>
        <w:pStyle w:val="enf9"/>
      </w:pPr>
      <w:r>
        <w:t>(c) matters concerning the business and accounting of the issuer (excluding states and local govern</w:t>
      </w:r>
      <w:r>
        <w:t>ments) of the relevant securities.</w:t>
      </w:r>
    </w:p>
    <w:p w:rsidR="00764377" w:rsidRDefault="001858A8">
      <w:pPr>
        <w:pStyle w:val="enf6"/>
      </w:pPr>
      <w:r>
        <w:t>(ii) specified securities: the following matters:</w:t>
      </w:r>
    </w:p>
    <w:p w:rsidR="00764377" w:rsidRDefault="001858A8">
      <w:pPr>
        <w:pStyle w:val="enf9"/>
      </w:pPr>
      <w:r>
        <w:t>(a) that the information falls under the category of issuer's information;</w:t>
      </w:r>
    </w:p>
    <w:p w:rsidR="00764377" w:rsidRDefault="001858A8">
      <w:pPr>
        <w:pStyle w:val="enf9"/>
      </w:pPr>
      <w:r>
        <w:t>(b) matters concerning the details and investment of the assets under management, etc.; and</w:t>
      </w:r>
    </w:p>
    <w:p w:rsidR="00764377" w:rsidRDefault="001858A8">
      <w:pPr>
        <w:pStyle w:val="enf9"/>
      </w:pPr>
      <w:r>
        <w:t xml:space="preserve">(c) </w:t>
      </w:r>
      <w:r>
        <w:t>matters concerning the person engaged in investment of the assets under management, etc.</w:t>
      </w:r>
    </w:p>
    <w:p w:rsidR="00764377" w:rsidRDefault="001858A8">
      <w:pPr>
        <w:pStyle w:val="enf4"/>
      </w:pPr>
      <w:r>
        <w:t>(4) The cases prescribed by Cabinet Office Order, referred to in the main clause of Article 27-32, paragraph (1) of the Act, are the cases listed in the following item</w:t>
      </w:r>
      <w:r>
        <w:t>s, and the period prescribed by Cabinet Office Order, referred to in that paragraph, is the period prescribed in each of those items:</w:t>
      </w:r>
    </w:p>
    <w:p w:rsidR="00764377" w:rsidRDefault="001858A8">
      <w:pPr>
        <w:pStyle w:val="enf6"/>
      </w:pPr>
      <w:r>
        <w:t>(i) where the securities issued by the issuer are specified securities: the specified period (meaning the specified period</w:t>
      </w:r>
      <w:r>
        <w:t xml:space="preserve"> prescribed in Article 24, paragraph (1) of the Act as applied mutatis mutandis by replacing certain terms pursuant to paragraph (5) of that Article) designated for the securities; or</w:t>
      </w:r>
    </w:p>
    <w:p w:rsidR="00764377" w:rsidRDefault="001858A8">
      <w:pPr>
        <w:pStyle w:val="enf6"/>
      </w:pPr>
      <w:r>
        <w:t>(ii) where the issuer is a person other than a company (excluding the ca</w:t>
      </w:r>
      <w:r>
        <w:t>se prescribed in the preceding item): a business year or any other equivalent period.</w:t>
      </w:r>
    </w:p>
    <w:p w:rsidR="00764377" w:rsidRDefault="001858A8">
      <w:pPr>
        <w:pStyle w:val="enf4"/>
      </w:pPr>
      <w:r>
        <w:t>(5) The cases prescribed by Cabinet Office Order, referred to in the main clause of Article 27-32, paragraph (1) of the Act are the cases listed in the following items:</w:t>
      </w:r>
    </w:p>
    <w:p w:rsidR="00764377" w:rsidRDefault="001858A8">
      <w:pPr>
        <w:pStyle w:val="enf6"/>
      </w:pPr>
      <w:r>
        <w:t>(</w:t>
      </w:r>
      <w:r>
        <w:t>i) cases that fall under the case where disclosures have been made with regard to the securities prescribed in the items of Article 27-32, paragraph (1) of the Act or other securities issued by the issuer of the securities;</w:t>
      </w:r>
    </w:p>
    <w:p w:rsidR="00764377" w:rsidRDefault="001858A8">
      <w:pPr>
        <w:pStyle w:val="enf6"/>
      </w:pPr>
      <w:r>
        <w:t xml:space="preserve">(ii) cases where the securities </w:t>
      </w:r>
      <w:r>
        <w:t>prescribed in Article 27-32, paragraph (1), item (i) of the Act have ceased to fall under the category of securities for professional investors (meaning securities for professional investors as prescribed in Article 4, paragraph (3) of the Act; the same ap</w:t>
      </w:r>
      <w:r>
        <w:t>plies in Article 8, paragraph (1)) pursuant to the provisions of Article 2-12-4, paragraph (1) of the Order; or</w:t>
      </w:r>
    </w:p>
    <w:p w:rsidR="00764377" w:rsidRDefault="001858A8">
      <w:pPr>
        <w:pStyle w:val="enf6"/>
      </w:pPr>
      <w:r>
        <w:t>(iii) cases where an issuer of securities prescribed in Article 27-32, paragraph (1), item (i) of the Act has applied to the Commissioner of the</w:t>
      </w:r>
      <w:r>
        <w:t xml:space="preserve"> Financial Services Agency for approval not to provide or publicize the issuer's information under the provisions of that paragraph, and where the Commissioner of the Financial Services Agency has found the issuer to fall under any of the following and has</w:t>
      </w:r>
      <w:r>
        <w:t xml:space="preserve"> given approval for the issuer's information (limited to information pertaining to business years from the business year that includes the day on which the issuer filed the application to the business year that includes the day on which the issuer ceases t</w:t>
      </w:r>
      <w:r>
        <w:t>o fall under any of the following) not to be provided or publicized:</w:t>
      </w:r>
    </w:p>
    <w:p w:rsidR="00764377" w:rsidRDefault="001858A8">
      <w:pPr>
        <w:pStyle w:val="enf9"/>
      </w:pPr>
      <w:r>
        <w:t>(a) a person in liquidation; or</w:t>
      </w:r>
    </w:p>
    <w:p w:rsidR="00764377" w:rsidRDefault="001858A8">
      <w:pPr>
        <w:pStyle w:val="enf9"/>
      </w:pPr>
      <w:r>
        <w:t>(b) a person who is suspending their business for a considerable period of time.</w:t>
      </w:r>
    </w:p>
    <w:p w:rsidR="00764377" w:rsidRDefault="001858A8">
      <w:pPr>
        <w:pStyle w:val="enf4"/>
      </w:pPr>
      <w:r>
        <w:t>(6) The approval referred to in item (iii) of the preceding paragraph is t</w:t>
      </w:r>
      <w:r>
        <w:t>o be given on the condition that the issuer prescribed in that item has submitted the written application for approval prescribed in that item, with the documents prescribed in the following items attached thereto, in accordance with the category of issuer</w:t>
      </w:r>
      <w:r>
        <w:t>s listed in each of those items:</w:t>
      </w:r>
    </w:p>
    <w:p w:rsidR="00764377" w:rsidRDefault="001858A8">
      <w:pPr>
        <w:pStyle w:val="enf6"/>
      </w:pPr>
      <w:r>
        <w:t>(i) an issuer of securities listed in Article 5, paragraph (3), item (i): the following documents:</w:t>
      </w:r>
    </w:p>
    <w:p w:rsidR="00764377" w:rsidRDefault="001858A8">
      <w:pPr>
        <w:pStyle w:val="enf9"/>
      </w:pPr>
      <w:r>
        <w:t>(a) the articles of incorporation and any other equivalent documents;</w:t>
      </w:r>
    </w:p>
    <w:p w:rsidR="00764377" w:rsidRDefault="001858A8">
      <w:pPr>
        <w:pStyle w:val="enf9"/>
      </w:pPr>
      <w:r>
        <w:t>(b) where the issuer is a person listed in item (iii),</w:t>
      </w:r>
      <w:r>
        <w:t xml:space="preserve"> sub-item (a) of the preceding paragraph, a copy of the minutes of the shareholders meeting (or the general meeting of members or the general meeting of representatives for a mutual company, or the general meeting of members for a medical incorporated asso</w:t>
      </w:r>
      <w:r>
        <w:t>ciation) that were resolved on the dissolution and the certificate of registered matters for the dissolution, or any documents equivalent thereto; or</w:t>
      </w:r>
    </w:p>
    <w:p w:rsidR="00764377" w:rsidRDefault="001858A8">
      <w:pPr>
        <w:pStyle w:val="enf9"/>
      </w:pPr>
      <w:r>
        <w:t>(c) where the issuer is a person listed in item (iii), sub-item (b) of the preceding paragraph, a document</w:t>
      </w:r>
      <w:r>
        <w:t xml:space="preserve"> that contains the particulars of the suspension of the business and its future prospects;</w:t>
      </w:r>
    </w:p>
    <w:p w:rsidR="00764377" w:rsidRDefault="001858A8">
      <w:pPr>
        <w:pStyle w:val="enf6"/>
      </w:pPr>
      <w:r>
        <w:t>(ii) an issuer other than those listed in the preceding item: the following documents:</w:t>
      </w:r>
    </w:p>
    <w:p w:rsidR="00764377" w:rsidRDefault="001858A8">
      <w:pPr>
        <w:pStyle w:val="enf9"/>
      </w:pPr>
      <w:r>
        <w:t>(a) the documents prescribed in the preceding item;</w:t>
      </w:r>
    </w:p>
    <w:p w:rsidR="00764377" w:rsidRDefault="001858A8">
      <w:pPr>
        <w:pStyle w:val="enf9"/>
      </w:pPr>
      <w:r>
        <w:t xml:space="preserve">(b) a document certifying </w:t>
      </w:r>
      <w:r>
        <w:t>that the representative person of the issuer listed in the written application for approval is a person with due authority for the submission of the written application for approval; and</w:t>
      </w:r>
    </w:p>
    <w:p w:rsidR="00764377" w:rsidRDefault="001858A8">
      <w:pPr>
        <w:pStyle w:val="enf9"/>
      </w:pPr>
      <w:r>
        <w:t xml:space="preserve">(c) a document certifying that the issuer has given a person who has </w:t>
      </w:r>
      <w:r>
        <w:t>an address in Japan the authority to represent the issuer with regard to any acts concerning the submission of the written application for approval.</w:t>
      </w:r>
    </w:p>
    <w:p w:rsidR="00764377" w:rsidRDefault="00764377"/>
    <w:p w:rsidR="00764377" w:rsidRDefault="001858A8">
      <w:pPr>
        <w:pStyle w:val="ena"/>
      </w:pPr>
      <w:r>
        <w:t>(Cases Where the Provision or Publication of Issuer's Information Is Not Required)</w:t>
      </w:r>
    </w:p>
    <w:p w:rsidR="00764377" w:rsidRDefault="001858A8">
      <w:pPr>
        <w:pStyle w:val="enf3"/>
      </w:pPr>
      <w:r>
        <w:t xml:space="preserve">Article 8  (1) The </w:t>
      </w:r>
      <w:r>
        <w:t>cases prescribed by Cabinet Office Order, referred to in Article 27-32, paragraph (2) of the Act are those where securities issued by an issuer that is excluded from the application of the main clause of paragraph (1) of that Article have come to fall unde</w:t>
      </w:r>
      <w:r>
        <w:t>r the category of securities for professional investors, and which fall under any of the cases listed in the following items (limited to item (i) when the securities have come to fall under the category of securities listed in Article 4, paragraph (3), ite</w:t>
      </w:r>
      <w:r>
        <w:t>m (iv) of the Act):</w:t>
      </w:r>
    </w:p>
    <w:p w:rsidR="00764377" w:rsidRDefault="001858A8">
      <w:pPr>
        <w:pStyle w:val="enf6"/>
      </w:pPr>
      <w:r>
        <w:t>(i) cases that fall under the case where disclosures have been made with regard to the securities or other securities issued by the issuer;</w:t>
      </w:r>
    </w:p>
    <w:p w:rsidR="00764377" w:rsidRDefault="001858A8">
      <w:pPr>
        <w:pStyle w:val="enf6"/>
      </w:pPr>
      <w:r>
        <w:t>(ii) cases where the securities are subject to the provisions of Article 27-31, paragraph (1) of</w:t>
      </w:r>
      <w:r>
        <w:t xml:space="preserve"> the Act with regard to a specified solicitation or offer, etc., and the specified information on securities provided or publicized pursuant to the provisions of paragraph (2) of that Article contains information concerning the matters listed in Article 2,</w:t>
      </w:r>
      <w:r>
        <w:t xml:space="preserve"> paragraph (2), item (i), sub-item (d) or item (ii), sub-item (c) concerning the business year immediately prior to the business year that includes the day on which the specified information on securities was provided or publicized; or</w:t>
      </w:r>
    </w:p>
    <w:p w:rsidR="00764377" w:rsidRDefault="001858A8">
      <w:pPr>
        <w:pStyle w:val="enf6"/>
      </w:pPr>
      <w:r>
        <w:t>(iii) cases where th</w:t>
      </w:r>
      <w:r>
        <w:t>e securities fall under the category of securities listed in Article 4, paragraph (3), item (iii) of the Act and have become securities for professional investors.</w:t>
      </w:r>
    </w:p>
    <w:p w:rsidR="00764377" w:rsidRDefault="001858A8">
      <w:pPr>
        <w:pStyle w:val="enf4"/>
      </w:pPr>
      <w:r>
        <w:t>(2) An issuer who is to provide or publicize issuer's information pursuant to the provisions</w:t>
      </w:r>
      <w:r>
        <w:t xml:space="preserve"> of Article 27-32, paragraph (2) of the Act must provide or publicize the issuer's information to a holder (meaning a holder as prescribed in Article 5, paragraph (3); the same applies in the following Article) of the securities by the method prescribed in</w:t>
      </w:r>
      <w:r>
        <w:t xml:space="preserve"> the following items in accordance with the category of securities listed in each of those items:</w:t>
      </w:r>
    </w:p>
    <w:p w:rsidR="00764377" w:rsidRDefault="001858A8">
      <w:pPr>
        <w:pStyle w:val="enf6"/>
      </w:pPr>
      <w:r>
        <w:t>(i) specified listed securities, etc.: the method of publication specified in the specified exchange rules;</w:t>
      </w:r>
    </w:p>
    <w:p w:rsidR="00764377" w:rsidRDefault="001858A8">
      <w:pPr>
        <w:pStyle w:val="enf6"/>
      </w:pPr>
      <w:r>
        <w:t>(ii) specified over-the-counter traded securities,</w:t>
      </w:r>
      <w:r>
        <w:t xml:space="preserve"> etc.: the method of publication specified in the specified association rules; or</w:t>
      </w:r>
    </w:p>
    <w:p w:rsidR="00764377" w:rsidRDefault="001858A8">
      <w:pPr>
        <w:pStyle w:val="enf6"/>
      </w:pPr>
      <w:r>
        <w:t>(iii) securities other than those listed in the preceding two items: the method designated by the Commissioner of the Financial Services Agency.</w:t>
      </w:r>
    </w:p>
    <w:p w:rsidR="00764377" w:rsidRDefault="00764377"/>
    <w:p w:rsidR="00764377" w:rsidRDefault="001858A8">
      <w:pPr>
        <w:pStyle w:val="ena"/>
      </w:pPr>
      <w:r>
        <w:t>(Amendment of the Issuer's I</w:t>
      </w:r>
      <w:r>
        <w:t>nformation)</w:t>
      </w:r>
    </w:p>
    <w:p w:rsidR="00764377" w:rsidRDefault="001858A8">
      <w:pPr>
        <w:pStyle w:val="enf3"/>
      </w:pPr>
      <w:r>
        <w:t>Article 9  An issuer who is to provide or publicize amended issuer's information (meaning amended issuer's information as prescribed in Article 27-32, paragraph (3) of the Act; hereinafter the same applies in this Article) pursuant to the provi</w:t>
      </w:r>
      <w:r>
        <w:t>sions of that paragraph must provide or publicize the amended issuer's information to the other party to whom they have provided the issuer's information to which the amended issuer's information is related and to the holder of the securities, by the metho</w:t>
      </w:r>
      <w:r>
        <w:t>d prescribed in the following items in accordance with the category of securities listed in each of those items that is the same as the method that the issuer used to provide or publicize such issuer's information:</w:t>
      </w:r>
    </w:p>
    <w:p w:rsidR="00764377" w:rsidRDefault="001858A8">
      <w:pPr>
        <w:pStyle w:val="enf6"/>
      </w:pPr>
      <w:r>
        <w:t>(i) specified listed securities, etc.: th</w:t>
      </w:r>
      <w:r>
        <w:t>e method specified in the specified exchange rules;</w:t>
      </w:r>
    </w:p>
    <w:p w:rsidR="00764377" w:rsidRDefault="001858A8">
      <w:pPr>
        <w:pStyle w:val="enf6"/>
      </w:pPr>
      <w:r>
        <w:t>(ii) specified over-the-counter traded securities, etc.: the method specified in the specified association rules;</w:t>
      </w:r>
    </w:p>
    <w:p w:rsidR="00764377" w:rsidRDefault="001858A8">
      <w:pPr>
        <w:pStyle w:val="enf6"/>
      </w:pPr>
      <w:r>
        <w:t>(iii) securities other than those listed in the preceding two items: the method designated</w:t>
      </w:r>
      <w:r>
        <w:t xml:space="preserve"> by the Commissioner of the Financial Services Agency.</w:t>
      </w:r>
    </w:p>
    <w:p w:rsidR="00764377" w:rsidRDefault="00764377"/>
    <w:p w:rsidR="00764377" w:rsidRDefault="001858A8">
      <w:pPr>
        <w:pStyle w:val="ena"/>
      </w:pPr>
      <w:r>
        <w:t>(Period in Which the Issuer's Information Is to Be Publicized)</w:t>
      </w:r>
    </w:p>
    <w:p w:rsidR="00764377" w:rsidRDefault="001858A8">
      <w:pPr>
        <w:pStyle w:val="enf3"/>
      </w:pPr>
      <w:r>
        <w:t>Article 10  The cases prescribed by Cabinet Office Order, referred to in Article 27-32, paragraph (4) of the Act, are the cases listed in</w:t>
      </w:r>
      <w:r>
        <w:t xml:space="preserve"> the following items, and the period prescribed by Cabinet Office Order, referred to in that paragraph, is the period prescribed in each of those items:</w:t>
      </w:r>
    </w:p>
    <w:p w:rsidR="00764377" w:rsidRDefault="001858A8">
      <w:pPr>
        <w:pStyle w:val="enf6"/>
      </w:pPr>
      <w:r>
        <w:t>(i) cases that have come to fall under any of the items of Article 7, paragraph (5): the period from th</w:t>
      </w:r>
      <w:r>
        <w:t>e date of publication to the date on which the case came to fall under the relevant item; or</w:t>
      </w:r>
    </w:p>
    <w:p w:rsidR="00764377" w:rsidRDefault="001858A8">
      <w:pPr>
        <w:pStyle w:val="enf6"/>
      </w:pPr>
      <w:r>
        <w:t>(ii) cases where securities pertaining to the issuer's information have ceased to exist due to retirement, redemption, or any other grounds: the period from the da</w:t>
      </w:r>
      <w:r>
        <w:t>te of the publication of the issuer's information to the date on which the securities ceased to exist.</w:t>
      </w:r>
    </w:p>
    <w:p w:rsidR="00764377" w:rsidRDefault="00764377"/>
    <w:p w:rsidR="00764377" w:rsidRDefault="001858A8">
      <w:pPr>
        <w:pStyle w:val="ena"/>
      </w:pPr>
      <w:r>
        <w:t>(Securities Equivalent to Share Option Certificates)</w:t>
      </w:r>
    </w:p>
    <w:p w:rsidR="00764377" w:rsidRDefault="001858A8">
      <w:pPr>
        <w:pStyle w:val="enf3"/>
      </w:pPr>
      <w:r>
        <w:t>Article 10-2  (1) The securities specified by Cabinet Office Order, referred to in Article 21, para</w:t>
      </w:r>
      <w:r>
        <w:t>graph (4), item (iii) of the Act as applied mutatis mutandis pursuant to Article 27-33 of the Act, are the following securities:</w:t>
      </w:r>
    </w:p>
    <w:p w:rsidR="00764377" w:rsidRDefault="001858A8">
      <w:pPr>
        <w:pStyle w:val="enf6"/>
      </w:pPr>
      <w:r>
        <w:t>(i) corporate bond certificates with share options;</w:t>
      </w:r>
    </w:p>
    <w:p w:rsidR="00764377" w:rsidRDefault="001858A8">
      <w:pPr>
        <w:pStyle w:val="enf6"/>
      </w:pPr>
      <w:r>
        <w:t xml:space="preserve">(ii) securities or certificates issued by a foreign person, and which have </w:t>
      </w:r>
      <w:r>
        <w:t>the nature of share option certificates or corporate bond certificates with share options;</w:t>
      </w:r>
    </w:p>
    <w:p w:rsidR="00764377" w:rsidRDefault="001858A8">
      <w:pPr>
        <w:pStyle w:val="enf6"/>
      </w:pPr>
      <w:r>
        <w:t>(iii) certificates of investment equity subscription rights (meaning certificates of investment equity subscription rights defined in Article 2, paragraph (18) of th</w:t>
      </w:r>
      <w:r>
        <w:t>e Act on Investment Trusts and Investment Corporations (Act No. 198 of 1951); the same applies in the following item); and</w:t>
      </w:r>
    </w:p>
    <w:p w:rsidR="00764377" w:rsidRDefault="001858A8">
      <w:pPr>
        <w:pStyle w:val="enf6"/>
      </w:pPr>
      <w:r>
        <w:t>(iv) foreign investment securities (meaning the foreign investment securities provided in Article 220, paragraph (1) of the Act on In</w:t>
      </w:r>
      <w:r>
        <w:t>vestment Trusts and Investment Corporations) and are similar to certificates of investment equity subscription rights.</w:t>
      </w:r>
    </w:p>
    <w:p w:rsidR="00764377" w:rsidRDefault="001858A8">
      <w:pPr>
        <w:pStyle w:val="enf4"/>
      </w:pPr>
      <w:r>
        <w:t xml:space="preserve">(2) The rights provided by Cabinet Office Order, referred to in Article 21, paragraph (4), item (iii) of the Act as applied </w:t>
      </w:r>
      <w:r>
        <w:t>mutatis mutandis pursuant to Article 27-33 of the Act, are the following rights:</w:t>
      </w:r>
    </w:p>
    <w:p w:rsidR="00764377" w:rsidRDefault="001858A8">
      <w:pPr>
        <w:pStyle w:val="enf6"/>
      </w:pPr>
      <w:r>
        <w:t>(i) rights which are claimable against a foreign national which have the nature of share options;</w:t>
      </w:r>
    </w:p>
    <w:p w:rsidR="00764377" w:rsidRDefault="001858A8">
      <w:pPr>
        <w:pStyle w:val="enf6"/>
      </w:pPr>
      <w:r>
        <w:t>(ii) investment equity subscription rights (meaning investment equity subscri</w:t>
      </w:r>
      <w:r>
        <w:t>ption rights defined in Article 2, paragraph (17) of the Act on Investment Trusts and Investment Corporations; the same applies in the following item); and</w:t>
      </w:r>
    </w:p>
    <w:p w:rsidR="00764377" w:rsidRDefault="001858A8">
      <w:pPr>
        <w:pStyle w:val="enf6"/>
      </w:pPr>
      <w:r>
        <w:t>(iii) rights which are claimable against a foreign investment corporation (meaning a foreign investm</w:t>
      </w:r>
      <w:r>
        <w:t>ent corporation provided in Article 2, paragraph (25) of the Act on Investment Trusts and Investment Corporations) which have the nature of investment equity subscription rights.</w:t>
      </w:r>
    </w:p>
    <w:p w:rsidR="00764377" w:rsidRDefault="00764377"/>
    <w:p w:rsidR="00764377" w:rsidRDefault="001858A8">
      <w:pPr>
        <w:pStyle w:val="ena"/>
      </w:pPr>
      <w:r>
        <w:t>(Measures for Making Information Available to a Large Number of Persons)</w:t>
      </w:r>
    </w:p>
    <w:p w:rsidR="00764377" w:rsidRDefault="001858A8">
      <w:pPr>
        <w:pStyle w:val="enf3"/>
      </w:pPr>
      <w:r>
        <w:t>Art</w:t>
      </w:r>
      <w:r>
        <w:t>icle 11  The measures for making information available to a large number of persons, referred to in Article 21-2, paragraph (4) of the Act as applied mutatis mutandis by replacing certain terms pursuant to Article 27-34 of the Act, are measures that are ta</w:t>
      </w:r>
      <w:r>
        <w:t>ken by the methods prescribed in the following items in accordance with the category of securities listed in each of those items, or by any other means:</w:t>
      </w:r>
    </w:p>
    <w:p w:rsidR="00764377" w:rsidRDefault="001858A8">
      <w:pPr>
        <w:pStyle w:val="enf6"/>
      </w:pPr>
      <w:r>
        <w:t>(i) specified listed securities, etc.: the method specified in the specified exchange rules;</w:t>
      </w:r>
    </w:p>
    <w:p w:rsidR="00764377" w:rsidRDefault="001858A8">
      <w:pPr>
        <w:pStyle w:val="enf6"/>
      </w:pPr>
      <w:r>
        <w:t>(ii) speci</w:t>
      </w:r>
      <w:r>
        <w:t>fied over-the-counter traded securities, etc.: the method specified in the specified association rules; or</w:t>
      </w:r>
    </w:p>
    <w:p w:rsidR="00764377" w:rsidRDefault="001858A8">
      <w:pPr>
        <w:pStyle w:val="enf6"/>
      </w:pPr>
      <w:r>
        <w:t>(iii) securities other than those listed in the preceding two items: the method designated by the Commissioner of the Financial Services Agency.</w:t>
      </w:r>
    </w:p>
    <w:p w:rsidR="00764377" w:rsidRDefault="00764377"/>
    <w:p w:rsidR="00764377" w:rsidRDefault="001858A8">
      <w:pPr>
        <w:pStyle w:val="en3"/>
      </w:pPr>
      <w:r>
        <w:t>Cha</w:t>
      </w:r>
      <w:r>
        <w:t>pter III Provision and Publication of Foreign Securities Information</w:t>
      </w:r>
    </w:p>
    <w:p w:rsidR="00764377" w:rsidRDefault="00764377"/>
    <w:p w:rsidR="00764377" w:rsidRDefault="001858A8">
      <w:pPr>
        <w:pStyle w:val="ena"/>
      </w:pPr>
      <w:r>
        <w:t>(Contents of Foreign Securities Information)</w:t>
      </w:r>
    </w:p>
    <w:p w:rsidR="00764377" w:rsidRDefault="001858A8">
      <w:pPr>
        <w:pStyle w:val="enf3"/>
      </w:pPr>
      <w:r>
        <w:t>Article 12  (1) The information prescribed by Cabinet Office Order, referred to in Article 27-32-2, paragraph (1) of the Act, is the informat</w:t>
      </w:r>
      <w:r>
        <w:t>ion listed in the right-hand column of the appended table, in accordance with the category of securities listed in the left-hand column of the table.</w:t>
      </w:r>
    </w:p>
    <w:p w:rsidR="00764377" w:rsidRDefault="001858A8">
      <w:pPr>
        <w:pStyle w:val="enf4"/>
      </w:pPr>
      <w:r>
        <w:t>(2) The information prescribed in the preceding paragraph must be the information related to the most rece</w:t>
      </w:r>
      <w:r>
        <w:t>nt business year (including the fiscal year or any other equivalent period) that the person who is to provide or publicize foreign securities information can provide or publicize.</w:t>
      </w:r>
    </w:p>
    <w:p w:rsidR="00764377" w:rsidRDefault="001858A8">
      <w:pPr>
        <w:pStyle w:val="enf4"/>
      </w:pPr>
      <w:r>
        <w:t>(3) Where the contents of the whole or a part of the foreign securities info</w:t>
      </w:r>
      <w:r>
        <w:t xml:space="preserve">rmation are included in the information already publicized by the issuer of the securities or any other equivalent person (limited to information that satisfies all the requirements listed in the following items; hereinafter referred to as the "publicized </w:t>
      </w:r>
      <w:r>
        <w:t>information" in this paragraph), a statement to the effect that reference should be made to the publicized information and information about the address of the website on which the publicized information is available may be deemed to be the whole or a part</w:t>
      </w:r>
      <w:r>
        <w:t xml:space="preserve"> of the foreign securities information:</w:t>
      </w:r>
    </w:p>
    <w:p w:rsidR="00764377" w:rsidRDefault="001858A8">
      <w:pPr>
        <w:pStyle w:val="enf6"/>
      </w:pPr>
      <w:r>
        <w:t>(i) that the publicized information is publicized based on laws and regulations or foreign laws and regulations on the issuance of the securities (including any equivalent rules laid down by international organizatio</w:t>
      </w:r>
      <w:r>
        <w:t>ns), or the rules laid down by the financial instruments exchange that lists the securities or by the designated foreign financial instruments exchange (excluding where the securities are those listed in Article 2-12-3, items (i) through (iii) inclusive of</w:t>
      </w:r>
      <w:r>
        <w:t xml:space="preserve"> the Order);</w:t>
      </w:r>
    </w:p>
    <w:p w:rsidR="00764377" w:rsidRDefault="001858A8">
      <w:pPr>
        <w:pStyle w:val="enf6"/>
      </w:pPr>
      <w:r>
        <w:t>(ii) that the publicized information is easily obtained via the internet in Japan; and</w:t>
      </w:r>
    </w:p>
    <w:p w:rsidR="00764377" w:rsidRDefault="001858A8">
      <w:pPr>
        <w:pStyle w:val="enf6"/>
      </w:pPr>
      <w:r>
        <w:t>(iii) that the publicized information is publicized in Japanese or English.</w:t>
      </w:r>
    </w:p>
    <w:p w:rsidR="00764377" w:rsidRDefault="00764377"/>
    <w:p w:rsidR="00764377" w:rsidRDefault="001858A8">
      <w:pPr>
        <w:pStyle w:val="ena"/>
      </w:pPr>
      <w:r>
        <w:t>(Cases Where the Provision or Publication of Foreign Financial Information Is N</w:t>
      </w:r>
      <w:r>
        <w:t>ot Required)</w:t>
      </w:r>
    </w:p>
    <w:p w:rsidR="00764377" w:rsidRDefault="001858A8">
      <w:pPr>
        <w:pStyle w:val="enf3"/>
      </w:pPr>
      <w:r>
        <w:t>Article 13  The cases prescribed by Cabinet Office Order, referred to in the main clause of Article 27-32-2, paragraph (1) of the Act, are those that fall under any of the cases listed in the following items:</w:t>
      </w:r>
    </w:p>
    <w:p w:rsidR="00764377" w:rsidRDefault="001858A8">
      <w:pPr>
        <w:pStyle w:val="enf6"/>
      </w:pPr>
      <w:r>
        <w:t>(i) cases where an issuer of secur</w:t>
      </w:r>
      <w:r>
        <w:t xml:space="preserve">ities that is involved in a secondary distribution of foreign securities (hereinafter referred to as "foreign securities in a secondary distribution" in this Article) has submitted the annual securities reports under Article 24, paragraph (1) or paragraph </w:t>
      </w:r>
      <w:r>
        <w:t>(3) of the Act (including cases where these provisions are applied mutatis mutandis pursuant to Article 24, paragraph (5) of the Act (including cases where it is applied mutatis mutandis pursuant to Article 27 of the Act) and Article 27 of the Act) for oth</w:t>
      </w:r>
      <w:r>
        <w:t>er securities that they have issued, and the issuer provides or publicizes the relevant information on the foreign securities in the secondary distribution (meaning the information listed in the right-hand column of the appended table, in accordance with t</w:t>
      </w:r>
      <w:r>
        <w:t>he category of securities listed in the left-hand column of the table under which the foreign securities in the secondary distribution fall; the same applies in the following item);</w:t>
      </w:r>
    </w:p>
    <w:p w:rsidR="00764377" w:rsidRDefault="001858A8">
      <w:pPr>
        <w:pStyle w:val="enf6"/>
      </w:pPr>
      <w:r>
        <w:t>(ii) cases where an issuer of foreign securities in a secondary distributi</w:t>
      </w:r>
      <w:r>
        <w:t xml:space="preserve">on has already publicized the specified information on securities or issuer's information with regard to the foreign securities in the secondary distribution, and the issuer provides or publicizes the relevant information concerning the foreign securities </w:t>
      </w:r>
      <w:r>
        <w:t>in the secondary distribution (limited to cases where such information includes the information prescribed in paragraph (1) of the preceding Article);</w:t>
      </w:r>
    </w:p>
    <w:p w:rsidR="00764377" w:rsidRDefault="001858A8">
      <w:pPr>
        <w:pStyle w:val="enf6"/>
      </w:pPr>
      <w:r>
        <w:t>(iii) cases where the foreign securities in a secondary distribution are securities listed in Article 2-1</w:t>
      </w:r>
      <w:r>
        <w:t>2-3, items (i) through (iii) inclusive of the Order (for securities listed in those items, limited to those for which a foreign national or local government guarantees the redemption of the principal and the payment of the interest), and the financial inst</w:t>
      </w:r>
      <w:r>
        <w:t>ruments business operator, etc. who intends to carry out the secondary distribution of the foreign securities in the secondary distribution can confirm that the foreign securities in the secondary distribution or other securities of the same class that the</w:t>
      </w:r>
      <w:r>
        <w:t xml:space="preserve"> issuer of the foreign securities in the secondary distribution issues are to be sold and purchased continuously by two or more financial instruments business operators, etc., as prescribed by the rules laid down by an authorized financial instruments firm</w:t>
      </w:r>
      <w:r>
        <w:t>s association (limited to a single authorized financial instruments firms association designated by the Commissioner of the Financial Services Agency); or</w:t>
      </w:r>
    </w:p>
    <w:p w:rsidR="00764377" w:rsidRDefault="001858A8">
      <w:pPr>
        <w:pStyle w:val="enf6"/>
      </w:pPr>
      <w:r>
        <w:t>(iv) cases where the other party to a secondary distribution of foreign securities is a qualified ins</w:t>
      </w:r>
      <w:r>
        <w:t>titutional investor (limited to a person who acquires the foreign securities in the secondary distribution on the condition that the person will not transfer them other than to a financial instruments business operator, etc. or a non-resident (meaning non-</w:t>
      </w:r>
      <w:r>
        <w:t>residents as prescribed in Article 6, paragraph (1), item (vi) of the Foreign Exchange and Foreign Trade Act (Act No. 228 of 1949))) (excluding where there has been any request for the provision or publication of the foreign securities in the secondary dis</w:t>
      </w:r>
      <w:r>
        <w:t>tribution from the qualified institutional investor by the time the foreign securities in the secondary distribution are sold).</w:t>
      </w:r>
    </w:p>
    <w:p w:rsidR="00764377" w:rsidRDefault="00764377"/>
    <w:p w:rsidR="00764377" w:rsidRDefault="001858A8">
      <w:pPr>
        <w:pStyle w:val="ena"/>
      </w:pPr>
      <w:r>
        <w:t>(Persons Equivalent to Those Who Have Entrusted the Custody of Securities)</w:t>
      </w:r>
    </w:p>
    <w:p w:rsidR="00764377" w:rsidRDefault="001858A8">
      <w:pPr>
        <w:pStyle w:val="enf3"/>
      </w:pPr>
      <w:r>
        <w:t xml:space="preserve">Article 14  The persons prescribed by Cabinet </w:t>
      </w:r>
      <w:r>
        <w:t>Office Order, referred to in Article 27-32-2, paragraph (2) of the Act, are those listed in the following items:</w:t>
      </w:r>
    </w:p>
    <w:p w:rsidR="00764377" w:rsidRDefault="001858A8">
      <w:pPr>
        <w:pStyle w:val="enf6"/>
      </w:pPr>
      <w:r>
        <w:t>(i) A person who has acquired securities through a secondary distribution of foreign securities and who is a member (meaning a member as prescr</w:t>
      </w:r>
      <w:r>
        <w:t>ibed in Article 2, paragraph (3) of the Act on Transfer of Corporate Bonds, Shares (Act No. 75 of 2001); the same applies in item (iii)) in connection with securities that have made the financial instruments business operator, etc. that carried out the sec</w:t>
      </w:r>
      <w:r>
        <w:t>ondary distribution of foreign securities the account management institution (meaning an account management institution as prescribed in Article 2, paragraph (4) of that Act: the same applies in item (iii)) for the relevant securities;</w:t>
      </w:r>
    </w:p>
    <w:p w:rsidR="00764377" w:rsidRDefault="001858A8">
      <w:pPr>
        <w:pStyle w:val="enf6"/>
      </w:pPr>
      <w:r>
        <w:t>(ii) A person who ha</w:t>
      </w:r>
      <w:r>
        <w:t>s acquired securities through a secondary distribution of foreign securities, and has entrusted the custody of the securities to the financial instruments business operator, etc. who has carried out the secondary distribution of foreign securities, but has</w:t>
      </w:r>
      <w:r>
        <w:t xml:space="preserve"> entrusted, due to a business transfer carried out by the financial instruments business operator, etc. or for any other reasons, the custody of the securities to another financial instruments business operator, etc. (limited to where that other financial </w:t>
      </w:r>
      <w:r>
        <w:t xml:space="preserve">instruments business operator, etc. carries out secondary distributions of foreign securities of the same class as the relevant securities (meaning securities of the same class as prescribed in Article 10-2 of the Cabinet Office Order on Definitions under </w:t>
      </w:r>
      <w:r>
        <w:t>Article 2 of the Financial Instruments and Exchange Act (Ministry of Finance Order No. 14 of 1993))); or</w:t>
      </w:r>
    </w:p>
    <w:p w:rsidR="00764377" w:rsidRDefault="001858A8">
      <w:pPr>
        <w:pStyle w:val="enf6"/>
      </w:pPr>
      <w:r>
        <w:t xml:space="preserve">(iii) A person who has acquired securities through a secondary distribution of foreign securities, who is a member in connection with </w:t>
      </w:r>
      <w:r>
        <w:t>securities that have made the relevant financial instruments business operator, etc. the account management institution for the relevant securities, and who is a member in connection with securities that have made a financial instruments business operator,</w:t>
      </w:r>
      <w:r>
        <w:t xml:space="preserve"> etc. other than one who has succeeded to the account management institution's business due to a business transfer by the first financial instruments business operator, etc. or for any other reason, the account management institution for the relevant secur</w:t>
      </w:r>
      <w:r>
        <w:t>ities.</w:t>
      </w:r>
    </w:p>
    <w:p w:rsidR="00764377" w:rsidRDefault="00764377"/>
    <w:p w:rsidR="00764377" w:rsidRDefault="001858A8">
      <w:pPr>
        <w:pStyle w:val="ena"/>
      </w:pPr>
      <w:r>
        <w:t>(Cases Where an Event That May Have a Material Influence on Investors' Investment Judgments Has Occurred)</w:t>
      </w:r>
    </w:p>
    <w:p w:rsidR="00764377" w:rsidRDefault="001858A8">
      <w:pPr>
        <w:pStyle w:val="enf3"/>
      </w:pPr>
      <w:r>
        <w:t xml:space="preserve">Article 15  (1) The cases where an event has occurred that is prescribed by Cabinet Office Order as one that may have a material influence on </w:t>
      </w:r>
      <w:r>
        <w:t>the investors' investment judgments, referred to in Article 27-32-2, paragraph (2) of the Act, are as follows:</w:t>
      </w:r>
    </w:p>
    <w:p w:rsidR="00764377" w:rsidRDefault="001858A8">
      <w:pPr>
        <w:pStyle w:val="enf6"/>
      </w:pPr>
      <w:r>
        <w:t>(i) cases where there has been a merger involving the issuer of the securities or the person who guarantees the redemption of the principal or th</w:t>
      </w:r>
      <w:r>
        <w:t xml:space="preserve">e payment of interest on the securities (referred to as a "guarantor" in the following item), or any other similar material change in the business concerning the redemption of the principal or the payment of interest for the securities, or the performance </w:t>
      </w:r>
      <w:r>
        <w:t>or guarantee of other obligations; or</w:t>
      </w:r>
    </w:p>
    <w:p w:rsidR="00764377" w:rsidRDefault="001858A8">
      <w:pPr>
        <w:pStyle w:val="enf6"/>
      </w:pPr>
      <w:r>
        <w:t>(ii) cases where rehabilitation proceedings under the Civil Rehabilitation Act (Act No. 225 of 1999), reorganization proceedings under the Corporate Reorganization Act (Act No. 154 of 2002), or bankruptcy proceedings u</w:t>
      </w:r>
      <w:r>
        <w:t>nder the Bankruptcy Act (Act No. 75 of 2004) for the issuer or the guarantor of the securities have commenced or been terminated, or where any other similar event based on foreign laws and regulations has occurred.</w:t>
      </w:r>
    </w:p>
    <w:p w:rsidR="00764377" w:rsidRDefault="001858A8">
      <w:pPr>
        <w:pStyle w:val="enf4"/>
      </w:pPr>
      <w:r>
        <w:t>(2) With regard to foreign securities inf</w:t>
      </w:r>
      <w:r>
        <w:t xml:space="preserve">ormation to be provided or publicized pursuant to the provisions of Article 27-32-2, paragraph (2) of the Act in cases falling under any of those listed in the items of the preceding paragraph, the information listed in the following items may be provided </w:t>
      </w:r>
      <w:r>
        <w:t>or publicized in lieu of the information prescribed in Article 12, paragraph (1):</w:t>
      </w:r>
    </w:p>
    <w:p w:rsidR="00764377" w:rsidRDefault="001858A8">
      <w:pPr>
        <w:pStyle w:val="enf6"/>
      </w:pPr>
      <w:r>
        <w:t>(i) the name of the issuer of the securities that is involved in the secondary distribution of foreign securities;</w:t>
      </w:r>
    </w:p>
    <w:p w:rsidR="00764377" w:rsidRDefault="001858A8">
      <w:pPr>
        <w:pStyle w:val="enf6"/>
      </w:pPr>
      <w:r>
        <w:t xml:space="preserve">(ii) the issue of the securities involved in the secondary </w:t>
      </w:r>
      <w:r>
        <w:t>distribution of foreign securities; and</w:t>
      </w:r>
    </w:p>
    <w:p w:rsidR="00764377" w:rsidRDefault="001858A8">
      <w:pPr>
        <w:pStyle w:val="enf6"/>
      </w:pPr>
      <w:r>
        <w:t>(iii) the fact that the case falls under any of those listed in the items of the preceding paragraph.</w:t>
      </w:r>
    </w:p>
    <w:p w:rsidR="00764377" w:rsidRDefault="00764377"/>
    <w:p w:rsidR="00764377" w:rsidRDefault="001858A8">
      <w:pPr>
        <w:pStyle w:val="ena"/>
      </w:pPr>
      <w:r>
        <w:t>(Cases Deemed to Be Cases Where Protection of Investors Would Not Be Impaired)</w:t>
      </w:r>
    </w:p>
    <w:p w:rsidR="00764377" w:rsidRDefault="001858A8">
      <w:pPr>
        <w:pStyle w:val="enf3"/>
      </w:pPr>
      <w:r>
        <w:t>Article 16  The cases prescribed b</w:t>
      </w:r>
      <w:r>
        <w:t>y Cabinet Office Order, referred to in the proviso to Article 27-32-2, paragraph (2) of the Act, are as follows:</w:t>
      </w:r>
    </w:p>
    <w:p w:rsidR="00764377" w:rsidRDefault="001858A8">
      <w:pPr>
        <w:pStyle w:val="enf6"/>
      </w:pPr>
      <w:r>
        <w:t>(i) cases that fall under the case where disclosures have been made (meaning the case where disclosures have been made as prescribed in Article</w:t>
      </w:r>
      <w:r>
        <w:t xml:space="preserve"> 4, paragraph (7) of the Act) with regard to the securities;</w:t>
      </w:r>
    </w:p>
    <w:p w:rsidR="00764377" w:rsidRDefault="001858A8">
      <w:pPr>
        <w:pStyle w:val="enf6"/>
      </w:pPr>
      <w:r>
        <w:t>(ii) cases listed in Article 13, items (ii) through (iv) inclusive; or</w:t>
      </w:r>
    </w:p>
    <w:p w:rsidR="00764377" w:rsidRDefault="001858A8">
      <w:pPr>
        <w:pStyle w:val="enf6"/>
      </w:pPr>
      <w:r>
        <w:t>(iii) cases where the number of holders of the securities (limited to persons who have entrusted the custody of the securiti</w:t>
      </w:r>
      <w:r>
        <w:t>es to the financial instruments business operator, etc. who has carried out the secondary distribution of foreign securities in connection with the securities and persons listed in Article 14) in Japan is less than 50.</w:t>
      </w:r>
    </w:p>
    <w:p w:rsidR="00764377" w:rsidRDefault="00764377"/>
    <w:p w:rsidR="00764377" w:rsidRDefault="001858A8">
      <w:pPr>
        <w:pStyle w:val="ena"/>
      </w:pPr>
      <w:r>
        <w:t xml:space="preserve">(Method of Provision or Publication </w:t>
      </w:r>
      <w:r>
        <w:t>of Foreign Securities Information)</w:t>
      </w:r>
    </w:p>
    <w:p w:rsidR="00764377" w:rsidRDefault="001858A8">
      <w:pPr>
        <w:pStyle w:val="enf3"/>
      </w:pPr>
      <w:r>
        <w:t xml:space="preserve">Article 17  (1) A financial instruments business operator, etc. who intends to provide or publicize foreign securities information pursuant to the provisions of Article 27-32-2, paragraph (3) of the Act must do so in any </w:t>
      </w:r>
      <w:r>
        <w:t>of the ways listed in the following items:</w:t>
      </w:r>
    </w:p>
    <w:p w:rsidR="00764377" w:rsidRDefault="001858A8">
      <w:pPr>
        <w:pStyle w:val="enf6"/>
      </w:pPr>
      <w:r>
        <w:t>(i) delivering a document containing the foreign securities information to the other party to whom the person wishes to provide or publicize the foreign securities information (hereinafter referred to as the "reci</w:t>
      </w:r>
      <w:r>
        <w:t>pient of the foreign securities information" in this paragraph);</w:t>
      </w:r>
    </w:p>
    <w:p w:rsidR="00764377" w:rsidRDefault="001858A8">
      <w:pPr>
        <w:pStyle w:val="enf6"/>
      </w:pPr>
      <w:r>
        <w:t>(ii) sending the foreign securities information by facsimile to the recipient of the foreign securities information (limited to where the foreign securities information can be received by the</w:t>
      </w:r>
      <w:r>
        <w:t xml:space="preserve"> recipient of the foreign securities information and the relevant recipient of the foreign securities information has agreed to the foreign securities information being provided in this way);</w:t>
      </w:r>
    </w:p>
    <w:p w:rsidR="00764377" w:rsidRDefault="001858A8">
      <w:pPr>
        <w:pStyle w:val="enf6"/>
      </w:pPr>
      <w:r>
        <w:t>(iii) sending the foreign securities information by electronic m</w:t>
      </w:r>
      <w:r>
        <w:t xml:space="preserve">ail (meaning electronic mail as prescribed in Article 2, item (i) of the Act on Regulation of the Transmission of Specified Electronic Mail (Act No. 26 of 2002)), the internet, or any other telecommunications lines (limited to where the foreign securities </w:t>
      </w:r>
      <w:r>
        <w:t>information can be converted into a document by the recipient of the foreign securities information using a computer and the relevant recipient of the foreign securities information has agreed to the foreign securities information being provided in this wa</w:t>
      </w:r>
      <w:r>
        <w:t>y); or</w:t>
      </w:r>
    </w:p>
    <w:p w:rsidR="00764377" w:rsidRDefault="001858A8">
      <w:pPr>
        <w:pStyle w:val="enf6"/>
      </w:pPr>
      <w:r>
        <w:t>(iv) providing or publicizing information about a website address at which foreign securities information is available or any other information about ways to inspect the foreign securities information (limited to cases where the recipient of the for</w:t>
      </w:r>
      <w:r>
        <w:t>eign securities information has agreed to the foreign securities information being provided in this way).</w:t>
      </w:r>
    </w:p>
    <w:p w:rsidR="00764377" w:rsidRDefault="001858A8">
      <w:pPr>
        <w:pStyle w:val="enf4"/>
      </w:pPr>
      <w:r>
        <w:t>(2) A financial instruments business operator, etc. who wishes to provide or publicize foreign securities information pursuant to the provisions of Ar</w:t>
      </w:r>
      <w:r>
        <w:t>ticle 27-32-2, paragraph (2) of the Act must, when the operator has received a request as prescribed in that paragraph or when the case has come to fall under any of the cases listed in the items of Article 15, paragraph (1), provide or publicize foreign s</w:t>
      </w:r>
      <w:r>
        <w:t>ecurities information without delay.</w:t>
      </w:r>
    </w:p>
    <w:p w:rsidR="00764377" w:rsidRDefault="00764377"/>
    <w:p w:rsidR="00764377" w:rsidRDefault="001858A8">
      <w:pPr>
        <w:pStyle w:val="en2"/>
      </w:pPr>
      <w:r>
        <w:t>Supplementary Provisions</w:t>
      </w:r>
    </w:p>
    <w:p w:rsidR="00764377" w:rsidRDefault="00764377"/>
    <w:p w:rsidR="00764377" w:rsidRDefault="001858A8">
      <w:pPr>
        <w:pStyle w:val="enf5"/>
      </w:pPr>
      <w:r>
        <w:t>This Cabinet Office Order comes into effect as of December 12, 2008.</w:t>
      </w:r>
    </w:p>
    <w:p w:rsidR="00764377" w:rsidRDefault="00764377"/>
    <w:p w:rsidR="00764377" w:rsidRDefault="001858A8">
      <w:pPr>
        <w:pStyle w:val="en2"/>
      </w:pPr>
      <w:r>
        <w:t>Supplementary Provisions  [Cabinet Office Order No. 78 of December 28, 2009]  [Extract]</w:t>
      </w:r>
    </w:p>
    <w:p w:rsidR="00764377" w:rsidRDefault="00764377"/>
    <w:p w:rsidR="00764377" w:rsidRDefault="001858A8">
      <w:pPr>
        <w:pStyle w:val="ena"/>
      </w:pPr>
      <w:r>
        <w:t>(Effective Date)</w:t>
      </w:r>
    </w:p>
    <w:p w:rsidR="00764377" w:rsidRDefault="001858A8">
      <w:pPr>
        <w:pStyle w:val="enf3"/>
      </w:pPr>
      <w:r>
        <w:t xml:space="preserve">Article 1  </w:t>
      </w:r>
      <w:r>
        <w:t>This Cabinet Office Order comes into effect as of the day of the enforcement of the Act for the Partial Revision of the Financial Instruments and Exchange Act (Act No. 58 of 2009; hereinafter referred to as the "Revising Act") (April 1, 2010).</w:t>
      </w:r>
    </w:p>
    <w:p w:rsidR="00764377" w:rsidRDefault="00764377"/>
    <w:p w:rsidR="00764377" w:rsidRDefault="001858A8">
      <w:pPr>
        <w:pStyle w:val="ena"/>
      </w:pPr>
      <w:r>
        <w:t>(Transition</w:t>
      </w:r>
      <w:r>
        <w:t>al Measures Concerning the Application of Penal Provisions)</w:t>
      </w:r>
    </w:p>
    <w:p w:rsidR="00764377" w:rsidRDefault="001858A8">
      <w:pPr>
        <w:pStyle w:val="enf3"/>
      </w:pPr>
      <w:r>
        <w:t>Article 11  With regard to the application of penal provisions to acts committed prior to the enforcement of this Cabinet Office Order (regarding the provisions listed in the items of Article 1 of</w:t>
      </w:r>
      <w:r>
        <w:t xml:space="preserve"> the Supplementary Provisions, the relevant provisions; hereinafter the same applies in this Article), and acts committed after the enforcement of this Cabinet Office Order in cases where the provisions then in force are to remain applicable pursuant to th</w:t>
      </w:r>
      <w:r>
        <w:t>e Supplementary Provisions, the provisions then in force remain applicable.</w:t>
      </w:r>
    </w:p>
    <w:p w:rsidR="00764377" w:rsidRDefault="00764377"/>
    <w:p w:rsidR="00764377" w:rsidRDefault="001858A8">
      <w:pPr>
        <w:pStyle w:val="en8"/>
        <w:ind w:left="227" w:hanging="227"/>
      </w:pPr>
      <w:r>
        <w:t>Appended Table (Re. Art.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Securities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Information</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an </w:t>
            </w:r>
            <w:r>
              <w:t>outline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an outline of the finances.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of issuance and whether the securities are listed or unlisted (when securities are listed, the financial </w:t>
            </w:r>
            <w:r>
              <w:t>instruments exchange in a foreign state (meaning the financial instruments exchange in a foreign state as prescribed in Article 2-12-3, item (iv), (b) of the Order; the same applies hereinafter)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interest rates and the method of determining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amount of redemption and the method of determining the redempti</w:t>
            </w:r>
            <w:r>
              <w:t>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entrusted company or deposit institution;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performance priority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(12) matters concerning the rating and the name of the rating organization </w:t>
            </w:r>
            <w:r>
              <w:t>connected to the relevant rating (limited to where the 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Securities listed in Article </w:t>
            </w:r>
            <w:r>
              <w:t>2-12-3, item (ii)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an outline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an outline of the finances.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of issuance and </w:t>
            </w:r>
            <w:r>
              <w:t>whether the securities are listed or unlisted (when securities are listed, the financial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interest rates and the me</w:t>
            </w:r>
            <w:r>
              <w:t>thod of determining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amount of redemption and the method of determining the redemption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entrusted company or deposit institution;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performance priority compared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matters concerning the rating and the name of the rating organization connected to the relevant rating (limited to where the securities ar</w:t>
            </w:r>
            <w:r>
              <w:t>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 the name of </w:t>
            </w:r>
            <w:r>
              <w:t>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an outline of the issuer (the governing law for the establishment of the issuer, the purpose of the establishment, the grounds for the establishment, the legal standing, the year of the establishment, and</w:t>
            </w:r>
            <w:r>
              <w:t xml:space="preserve"> other matters);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of issuance and whether the securities are listed or unlisted (when securities are listed, the financial </w:t>
            </w:r>
            <w:r>
              <w:t>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interest rates and the method of determining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w:t>
            </w:r>
            <w:r>
              <w: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amount of redemption and the method of determining the redemption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entrusted company or deposit institution;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(11) performance priority </w:t>
            </w:r>
            <w:r>
              <w:t>compared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the governing law concerning issuance, payment and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(13) matters concerning the rating and the name of the rating organization connected to the relevant rating (limited to where the securities are rated)</w:t>
            </w:r>
            <w:r>
              <w: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(iv)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 the name of the </w:t>
            </w:r>
            <w:r>
              <w:t>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governing law for the establishment of the issuer, the legal standing, and the year of the 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(6) the </w:t>
            </w:r>
            <w:r>
              <w:t>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class and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for issuance and whether the securities are listed or unlisted (when securities are listed, the financial instruments exchange in a </w:t>
            </w:r>
            <w:r>
              <w:t>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shares to be converted: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(a) the financial instruments exchange in Japan or in a foreign state on which the shares to be </w:t>
            </w:r>
            <w:r>
              <w:t>converted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issuer and the class of the shares to be converted;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(c) the conditions for conversion;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(d) the period for requesting conversion.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interest rates and the method of determining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(7) the </w:t>
            </w:r>
            <w:r>
              <w:t>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amount of redemption and the method of determining the redemption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the entrusted company or deposit institution;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performance priority compared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(13) the governing law concerning issuance, payment and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(14) matters concerning the rating and the name of the rating organization connected to the relevant rating (limited to where</w:t>
            </w:r>
            <w:r>
              <w:t xml:space="preserve"> the 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 Issuer's </w:t>
            </w:r>
            <w:r>
              <w:t>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governing law for the establishment of the issuer, the issuer's legal standing, and the year of 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(5) the </w:t>
            </w:r>
            <w:r>
              <w:t>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class and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place of issuance and whether the securities are listed or unlisted (when the securities are listed, the f</w:t>
            </w:r>
            <w:r>
              <w:t>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share options: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(a) the financial instruments exchange in a foreign state on which the </w:t>
            </w:r>
            <w:r>
              <w:t>share certificates for shares that will be issued through the exercise of the rights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total amount paid for the shares that will be issued through the exercise of the rights;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(c) the class of the shares that will be issued through th</w:t>
            </w:r>
            <w:r>
              <w:t>e exercise of the rights;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(d) the issue price of the shares that will be issued through the exercise of the rights;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(e) the period for requesting the exercise of the share options and other conditions for exercising them;</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(6) the interest rates </w:t>
            </w:r>
            <w:r>
              <w:t>and the method of determining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amount of redemption and the method of determining the redemption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the entrusted company or deposit insti</w:t>
            </w:r>
            <w:r>
              <w:t>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performance priority compared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(13) the governing law concerning issuance, payment and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(14) matters concerning the rating and the name of the </w:t>
            </w:r>
            <w:r>
              <w:t>rating organization connected with the relevant rating (limited to where the 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Securities listed </w:t>
            </w:r>
            <w:r>
              <w:t>in Article 2-12-3, item (vi)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the governing law for the establishment of the issuer, the issuer's legal standing, and the year of </w:t>
            </w:r>
            <w:r>
              <w:t>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where the information listed in (7) is not stated,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(7) the following matters concerning information on the parent company (meaning the </w:t>
            </w:r>
            <w:r>
              <w:t>parent company prescribed in Article 2-12-3, item (vi) of the Order) that provides a guarantee: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(a) the name;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location of the head office;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(c) the governing law for the establishment of the issuer, the issuer's legal standing, and the year of</w:t>
            </w:r>
            <w:r>
              <w:t xml:space="preserve"> 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(d)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(e) the 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(f)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class and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of issuance and whether the </w:t>
            </w:r>
            <w:r>
              <w:t>securities are listed or unlisted (when securities are listed, the financial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amount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interest rates and the method of dete</w:t>
            </w:r>
            <w:r>
              <w:t>rmining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date of the interest payment;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due date for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amount of redemption and the method of determining the redemption amount;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the entrusted company or deposit institution;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(10) </w:t>
            </w:r>
            <w:r>
              <w:t>matters concerning collateral or guarantees;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performance priority compared with other obligations;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the governing law concerning issuance, payment and redemption;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(13) matters concerning the rating and the name of the rating organization con</w:t>
            </w:r>
            <w:r>
              <w:t>nected with the relevant rating (limited to where the 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Securities listed in Article </w:t>
            </w:r>
            <w:r>
              <w:t>2-12-3, item (vii)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the governing law for the establishment of the issuer, the issuer's legal standing, and the year of </w:t>
            </w:r>
            <w:r>
              <w:t>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number of issued shares;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class and the name of the shares;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place of issuance and t</w:t>
            </w:r>
            <w:r>
              <w:t>he financial instruments exchange in a foreign state where the shares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trend of the share prices;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trend of the business performance: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(a) the sales;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current net earnings;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(c) the amount of </w:t>
            </w:r>
            <w:r>
              <w:t>shareholders' equity;</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per-share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(a) the current net earnings per share;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amount of a dividend per share.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When the case falls under any of the cases listed in the items of Article 15, paragraph (1), to that effect and </w:t>
            </w:r>
            <w:r>
              <w:t>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(viii)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form of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class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place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(5) the </w:t>
            </w:r>
            <w:r>
              <w:t>financial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unit of trading.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address of the fund on the registry;</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governing law for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purpose and the basic nature of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an outline of the major corporations and the amount of equity capital;</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investment targets and investment policies;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investment restrictions;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an outline of the assets of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w:t>
            </w:r>
            <w:r>
              <w:t>) remuneration and costs concerning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risks;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the status of the operation of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(12) the status of the accounting of the fund.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When the case falls under any of the cases listed in the items of </w:t>
            </w:r>
            <w:r>
              <w:t>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Securities listed in Article 2-12-3, item (ix)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the </w:t>
            </w:r>
            <w:r>
              <w:t>governing law for the establishment of the issuer, the issuer's legal standing, and the year of 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business;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an outline of the accounting.</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 the </w:t>
            </w:r>
            <w:r>
              <w:t>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place for issuance and whether the securities are listed or unlisted (when securities are listed, the financial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the date of issuance;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w:t>
            </w:r>
            <w:r>
              <w:t>e details of the options;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method and conditions for exercising the options;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the method of settlement;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(7) matters concerning the rating and the name of the rating organization connected with the relevant rating (limited to where the </w:t>
            </w:r>
            <w:r>
              <w:t>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(8) the structure for issuing covered warrants;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risks;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other matters that may have a material influence on the investors' judgments regarding the options;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(11) where the targets for exercising the options are securit</w:t>
            </w:r>
            <w:r>
              <w:t>ies, the following matters: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(a) an outline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(b) the corporate information of the issuer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(c) other matters that may have a material influence on the investors' judgments regarding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(12) </w:t>
            </w:r>
            <w:r>
              <w:t>information concerning financial instruments or financial indicators in connection with the covered warrants.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case falls under any of the cases listed in the items of Article 15, paragraph (1), to that effect and the details thereof.</w:t>
            </w:r>
          </w:p>
        </w:tc>
      </w:tr>
      <w:tr w:rsidR="0076437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Securiti</w:t>
            </w:r>
            <w:r>
              <w:t>es listed in Article 2-12-3, item (x)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764377" w:rsidRDefault="001858A8">
            <w:pPr>
              <w:pStyle w:val="jaen"/>
            </w:pPr>
            <w:r>
              <w:t>1 Issuer's Information:</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the location of the head office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(3) the governing law for the establishment of the issuer, the issuer's legal standing, and </w:t>
            </w:r>
            <w:r>
              <w:t>the year of establishment;</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fiscal year end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details of the business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an outline of the accounting of the issuer.</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2 Information on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 the name of the securities;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(2) the place of </w:t>
            </w:r>
            <w:r>
              <w:t>issuance and the financial instruments exchange in a foreign state where the securities are listed;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(3) dividends and the base date;</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(4) the details of the rights;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(5) the method of and conditions for exercising the rights;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(6) matters concerning t</w:t>
            </w:r>
            <w:r>
              <w:t>he rating and the name of the rating organization connected with the relevant rating (limited to where the securities are rated);</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(7) the details of the securities pertaining to the rights indicated on depositary receipts;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 xml:space="preserve">(8) the structure for </w:t>
            </w:r>
            <w:r>
              <w:t>issuing depositary receipts;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(9) other matters that may have a material influence on the investors' judgments regarding the rights indicated on depositary receipts;</w:t>
            </w:r>
          </w:p>
        </w:tc>
      </w:tr>
      <w:tr w:rsidR="00764377">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764377" w:rsidRDefault="001858A8">
            <w:pPr>
              <w:pStyle w:val="jaen"/>
            </w:pPr>
            <w:r>
              <w:t>(10) corporate information regarding the a person who receives deposits.</w:t>
            </w:r>
          </w:p>
        </w:tc>
      </w:tr>
      <w:tr w:rsidR="00764377">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764377">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764377" w:rsidRDefault="001858A8">
            <w:pPr>
              <w:pStyle w:val="jaen"/>
            </w:pPr>
            <w:r>
              <w:t>3 When the c</w:t>
            </w:r>
            <w:r>
              <w:t>ase falls under any of the cases listed in the items of Article 15, paragraph (1), to that effect and the details thereof.</w:t>
            </w:r>
          </w:p>
        </w:tc>
      </w:tr>
    </w:tbl>
    <w:p w:rsidR="00000000" w:rsidRDefault="001858A8"/>
    <w:sectPr w:rsidR="00000000" w:rsidSect="007643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377" w:rsidRDefault="00764377" w:rsidP="00764377">
      <w:r>
        <w:separator/>
      </w:r>
    </w:p>
  </w:endnote>
  <w:endnote w:type="continuationSeparator" w:id="0">
    <w:p w:rsidR="00764377" w:rsidRDefault="00764377" w:rsidP="0076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377" w:rsidRDefault="00764377">
    <w:pPr>
      <w:pStyle w:val="a3"/>
    </w:pPr>
    <w:r>
      <w:fldChar w:fldCharType="begin"/>
    </w:r>
    <w:r>
      <w:instrText xml:space="preserve"> PAGE  \* MERGEFORMAT </w:instrText>
    </w:r>
    <w:r>
      <w:fldChar w:fldCharType="separate"/>
    </w:r>
    <w:r w:rsidR="001858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377" w:rsidRDefault="00764377" w:rsidP="00764377">
      <w:r>
        <w:separator/>
      </w:r>
    </w:p>
  </w:footnote>
  <w:footnote w:type="continuationSeparator" w:id="0">
    <w:p w:rsidR="00764377" w:rsidRDefault="00764377" w:rsidP="00764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6F"/>
    <w:multiLevelType w:val="multilevel"/>
    <w:tmpl w:val="9A7C2F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910C9F"/>
    <w:multiLevelType w:val="multilevel"/>
    <w:tmpl w:val="DC8C9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D7594"/>
    <w:multiLevelType w:val="multilevel"/>
    <w:tmpl w:val="011845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A19DF"/>
    <w:multiLevelType w:val="multilevel"/>
    <w:tmpl w:val="5DFC08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A76186"/>
    <w:multiLevelType w:val="multilevel"/>
    <w:tmpl w:val="20F6C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E761F3"/>
    <w:multiLevelType w:val="multilevel"/>
    <w:tmpl w:val="F9247E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818A9"/>
    <w:multiLevelType w:val="multilevel"/>
    <w:tmpl w:val="8BAEF2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75DEE"/>
    <w:multiLevelType w:val="multilevel"/>
    <w:tmpl w:val="7C24D8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2B5421"/>
    <w:multiLevelType w:val="multilevel"/>
    <w:tmpl w:val="7AFE04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B45FD1"/>
    <w:multiLevelType w:val="multilevel"/>
    <w:tmpl w:val="50B23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B756E7"/>
    <w:multiLevelType w:val="multilevel"/>
    <w:tmpl w:val="5D74B0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B50927"/>
    <w:multiLevelType w:val="multilevel"/>
    <w:tmpl w:val="BFF84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793293"/>
    <w:multiLevelType w:val="multilevel"/>
    <w:tmpl w:val="D5F6C0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2"/>
  </w:num>
  <w:num w:numId="4">
    <w:abstractNumId w:val="5"/>
  </w:num>
  <w:num w:numId="5">
    <w:abstractNumId w:val="4"/>
  </w:num>
  <w:num w:numId="6">
    <w:abstractNumId w:val="1"/>
  </w:num>
  <w:num w:numId="7">
    <w:abstractNumId w:val="3"/>
  </w:num>
  <w:num w:numId="8">
    <w:abstractNumId w:val="2"/>
  </w:num>
  <w:num w:numId="9">
    <w:abstractNumId w:val="0"/>
  </w:num>
  <w:num w:numId="10">
    <w:abstractNumId w:val="8"/>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4377"/>
    <w:rsid w:val="001858A8"/>
    <w:rsid w:val="00764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3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43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4377"/>
    <w:rPr>
      <w:rFonts w:ascii="Century" w:eastAsia="Century" w:hAnsi="Century"/>
    </w:rPr>
  </w:style>
  <w:style w:type="paragraph" w:customStyle="1" w:styleId="ja0">
    <w:name w:val="款（ja）"/>
    <w:basedOn w:val="a"/>
    <w:rsid w:val="00764377"/>
    <w:pPr>
      <w:widowControl w:val="0"/>
      <w:ind w:left="1321" w:hanging="221"/>
    </w:pPr>
    <w:rPr>
      <w:rFonts w:ascii="ＭＳ 明朝" w:eastAsia="ＭＳ 明朝" w:hAnsi="ＭＳ 明朝" w:cs="ＭＳ 明朝"/>
      <w:b/>
    </w:rPr>
  </w:style>
  <w:style w:type="paragraph" w:customStyle="1" w:styleId="en0">
    <w:name w:val="款（en）"/>
    <w:basedOn w:val="ja0"/>
    <w:rsid w:val="00764377"/>
    <w:rPr>
      <w:rFonts w:ascii="Century" w:eastAsia="Century" w:hAnsi="Century" w:cs="Century"/>
    </w:rPr>
  </w:style>
  <w:style w:type="paragraph" w:customStyle="1" w:styleId="ja1">
    <w:name w:val="前文（ja）"/>
    <w:basedOn w:val="a"/>
    <w:rsid w:val="00764377"/>
    <w:pPr>
      <w:widowControl w:val="0"/>
      <w:ind w:firstLine="219"/>
    </w:pPr>
    <w:rPr>
      <w:rFonts w:ascii="ＭＳ 明朝" w:eastAsia="ＭＳ 明朝" w:hAnsi="ＭＳ 明朝" w:cs="ＭＳ 明朝"/>
    </w:rPr>
  </w:style>
  <w:style w:type="paragraph" w:customStyle="1" w:styleId="en1">
    <w:name w:val="前文（en）"/>
    <w:basedOn w:val="ja1"/>
    <w:rsid w:val="00764377"/>
    <w:rPr>
      <w:rFonts w:ascii="Century" w:eastAsia="Century" w:hAnsi="Century" w:cs="Century"/>
    </w:rPr>
  </w:style>
  <w:style w:type="paragraph" w:customStyle="1" w:styleId="ja2">
    <w:name w:val="附則（ja）"/>
    <w:basedOn w:val="a"/>
    <w:rsid w:val="00764377"/>
    <w:pPr>
      <w:widowControl w:val="0"/>
      <w:ind w:left="881" w:hanging="221"/>
    </w:pPr>
    <w:rPr>
      <w:rFonts w:ascii="ＭＳ 明朝" w:eastAsia="ＭＳ 明朝" w:hAnsi="ＭＳ 明朝" w:cs="ＭＳ 明朝"/>
      <w:b/>
    </w:rPr>
  </w:style>
  <w:style w:type="paragraph" w:customStyle="1" w:styleId="en2">
    <w:name w:val="附則（en）"/>
    <w:basedOn w:val="ja2"/>
    <w:rsid w:val="00764377"/>
    <w:rPr>
      <w:rFonts w:ascii="Century" w:hAnsi="Century" w:cs="Century"/>
    </w:rPr>
  </w:style>
  <w:style w:type="paragraph" w:customStyle="1" w:styleId="ja3">
    <w:name w:val="章（ja）"/>
    <w:basedOn w:val="a"/>
    <w:rsid w:val="00764377"/>
    <w:pPr>
      <w:widowControl w:val="0"/>
      <w:ind w:left="881" w:hanging="221"/>
    </w:pPr>
    <w:rPr>
      <w:rFonts w:ascii="ＭＳ 明朝" w:eastAsia="ＭＳ 明朝" w:hAnsi="ＭＳ 明朝" w:cs="ＭＳ 明朝"/>
      <w:b/>
    </w:rPr>
  </w:style>
  <w:style w:type="paragraph" w:customStyle="1" w:styleId="en3">
    <w:name w:val="章（en）"/>
    <w:basedOn w:val="ja3"/>
    <w:rsid w:val="00764377"/>
    <w:rPr>
      <w:rFonts w:ascii="Century" w:eastAsia="Century" w:hAnsi="Century" w:cs="Century"/>
    </w:rPr>
  </w:style>
  <w:style w:type="paragraph" w:customStyle="1" w:styleId="ja4">
    <w:name w:val="目次編（ja）"/>
    <w:basedOn w:val="a"/>
    <w:rsid w:val="00764377"/>
    <w:pPr>
      <w:widowControl w:val="0"/>
      <w:ind w:left="219" w:hanging="219"/>
    </w:pPr>
    <w:rPr>
      <w:rFonts w:ascii="ＭＳ 明朝" w:eastAsia="ＭＳ 明朝" w:hAnsi="ＭＳ 明朝"/>
    </w:rPr>
  </w:style>
  <w:style w:type="paragraph" w:customStyle="1" w:styleId="en4">
    <w:name w:val="目次編（en）"/>
    <w:basedOn w:val="ja4"/>
    <w:rsid w:val="00764377"/>
    <w:rPr>
      <w:rFonts w:ascii="Century" w:eastAsia="Century" w:hAnsi="Century"/>
    </w:rPr>
  </w:style>
  <w:style w:type="paragraph" w:customStyle="1" w:styleId="ja5">
    <w:name w:val="目次章（ja）"/>
    <w:basedOn w:val="a"/>
    <w:rsid w:val="00764377"/>
    <w:pPr>
      <w:widowControl w:val="0"/>
      <w:ind w:left="439" w:hanging="219"/>
    </w:pPr>
    <w:rPr>
      <w:rFonts w:ascii="ＭＳ 明朝" w:eastAsia="ＭＳ 明朝" w:hAnsi="ＭＳ 明朝"/>
    </w:rPr>
  </w:style>
  <w:style w:type="paragraph" w:customStyle="1" w:styleId="en5">
    <w:name w:val="目次章（en）"/>
    <w:basedOn w:val="ja5"/>
    <w:rsid w:val="00764377"/>
    <w:rPr>
      <w:rFonts w:ascii="Century" w:eastAsia="Century" w:hAnsi="Century"/>
    </w:rPr>
  </w:style>
  <w:style w:type="paragraph" w:customStyle="1" w:styleId="ja6">
    <w:name w:val="目次節（ja）"/>
    <w:basedOn w:val="a"/>
    <w:rsid w:val="00764377"/>
    <w:pPr>
      <w:widowControl w:val="0"/>
      <w:ind w:left="659" w:hanging="219"/>
    </w:pPr>
    <w:rPr>
      <w:rFonts w:ascii="ＭＳ 明朝" w:eastAsia="ＭＳ 明朝" w:hAnsi="ＭＳ 明朝"/>
    </w:rPr>
  </w:style>
  <w:style w:type="paragraph" w:customStyle="1" w:styleId="en6">
    <w:name w:val="目次節（en）"/>
    <w:basedOn w:val="ja6"/>
    <w:rsid w:val="00764377"/>
    <w:rPr>
      <w:rFonts w:ascii="Century" w:eastAsia="Century" w:hAnsi="Century"/>
    </w:rPr>
  </w:style>
  <w:style w:type="paragraph" w:customStyle="1" w:styleId="ja7">
    <w:name w:val="目次款（ja）"/>
    <w:basedOn w:val="a"/>
    <w:rsid w:val="00764377"/>
    <w:pPr>
      <w:widowControl w:val="0"/>
      <w:ind w:left="879" w:hanging="219"/>
    </w:pPr>
    <w:rPr>
      <w:rFonts w:ascii="ＭＳ 明朝" w:eastAsia="ＭＳ 明朝" w:hAnsi="ＭＳ 明朝" w:cs="Kochi Mincho"/>
    </w:rPr>
  </w:style>
  <w:style w:type="paragraph" w:customStyle="1" w:styleId="en7">
    <w:name w:val="目次款（en）"/>
    <w:basedOn w:val="ja7"/>
    <w:rsid w:val="00764377"/>
    <w:rPr>
      <w:rFonts w:ascii="Century" w:eastAsia="Century" w:hAnsi="Century"/>
    </w:rPr>
  </w:style>
  <w:style w:type="paragraph" w:customStyle="1" w:styleId="ja8">
    <w:name w:val="別表名（ja）"/>
    <w:basedOn w:val="a"/>
    <w:rsid w:val="007643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4377"/>
    <w:rPr>
      <w:rFonts w:ascii="Century" w:eastAsia="Century" w:hAnsi="Century" w:cs="Century"/>
    </w:rPr>
  </w:style>
  <w:style w:type="paragraph" w:customStyle="1" w:styleId="ja9">
    <w:name w:val="目（ja）"/>
    <w:basedOn w:val="a"/>
    <w:rsid w:val="00764377"/>
    <w:pPr>
      <w:widowControl w:val="0"/>
      <w:ind w:left="1541" w:hanging="221"/>
    </w:pPr>
    <w:rPr>
      <w:rFonts w:ascii="ＭＳ 明朝" w:eastAsia="ＭＳ 明朝" w:hAnsi="ＭＳ 明朝" w:cs="ＭＳ 明朝"/>
      <w:b/>
    </w:rPr>
  </w:style>
  <w:style w:type="paragraph" w:customStyle="1" w:styleId="en9">
    <w:name w:val="目（en）"/>
    <w:basedOn w:val="ja9"/>
    <w:rsid w:val="00764377"/>
    <w:rPr>
      <w:rFonts w:ascii="Century" w:eastAsia="Century" w:hAnsi="Century" w:cs="Century"/>
    </w:rPr>
  </w:style>
  <w:style w:type="paragraph" w:customStyle="1" w:styleId="jaa">
    <w:name w:val="見出し（ja）"/>
    <w:basedOn w:val="a"/>
    <w:rsid w:val="00764377"/>
    <w:pPr>
      <w:widowControl w:val="0"/>
      <w:ind w:left="439" w:hanging="219"/>
    </w:pPr>
    <w:rPr>
      <w:rFonts w:ascii="ＭＳ 明朝" w:eastAsia="ＭＳ 明朝" w:hAnsi="ＭＳ 明朝" w:cs="ＭＳ 明朝"/>
    </w:rPr>
  </w:style>
  <w:style w:type="paragraph" w:customStyle="1" w:styleId="ena">
    <w:name w:val="見出し（en）"/>
    <w:basedOn w:val="jaa"/>
    <w:rsid w:val="00764377"/>
    <w:rPr>
      <w:rFonts w:ascii="Century" w:eastAsia="Century" w:hAnsi="Century" w:cs="Century"/>
    </w:rPr>
  </w:style>
  <w:style w:type="paragraph" w:styleId="a3">
    <w:name w:val="footer"/>
    <w:basedOn w:val="a"/>
    <w:rsid w:val="007643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4377"/>
    <w:pPr>
      <w:widowControl w:val="0"/>
      <w:ind w:left="1099" w:hanging="219"/>
    </w:pPr>
    <w:rPr>
      <w:rFonts w:ascii="ＭＳ 明朝" w:eastAsia="ＭＳ 明朝" w:hAnsi="ＭＳ 明朝" w:cs="Kochi Mincho"/>
    </w:rPr>
  </w:style>
  <w:style w:type="paragraph" w:customStyle="1" w:styleId="enb">
    <w:name w:val="目次目（en）"/>
    <w:basedOn w:val="jab"/>
    <w:rsid w:val="00764377"/>
    <w:rPr>
      <w:rFonts w:ascii="Century" w:eastAsia="Century" w:hAnsi="Century"/>
    </w:rPr>
  </w:style>
  <w:style w:type="paragraph" w:customStyle="1" w:styleId="jac">
    <w:name w:val="目次附則（ja）"/>
    <w:basedOn w:val="a"/>
    <w:rsid w:val="00764377"/>
    <w:pPr>
      <w:widowControl w:val="0"/>
      <w:ind w:left="439" w:hanging="219"/>
    </w:pPr>
    <w:rPr>
      <w:rFonts w:ascii="ＭＳ 明朝" w:eastAsia="ＭＳ 明朝" w:hAnsi="ＭＳ 明朝" w:cs="Kochi Mincho"/>
    </w:rPr>
  </w:style>
  <w:style w:type="paragraph" w:customStyle="1" w:styleId="enc">
    <w:name w:val="目次附則（en）"/>
    <w:basedOn w:val="jac"/>
    <w:rsid w:val="00764377"/>
    <w:rPr>
      <w:rFonts w:ascii="Century" w:eastAsia="Century" w:hAnsi="Century" w:cs="Century"/>
    </w:rPr>
  </w:style>
  <w:style w:type="paragraph" w:customStyle="1" w:styleId="jad">
    <w:name w:val="目次前文（ja）"/>
    <w:basedOn w:val="jac"/>
    <w:rsid w:val="00764377"/>
  </w:style>
  <w:style w:type="paragraph" w:customStyle="1" w:styleId="end">
    <w:name w:val="目次前文（en）"/>
    <w:basedOn w:val="enc"/>
    <w:rsid w:val="00764377"/>
  </w:style>
  <w:style w:type="paragraph" w:customStyle="1" w:styleId="jae">
    <w:name w:val="制定文（ja）"/>
    <w:basedOn w:val="a"/>
    <w:rsid w:val="00764377"/>
    <w:pPr>
      <w:widowControl w:val="0"/>
      <w:ind w:firstLine="219"/>
    </w:pPr>
    <w:rPr>
      <w:rFonts w:ascii="ＭＳ 明朝" w:eastAsia="ＭＳ 明朝" w:hAnsi="ＭＳ 明朝" w:cs="ＭＳ 明朝"/>
    </w:rPr>
  </w:style>
  <w:style w:type="paragraph" w:customStyle="1" w:styleId="ene">
    <w:name w:val="制定文（en）"/>
    <w:basedOn w:val="jae"/>
    <w:rsid w:val="00764377"/>
    <w:rPr>
      <w:rFonts w:ascii="Century" w:eastAsia="Century" w:hAnsi="Century" w:cs="Century"/>
    </w:rPr>
  </w:style>
  <w:style w:type="paragraph" w:customStyle="1" w:styleId="jaf">
    <w:name w:val="法令番号（ja）"/>
    <w:basedOn w:val="a"/>
    <w:rsid w:val="00764377"/>
    <w:pPr>
      <w:widowControl w:val="0"/>
      <w:jc w:val="right"/>
    </w:pPr>
    <w:rPr>
      <w:rFonts w:ascii="ＭＳ 明朝" w:eastAsia="ＭＳ 明朝" w:hAnsi="ＭＳ 明朝" w:cs="Kochi Mincho"/>
    </w:rPr>
  </w:style>
  <w:style w:type="paragraph" w:customStyle="1" w:styleId="enf">
    <w:name w:val="法令番号（en）"/>
    <w:basedOn w:val="jaf"/>
    <w:rsid w:val="00764377"/>
    <w:rPr>
      <w:rFonts w:ascii="Century" w:eastAsia="Century" w:hAnsi="Century" w:cs="Century"/>
    </w:rPr>
  </w:style>
  <w:style w:type="paragraph" w:customStyle="1" w:styleId="jaf0">
    <w:name w:val="目次（ja）"/>
    <w:basedOn w:val="a"/>
    <w:rsid w:val="00764377"/>
    <w:rPr>
      <w:rFonts w:ascii="ＭＳ 明朝" w:eastAsia="ＭＳ 明朝" w:hAnsi="ＭＳ 明朝"/>
    </w:rPr>
  </w:style>
  <w:style w:type="paragraph" w:customStyle="1" w:styleId="enf0">
    <w:name w:val="目次（en）"/>
    <w:basedOn w:val="jaf0"/>
    <w:rsid w:val="00764377"/>
    <w:rPr>
      <w:rFonts w:ascii="Century" w:eastAsia="Century" w:hAnsi="Century"/>
    </w:rPr>
  </w:style>
  <w:style w:type="paragraph" w:customStyle="1" w:styleId="jaf1">
    <w:name w:val="編（ja）"/>
    <w:basedOn w:val="a"/>
    <w:rsid w:val="00764377"/>
    <w:pPr>
      <w:widowControl w:val="0"/>
      <w:ind w:left="661" w:hanging="221"/>
    </w:pPr>
    <w:rPr>
      <w:rFonts w:ascii="ＭＳ 明朝" w:eastAsia="ＭＳ 明朝" w:hAnsi="ＭＳ 明朝" w:cs="ＭＳ 明朝"/>
      <w:b/>
    </w:rPr>
  </w:style>
  <w:style w:type="paragraph" w:customStyle="1" w:styleId="enf1">
    <w:name w:val="編（en）"/>
    <w:basedOn w:val="jaf1"/>
    <w:rsid w:val="00764377"/>
    <w:rPr>
      <w:rFonts w:ascii="Century" w:eastAsia="Century" w:hAnsi="Century" w:cs="Century"/>
    </w:rPr>
  </w:style>
  <w:style w:type="paragraph" w:customStyle="1" w:styleId="jaf2">
    <w:name w:val="節（ja）"/>
    <w:basedOn w:val="a"/>
    <w:rsid w:val="00764377"/>
    <w:pPr>
      <w:widowControl w:val="0"/>
      <w:ind w:left="1101" w:hanging="221"/>
    </w:pPr>
    <w:rPr>
      <w:rFonts w:ascii="ＭＳ 明朝" w:eastAsia="ＭＳ 明朝" w:hAnsi="ＭＳ 明朝" w:cs="ＭＳ 明朝"/>
      <w:b/>
    </w:rPr>
  </w:style>
  <w:style w:type="paragraph" w:customStyle="1" w:styleId="enf2">
    <w:name w:val="節（en）"/>
    <w:basedOn w:val="jaf2"/>
    <w:rsid w:val="00764377"/>
    <w:rPr>
      <w:rFonts w:ascii="Century" w:eastAsia="Century" w:hAnsi="Century" w:cs="Century"/>
    </w:rPr>
  </w:style>
  <w:style w:type="paragraph" w:customStyle="1" w:styleId="jaf3">
    <w:name w:val="条（ja）"/>
    <w:basedOn w:val="a"/>
    <w:rsid w:val="00764377"/>
    <w:pPr>
      <w:widowControl w:val="0"/>
      <w:ind w:left="219" w:hanging="219"/>
    </w:pPr>
    <w:rPr>
      <w:rFonts w:ascii="ＭＳ 明朝" w:eastAsia="ＭＳ 明朝" w:hAnsi="ＭＳ 明朝" w:cs="ＭＳ 明朝"/>
    </w:rPr>
  </w:style>
  <w:style w:type="paragraph" w:customStyle="1" w:styleId="enf3">
    <w:name w:val="条（en）"/>
    <w:basedOn w:val="jaf3"/>
    <w:rsid w:val="00764377"/>
    <w:rPr>
      <w:rFonts w:ascii="Century" w:eastAsia="Century" w:hAnsi="Century" w:cs="Century"/>
    </w:rPr>
  </w:style>
  <w:style w:type="paragraph" w:customStyle="1" w:styleId="jaf4">
    <w:name w:val="項（ja）"/>
    <w:basedOn w:val="a"/>
    <w:rsid w:val="00764377"/>
    <w:pPr>
      <w:widowControl w:val="0"/>
      <w:ind w:left="219" w:hanging="219"/>
    </w:pPr>
    <w:rPr>
      <w:rFonts w:ascii="ＭＳ 明朝" w:eastAsia="ＭＳ 明朝" w:hAnsi="ＭＳ 明朝" w:cs="ＭＳ 明朝"/>
    </w:rPr>
  </w:style>
  <w:style w:type="paragraph" w:customStyle="1" w:styleId="enf4">
    <w:name w:val="項（en）"/>
    <w:basedOn w:val="jaf4"/>
    <w:rsid w:val="00764377"/>
    <w:rPr>
      <w:rFonts w:ascii="Century" w:eastAsia="Century" w:hAnsi="Century" w:cs="Century"/>
    </w:rPr>
  </w:style>
  <w:style w:type="paragraph" w:customStyle="1" w:styleId="jaf5">
    <w:name w:val="項　番号なし（ja）"/>
    <w:basedOn w:val="a"/>
    <w:rsid w:val="00764377"/>
    <w:pPr>
      <w:widowControl w:val="0"/>
      <w:ind w:firstLine="221"/>
    </w:pPr>
    <w:rPr>
      <w:rFonts w:ascii="ＭＳ 明朝" w:eastAsia="ＭＳ 明朝" w:hAnsi="ＭＳ 明朝" w:cs="ＭＳ 明朝"/>
    </w:rPr>
  </w:style>
  <w:style w:type="paragraph" w:customStyle="1" w:styleId="enf5">
    <w:name w:val="項　番号なし（en）"/>
    <w:basedOn w:val="jaf5"/>
    <w:rsid w:val="00764377"/>
    <w:rPr>
      <w:rFonts w:ascii="Century" w:eastAsia="Century" w:hAnsi="Century" w:cs="Century"/>
    </w:rPr>
  </w:style>
  <w:style w:type="paragraph" w:customStyle="1" w:styleId="jaf6">
    <w:name w:val="号（ja）"/>
    <w:basedOn w:val="a"/>
    <w:rsid w:val="00764377"/>
    <w:pPr>
      <w:widowControl w:val="0"/>
      <w:ind w:left="439" w:hanging="219"/>
    </w:pPr>
    <w:rPr>
      <w:rFonts w:ascii="ＭＳ 明朝" w:eastAsia="ＭＳ 明朝" w:hAnsi="ＭＳ 明朝" w:cs="ＭＳ 明朝"/>
    </w:rPr>
  </w:style>
  <w:style w:type="paragraph" w:customStyle="1" w:styleId="enf6">
    <w:name w:val="号（en）"/>
    <w:basedOn w:val="jaf6"/>
    <w:rsid w:val="00764377"/>
    <w:rPr>
      <w:rFonts w:ascii="Century" w:eastAsia="Century" w:hAnsi="Century" w:cs="Century"/>
    </w:rPr>
  </w:style>
  <w:style w:type="paragraph" w:customStyle="1" w:styleId="jaf7">
    <w:name w:val="号　番号なし（ja）"/>
    <w:basedOn w:val="a"/>
    <w:rsid w:val="00764377"/>
    <w:pPr>
      <w:widowControl w:val="0"/>
      <w:ind w:left="221" w:firstLine="221"/>
    </w:pPr>
    <w:rPr>
      <w:rFonts w:ascii="ＭＳ 明朝" w:eastAsia="ＭＳ 明朝" w:hAnsi="ＭＳ 明朝" w:cs="ＭＳ 明朝"/>
    </w:rPr>
  </w:style>
  <w:style w:type="paragraph" w:customStyle="1" w:styleId="enf7">
    <w:name w:val="号　番号なし（en）"/>
    <w:basedOn w:val="jaf7"/>
    <w:rsid w:val="00764377"/>
    <w:rPr>
      <w:rFonts w:ascii="Century" w:eastAsia="Century" w:hAnsi="Century" w:cs="Century"/>
    </w:rPr>
  </w:style>
  <w:style w:type="paragraph" w:customStyle="1" w:styleId="jaf8">
    <w:name w:val="備考号（ja）"/>
    <w:basedOn w:val="a"/>
    <w:rsid w:val="00764377"/>
    <w:pPr>
      <w:widowControl w:val="0"/>
      <w:ind w:left="659" w:hanging="219"/>
    </w:pPr>
    <w:rPr>
      <w:rFonts w:ascii="ＭＳ 明朝" w:eastAsia="ＭＳ 明朝" w:hAnsi="ＭＳ 明朝" w:cs="ＭＳ 明朝"/>
    </w:rPr>
  </w:style>
  <w:style w:type="paragraph" w:customStyle="1" w:styleId="enf8">
    <w:name w:val="備考号（en）"/>
    <w:basedOn w:val="jaf8"/>
    <w:rsid w:val="00764377"/>
    <w:rPr>
      <w:rFonts w:ascii="Century" w:eastAsia="Century" w:hAnsi="Century" w:cs="Century"/>
    </w:rPr>
  </w:style>
  <w:style w:type="paragraph" w:customStyle="1" w:styleId="jaf9">
    <w:name w:val="号細分（ja）"/>
    <w:basedOn w:val="a"/>
    <w:rsid w:val="00764377"/>
    <w:pPr>
      <w:widowControl w:val="0"/>
      <w:ind w:left="659" w:hanging="219"/>
    </w:pPr>
    <w:rPr>
      <w:rFonts w:ascii="ＭＳ 明朝" w:eastAsia="ＭＳ 明朝" w:hAnsi="ＭＳ 明朝" w:cs="ＭＳ 明朝"/>
    </w:rPr>
  </w:style>
  <w:style w:type="paragraph" w:customStyle="1" w:styleId="enf9">
    <w:name w:val="号細分（en）"/>
    <w:basedOn w:val="jaf9"/>
    <w:rsid w:val="00764377"/>
    <w:rPr>
      <w:rFonts w:ascii="Century" w:eastAsia="Century" w:hAnsi="Century" w:cs="Century"/>
    </w:rPr>
  </w:style>
  <w:style w:type="paragraph" w:customStyle="1" w:styleId="jafa">
    <w:name w:val="号細分　番号なし（ja）"/>
    <w:basedOn w:val="a"/>
    <w:rsid w:val="00764377"/>
    <w:pPr>
      <w:widowControl w:val="0"/>
      <w:ind w:left="439"/>
    </w:pPr>
    <w:rPr>
      <w:rFonts w:ascii="ＭＳ 明朝" w:eastAsia="ＭＳ 明朝" w:hAnsi="ＭＳ 明朝" w:cs="ＭＳ 明朝"/>
    </w:rPr>
  </w:style>
  <w:style w:type="paragraph" w:customStyle="1" w:styleId="enfa">
    <w:name w:val="号細分　番号なし（en）"/>
    <w:basedOn w:val="jafa"/>
    <w:rsid w:val="00764377"/>
    <w:rPr>
      <w:rFonts w:ascii="Century" w:eastAsia="Century" w:hAnsi="Century" w:cs="Century"/>
    </w:rPr>
  </w:style>
  <w:style w:type="paragraph" w:customStyle="1" w:styleId="jafb">
    <w:name w:val="備考号細分（ja）"/>
    <w:basedOn w:val="a"/>
    <w:rsid w:val="00764377"/>
    <w:pPr>
      <w:widowControl w:val="0"/>
      <w:ind w:left="1099" w:hanging="439"/>
    </w:pPr>
    <w:rPr>
      <w:rFonts w:ascii="ＭＳ 明朝" w:eastAsia="ＭＳ 明朝" w:hAnsi="ＭＳ 明朝" w:cs="ＭＳ 明朝"/>
    </w:rPr>
  </w:style>
  <w:style w:type="paragraph" w:customStyle="1" w:styleId="enfb">
    <w:name w:val="備考号細分（en）"/>
    <w:basedOn w:val="jafb"/>
    <w:rsid w:val="00764377"/>
    <w:rPr>
      <w:rFonts w:ascii="Century" w:eastAsia="Century" w:hAnsi="Century" w:cs="Century"/>
    </w:rPr>
  </w:style>
  <w:style w:type="paragraph" w:customStyle="1" w:styleId="jafc">
    <w:name w:val="号細細分（ja）"/>
    <w:basedOn w:val="a"/>
    <w:rsid w:val="00764377"/>
    <w:pPr>
      <w:widowControl w:val="0"/>
      <w:ind w:left="1099" w:hanging="439"/>
    </w:pPr>
    <w:rPr>
      <w:rFonts w:ascii="ＭＳ 明朝" w:eastAsia="ＭＳ 明朝" w:hAnsi="ＭＳ 明朝" w:cs="ＭＳ 明朝"/>
    </w:rPr>
  </w:style>
  <w:style w:type="paragraph" w:customStyle="1" w:styleId="enfc">
    <w:name w:val="号細細分（en）"/>
    <w:basedOn w:val="jafc"/>
    <w:rsid w:val="00764377"/>
    <w:rPr>
      <w:rFonts w:ascii="Century" w:eastAsia="Century" w:hAnsi="Century" w:cs="Century"/>
    </w:rPr>
  </w:style>
  <w:style w:type="paragraph" w:customStyle="1" w:styleId="jafd">
    <w:name w:val="号細細分　番号なし（ja）"/>
    <w:basedOn w:val="a"/>
    <w:rsid w:val="00764377"/>
    <w:pPr>
      <w:widowControl w:val="0"/>
      <w:ind w:left="659"/>
    </w:pPr>
    <w:rPr>
      <w:rFonts w:ascii="ＭＳ 明朝" w:eastAsia="ＭＳ 明朝" w:hAnsi="ＭＳ 明朝" w:cs="ＭＳ 明朝"/>
    </w:rPr>
  </w:style>
  <w:style w:type="paragraph" w:customStyle="1" w:styleId="enfd">
    <w:name w:val="号細細分　番号なし（en）"/>
    <w:basedOn w:val="jafd"/>
    <w:rsid w:val="00764377"/>
    <w:rPr>
      <w:rFonts w:ascii="Century" w:eastAsia="Century" w:hAnsi="Century" w:cs="Century"/>
    </w:rPr>
  </w:style>
  <w:style w:type="paragraph" w:customStyle="1" w:styleId="jafe">
    <w:name w:val="備考号細細分（ja）"/>
    <w:basedOn w:val="a"/>
    <w:rsid w:val="00764377"/>
    <w:pPr>
      <w:widowControl w:val="0"/>
      <w:ind w:left="1319" w:hanging="439"/>
    </w:pPr>
    <w:rPr>
      <w:rFonts w:ascii="ＭＳ 明朝" w:eastAsia="ＭＳ 明朝" w:hAnsi="ＭＳ 明朝" w:cs="ＭＳ 明朝"/>
    </w:rPr>
  </w:style>
  <w:style w:type="paragraph" w:customStyle="1" w:styleId="enfe">
    <w:name w:val="備考号細細分（en）"/>
    <w:basedOn w:val="jafe"/>
    <w:rsid w:val="00764377"/>
    <w:rPr>
      <w:rFonts w:ascii="Century" w:eastAsia="Century" w:hAnsi="Century" w:cs="Century"/>
    </w:rPr>
  </w:style>
  <w:style w:type="paragraph" w:customStyle="1" w:styleId="jaff">
    <w:name w:val="号細細細分（ja）"/>
    <w:basedOn w:val="a"/>
    <w:rsid w:val="00764377"/>
    <w:pPr>
      <w:widowControl w:val="0"/>
      <w:ind w:left="1319" w:hanging="439"/>
    </w:pPr>
    <w:rPr>
      <w:rFonts w:ascii="ＭＳ 明朝" w:eastAsia="ＭＳ 明朝" w:hAnsi="ＭＳ 明朝" w:cs="ＭＳ 明朝"/>
    </w:rPr>
  </w:style>
  <w:style w:type="paragraph" w:customStyle="1" w:styleId="enff">
    <w:name w:val="号細細細分（en）"/>
    <w:basedOn w:val="jaff"/>
    <w:rsid w:val="00764377"/>
    <w:rPr>
      <w:rFonts w:ascii="Century" w:eastAsia="Century" w:hAnsi="Century" w:cs="Century"/>
    </w:rPr>
  </w:style>
  <w:style w:type="paragraph" w:customStyle="1" w:styleId="jaff0">
    <w:name w:val="号細細細分　番号なし（ja）"/>
    <w:basedOn w:val="a"/>
    <w:rsid w:val="00764377"/>
    <w:pPr>
      <w:widowControl w:val="0"/>
      <w:ind w:left="879"/>
    </w:pPr>
    <w:rPr>
      <w:rFonts w:ascii="ＭＳ 明朝" w:eastAsia="ＭＳ 明朝" w:hAnsi="ＭＳ 明朝" w:cs="ＭＳ 明朝"/>
    </w:rPr>
  </w:style>
  <w:style w:type="paragraph" w:customStyle="1" w:styleId="enff0">
    <w:name w:val="号細細細分　番号なし（en）"/>
    <w:basedOn w:val="jaff0"/>
    <w:rsid w:val="00764377"/>
    <w:rPr>
      <w:rFonts w:ascii="Century" w:eastAsia="Century" w:hAnsi="Century" w:cs="Century"/>
    </w:rPr>
  </w:style>
  <w:style w:type="paragraph" w:customStyle="1" w:styleId="jaff1">
    <w:name w:val="備考号細細細分（ja）"/>
    <w:basedOn w:val="a"/>
    <w:rsid w:val="007643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4377"/>
    <w:rPr>
      <w:rFonts w:ascii="Century" w:eastAsia="Century" w:hAnsi="Century" w:cs="Century"/>
    </w:rPr>
  </w:style>
  <w:style w:type="paragraph" w:customStyle="1" w:styleId="jaff2">
    <w:name w:val="類（ja）"/>
    <w:basedOn w:val="a"/>
    <w:rsid w:val="00764377"/>
    <w:pPr>
      <w:widowControl w:val="0"/>
      <w:ind w:left="439" w:hanging="219"/>
    </w:pPr>
    <w:rPr>
      <w:rFonts w:ascii="ＭＳ 明朝" w:eastAsia="ＭＳ 明朝" w:hAnsi="ＭＳ 明朝" w:cs="ＭＳ 明朝"/>
    </w:rPr>
  </w:style>
  <w:style w:type="paragraph" w:customStyle="1" w:styleId="enff2">
    <w:name w:val="類（en）"/>
    <w:basedOn w:val="jaff2"/>
    <w:rsid w:val="00764377"/>
    <w:rPr>
      <w:rFonts w:ascii="Century" w:eastAsia="Century" w:hAnsi="Century" w:cs="Century"/>
    </w:rPr>
  </w:style>
  <w:style w:type="paragraph" w:customStyle="1" w:styleId="jaff3">
    <w:name w:val="公布文（ja）"/>
    <w:basedOn w:val="a"/>
    <w:rsid w:val="00764377"/>
    <w:pPr>
      <w:widowControl w:val="0"/>
      <w:ind w:firstLine="219"/>
    </w:pPr>
    <w:rPr>
      <w:rFonts w:ascii="ＭＳ 明朝" w:eastAsia="ＭＳ 明朝" w:hAnsi="ＭＳ 明朝" w:cs="ＭＳ 明朝"/>
    </w:rPr>
  </w:style>
  <w:style w:type="paragraph" w:customStyle="1" w:styleId="enff3">
    <w:name w:val="公布文（en）"/>
    <w:basedOn w:val="jaff3"/>
    <w:rsid w:val="00764377"/>
    <w:rPr>
      <w:rFonts w:ascii="Century" w:eastAsia="Century" w:hAnsi="Century" w:cs="Century"/>
    </w:rPr>
  </w:style>
  <w:style w:type="paragraph" w:customStyle="1" w:styleId="jaen">
    <w:name w:val="表（ja：en）"/>
    <w:basedOn w:val="a"/>
    <w:rsid w:val="00764377"/>
    <w:pPr>
      <w:widowControl w:val="0"/>
      <w:snapToGrid w:val="0"/>
    </w:pPr>
    <w:rPr>
      <w:rFonts w:ascii="Century" w:eastAsia="ＭＳ 明朝" w:hAnsi="Century"/>
    </w:rPr>
  </w:style>
  <w:style w:type="paragraph" w:customStyle="1" w:styleId="jaff4">
    <w:name w:val="備考（ja）"/>
    <w:basedOn w:val="a"/>
    <w:rsid w:val="00764377"/>
    <w:pPr>
      <w:widowControl w:val="0"/>
      <w:ind w:left="439" w:hanging="219"/>
    </w:pPr>
    <w:rPr>
      <w:rFonts w:ascii="ＭＳ 明朝" w:eastAsia="ＭＳ 明朝" w:hAnsi="ＭＳ 明朝" w:cs="ＭＳ 明朝"/>
    </w:rPr>
  </w:style>
  <w:style w:type="paragraph" w:customStyle="1" w:styleId="enff4">
    <w:name w:val="備考（en）"/>
    <w:basedOn w:val="jaff4"/>
    <w:rsid w:val="00764377"/>
    <w:rPr>
      <w:rFonts w:ascii="Century" w:eastAsia="Century" w:hAnsi="Century" w:cs="Century"/>
    </w:rPr>
  </w:style>
  <w:style w:type="paragraph" w:customStyle="1" w:styleId="jaff5">
    <w:name w:val="表タイトル（ja）"/>
    <w:basedOn w:val="a"/>
    <w:rsid w:val="00764377"/>
    <w:pPr>
      <w:widowControl w:val="0"/>
      <w:ind w:left="219"/>
    </w:pPr>
    <w:rPr>
      <w:rFonts w:ascii="ＭＳ 明朝" w:eastAsia="ＭＳ 明朝" w:hAnsi="ＭＳ 明朝" w:cs="ＭＳ 明朝"/>
    </w:rPr>
  </w:style>
  <w:style w:type="paragraph" w:customStyle="1" w:styleId="enff5">
    <w:name w:val="表タイトル（en）"/>
    <w:basedOn w:val="jaff5"/>
    <w:rsid w:val="00764377"/>
    <w:rPr>
      <w:rFonts w:ascii="Century" w:eastAsia="Century" w:hAnsi="Century" w:cs="Century"/>
    </w:rPr>
  </w:style>
  <w:style w:type="paragraph" w:customStyle="1" w:styleId="jaff6">
    <w:name w:val="改正規定文（ja）"/>
    <w:basedOn w:val="a"/>
    <w:rsid w:val="00764377"/>
    <w:pPr>
      <w:widowControl w:val="0"/>
      <w:ind w:left="219" w:firstLine="219"/>
    </w:pPr>
    <w:rPr>
      <w:rFonts w:ascii="ＭＳ 明朝" w:eastAsia="ＭＳ 明朝" w:hAnsi="ＭＳ 明朝" w:cs="ＭＳ 明朝"/>
    </w:rPr>
  </w:style>
  <w:style w:type="paragraph" w:customStyle="1" w:styleId="enff6">
    <w:name w:val="改正規定文（en）"/>
    <w:basedOn w:val="jaff6"/>
    <w:rsid w:val="00764377"/>
    <w:rPr>
      <w:rFonts w:ascii="Century" w:eastAsia="Century" w:hAnsi="Century" w:cs="Century"/>
    </w:rPr>
  </w:style>
  <w:style w:type="paragraph" w:customStyle="1" w:styleId="jaff7">
    <w:name w:val="付記（ja）"/>
    <w:basedOn w:val="a"/>
    <w:rsid w:val="00764377"/>
    <w:pPr>
      <w:widowControl w:val="0"/>
      <w:ind w:left="219" w:firstLine="219"/>
    </w:pPr>
    <w:rPr>
      <w:rFonts w:ascii="ＭＳ 明朝" w:eastAsia="ＭＳ 明朝" w:hAnsi="ＭＳ 明朝" w:cs="ＭＳ 明朝"/>
    </w:rPr>
  </w:style>
  <w:style w:type="paragraph" w:customStyle="1" w:styleId="enff7">
    <w:name w:val="付記（en）"/>
    <w:basedOn w:val="jaff7"/>
    <w:rsid w:val="00764377"/>
    <w:rPr>
      <w:rFonts w:ascii="Century" w:eastAsia="Century" w:hAnsi="Century" w:cs="Century"/>
    </w:rPr>
  </w:style>
  <w:style w:type="paragraph" w:customStyle="1" w:styleId="jaff8">
    <w:name w:val="様式名（ja）"/>
    <w:basedOn w:val="a"/>
    <w:rsid w:val="00764377"/>
    <w:pPr>
      <w:widowControl w:val="0"/>
      <w:ind w:left="439" w:hanging="219"/>
    </w:pPr>
    <w:rPr>
      <w:rFonts w:ascii="ＭＳ 明朝" w:eastAsia="ＭＳ 明朝" w:hAnsi="ＭＳ 明朝" w:cs="ＭＳ 明朝"/>
    </w:rPr>
  </w:style>
  <w:style w:type="paragraph" w:customStyle="1" w:styleId="enff8">
    <w:name w:val="様式名（en）"/>
    <w:basedOn w:val="jaff8"/>
    <w:rsid w:val="00764377"/>
    <w:rPr>
      <w:rFonts w:ascii="Century" w:eastAsia="Century" w:hAnsi="Century" w:cs="Century"/>
    </w:rPr>
  </w:style>
  <w:style w:type="paragraph" w:customStyle="1" w:styleId="jaff9">
    <w:name w:val="様式項目（ja）"/>
    <w:basedOn w:val="a"/>
    <w:rsid w:val="00764377"/>
    <w:pPr>
      <w:widowControl w:val="0"/>
      <w:ind w:left="221" w:firstLine="221"/>
    </w:pPr>
    <w:rPr>
      <w:rFonts w:ascii="ＭＳ 明朝" w:eastAsia="ＭＳ 明朝" w:hAnsi="ＭＳ 明朝" w:cs="ＭＳ 明朝"/>
    </w:rPr>
  </w:style>
  <w:style w:type="paragraph" w:customStyle="1" w:styleId="enff9">
    <w:name w:val="様式項目（en）"/>
    <w:basedOn w:val="jaff9"/>
    <w:rsid w:val="00764377"/>
    <w:rPr>
      <w:rFonts w:ascii="Century" w:eastAsia="Century" w:hAnsi="Century" w:cs="Century"/>
    </w:rPr>
  </w:style>
  <w:style w:type="table" w:customStyle="1" w:styleId="1">
    <w:name w:val="表1"/>
    <w:rsid w:val="00764377"/>
    <w:tblPr>
      <w:tblInd w:w="340" w:type="dxa"/>
      <w:tblCellMar>
        <w:top w:w="0" w:type="dxa"/>
        <w:left w:w="0" w:type="dxa"/>
        <w:bottom w:w="0" w:type="dxa"/>
        <w:right w:w="0" w:type="dxa"/>
      </w:tblCellMar>
    </w:tblPr>
  </w:style>
  <w:style w:type="numbering" w:customStyle="1" w:styleId="WW8Num1">
    <w:name w:val="WW8Num1"/>
    <w:rsid w:val="00764377"/>
    <w:pPr>
      <w:numPr>
        <w:numId w:val="2"/>
      </w:numPr>
    </w:pPr>
  </w:style>
  <w:style w:type="numbering" w:customStyle="1" w:styleId="WW8Num2">
    <w:name w:val="WW8Num2"/>
    <w:rsid w:val="00764377"/>
    <w:pPr>
      <w:numPr>
        <w:numId w:val="3"/>
      </w:numPr>
    </w:pPr>
  </w:style>
  <w:style w:type="numbering" w:customStyle="1" w:styleId="WW8Num3">
    <w:name w:val="WW8Num3"/>
    <w:rsid w:val="00764377"/>
    <w:pPr>
      <w:numPr>
        <w:numId w:val="4"/>
      </w:numPr>
    </w:pPr>
  </w:style>
  <w:style w:type="numbering" w:customStyle="1" w:styleId="WW8Num4">
    <w:name w:val="WW8Num4"/>
    <w:rsid w:val="00764377"/>
    <w:pPr>
      <w:numPr>
        <w:numId w:val="5"/>
      </w:numPr>
    </w:pPr>
  </w:style>
  <w:style w:type="numbering" w:customStyle="1" w:styleId="WW8Num5">
    <w:name w:val="WW8Num5"/>
    <w:rsid w:val="00764377"/>
    <w:pPr>
      <w:numPr>
        <w:numId w:val="6"/>
      </w:numPr>
    </w:pPr>
  </w:style>
  <w:style w:type="numbering" w:customStyle="1" w:styleId="WW8Num6">
    <w:name w:val="WW8Num6"/>
    <w:rsid w:val="00764377"/>
    <w:pPr>
      <w:numPr>
        <w:numId w:val="7"/>
      </w:numPr>
    </w:pPr>
  </w:style>
  <w:style w:type="numbering" w:customStyle="1" w:styleId="WW8Num7">
    <w:name w:val="WW8Num7"/>
    <w:rsid w:val="00764377"/>
    <w:pPr>
      <w:numPr>
        <w:numId w:val="8"/>
      </w:numPr>
    </w:pPr>
  </w:style>
  <w:style w:type="numbering" w:customStyle="1" w:styleId="WW8Num8">
    <w:name w:val="WW8Num8"/>
    <w:rsid w:val="00764377"/>
    <w:pPr>
      <w:numPr>
        <w:numId w:val="9"/>
      </w:numPr>
    </w:pPr>
  </w:style>
  <w:style w:type="numbering" w:customStyle="1" w:styleId="WW8Num9">
    <w:name w:val="WW8Num9"/>
    <w:rsid w:val="00764377"/>
    <w:pPr>
      <w:numPr>
        <w:numId w:val="10"/>
      </w:numPr>
    </w:pPr>
  </w:style>
  <w:style w:type="numbering" w:customStyle="1" w:styleId="WW8Num10">
    <w:name w:val="WW8Num10"/>
    <w:rsid w:val="00764377"/>
    <w:pPr>
      <w:numPr>
        <w:numId w:val="11"/>
      </w:numPr>
    </w:pPr>
  </w:style>
  <w:style w:type="numbering" w:customStyle="1" w:styleId="WW8Num11">
    <w:name w:val="WW8Num11"/>
    <w:rsid w:val="00764377"/>
    <w:pPr>
      <w:numPr>
        <w:numId w:val="12"/>
      </w:numPr>
    </w:pPr>
  </w:style>
  <w:style w:type="numbering" w:customStyle="1" w:styleId="WW8Num12">
    <w:name w:val="WW8Num12"/>
    <w:rsid w:val="00764377"/>
    <w:pPr>
      <w:numPr>
        <w:numId w:val="13"/>
      </w:numPr>
    </w:pPr>
  </w:style>
  <w:style w:type="paragraph" w:styleId="a4">
    <w:name w:val="header"/>
    <w:basedOn w:val="a"/>
    <w:link w:val="a5"/>
    <w:uiPriority w:val="99"/>
    <w:unhideWhenUsed/>
    <w:rsid w:val="001858A8"/>
    <w:pPr>
      <w:tabs>
        <w:tab w:val="center" w:pos="4252"/>
        <w:tab w:val="right" w:pos="8504"/>
      </w:tabs>
      <w:snapToGrid w:val="0"/>
    </w:pPr>
  </w:style>
  <w:style w:type="character" w:customStyle="1" w:styleId="a5">
    <w:name w:val="ヘッダー (文字)"/>
    <w:basedOn w:val="a0"/>
    <w:link w:val="a4"/>
    <w:uiPriority w:val="99"/>
    <w:rsid w:val="001858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8519</Words>
  <Characters>48562</Characters>
  <Application>Microsoft Office Word</Application>
  <DocSecurity>0</DocSecurity>
  <Lines>404</Lines>
  <Paragraphs>113</Paragraphs>
  <ScaleCrop>false</ScaleCrop>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