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5CC" w:rsidRDefault="00B8555E">
      <w:pPr>
        <w:pStyle w:val="en"/>
      </w:pPr>
      <w:r>
        <w:t>Act on the Protection of the Ozone Layer Through the Control of Specified Substances, etc. and Other Measures</w:t>
      </w:r>
    </w:p>
    <w:p w:rsidR="00F355CC" w:rsidRDefault="00F355CC"/>
    <w:p w:rsidR="00F355CC" w:rsidRDefault="00B8555E">
      <w:pPr>
        <w:pStyle w:val="enf"/>
      </w:pPr>
      <w:r>
        <w:t>(Act No. 53 of May 20, 1988)</w:t>
      </w:r>
    </w:p>
    <w:p w:rsidR="00F355CC" w:rsidRDefault="00F355CC"/>
    <w:p w:rsidR="00F355CC" w:rsidRDefault="00B8555E">
      <w:pPr>
        <w:pStyle w:val="enf0"/>
      </w:pPr>
      <w:r>
        <w:t>Table of Contents</w:t>
      </w:r>
    </w:p>
    <w:p w:rsidR="00F355CC" w:rsidRDefault="00B8555E">
      <w:pPr>
        <w:pStyle w:val="en5"/>
      </w:pPr>
      <w:r>
        <w:t>Chapter I General Provisions (Articles 1 to 3)</w:t>
      </w:r>
    </w:p>
    <w:p w:rsidR="00F355CC" w:rsidRDefault="00B8555E">
      <w:pPr>
        <w:pStyle w:val="en5"/>
      </w:pPr>
      <w:r>
        <w:t xml:space="preserve">Chapter II Controls on the </w:t>
      </w:r>
      <w:r>
        <w:t>Manufacture, etc. of Specified Substances, etc. (Articles 4 to 16)</w:t>
      </w:r>
    </w:p>
    <w:p w:rsidR="00F355CC" w:rsidRDefault="00B8555E">
      <w:pPr>
        <w:pStyle w:val="en5"/>
      </w:pPr>
      <w:r>
        <w:t>Chapter III Notifications for Specified Substances, etc. and Other Substances (Articles 17 and 18)</w:t>
      </w:r>
    </w:p>
    <w:p w:rsidR="00F355CC" w:rsidRDefault="00B8555E">
      <w:pPr>
        <w:pStyle w:val="en5"/>
      </w:pPr>
      <w:r>
        <w:t>Chapter IV Reducing Emissions and Rationalizing the Use of Specified Substances, etc. (Art</w:t>
      </w:r>
      <w:r>
        <w:t>icles 19 and 20)</w:t>
      </w:r>
    </w:p>
    <w:p w:rsidR="00F355CC" w:rsidRDefault="00B8555E">
      <w:pPr>
        <w:pStyle w:val="en5"/>
      </w:pPr>
      <w:r>
        <w:t>Chapter V Miscellaneous Provisions (Articles 21 to 29)</w:t>
      </w:r>
    </w:p>
    <w:p w:rsidR="00F355CC" w:rsidRDefault="00B8555E">
      <w:pPr>
        <w:pStyle w:val="en5"/>
      </w:pPr>
      <w:r>
        <w:t>Chapter VI Penal Provisions (Articles 30 to 34)</w:t>
      </w:r>
    </w:p>
    <w:p w:rsidR="00F355CC" w:rsidRDefault="00B8555E">
      <w:pPr>
        <w:pStyle w:val="enc"/>
      </w:pPr>
      <w:r>
        <w:t>Supplementary Provisions</w:t>
      </w:r>
    </w:p>
    <w:p w:rsidR="00F355CC" w:rsidRDefault="00F355CC"/>
    <w:p w:rsidR="00F355CC" w:rsidRDefault="00B8555E">
      <w:pPr>
        <w:pStyle w:val="en3"/>
      </w:pPr>
      <w:r>
        <w:t>Chapter I General Provisions</w:t>
      </w:r>
    </w:p>
    <w:p w:rsidR="00F355CC" w:rsidRDefault="00F355CC"/>
    <w:p w:rsidR="00F355CC" w:rsidRDefault="00B8555E">
      <w:pPr>
        <w:pStyle w:val="ena"/>
      </w:pPr>
      <w:r>
        <w:t>(Purpose)</w:t>
      </w:r>
    </w:p>
    <w:p w:rsidR="00F355CC" w:rsidRDefault="00B8555E">
      <w:pPr>
        <w:pStyle w:val="enf3"/>
      </w:pPr>
      <w:r>
        <w:t>Article 1  The purpose of this Act is, with a view to protecting the o</w:t>
      </w:r>
      <w:r>
        <w:t xml:space="preserve">zone layer through international cooperation while paying attention to the potential impact on the climate, to set in place measures, etc. for controlling the manufacture, reducing the emissions, and rationalizing the use of specified substances, etc., in </w:t>
      </w:r>
      <w:r>
        <w:t>order to ensure the appropriate and smooth implementation of the Vienna Convention for the Protection of the Ozone Layer (hereinafter referred to as "the Convention") and the Montreal Protocol on Substances that Deplete the Ozone Layer (hereinafter referre</w:t>
      </w:r>
      <w:r>
        <w:t>d to as "the protocol"), thereby contributing to protecting people's health and conserving the living environment.</w:t>
      </w:r>
    </w:p>
    <w:p w:rsidR="00F355CC" w:rsidRDefault="00F355CC"/>
    <w:p w:rsidR="00F355CC" w:rsidRDefault="00B8555E">
      <w:pPr>
        <w:pStyle w:val="ena"/>
      </w:pPr>
      <w:r>
        <w:t>(Definitions)</w:t>
      </w:r>
    </w:p>
    <w:p w:rsidR="00F355CC" w:rsidRDefault="00B8555E">
      <w:pPr>
        <w:pStyle w:val="enf3"/>
      </w:pPr>
      <w:r>
        <w:t>Article 2  (1) The term "specified substance" as used in this Act means a substance which depletes the ozone layer and which i</w:t>
      </w:r>
      <w:r>
        <w:t>s specified by Cabinet Order.</w:t>
      </w:r>
    </w:p>
    <w:p w:rsidR="00F355CC" w:rsidRDefault="00B8555E">
      <w:pPr>
        <w:pStyle w:val="enf4"/>
      </w:pPr>
      <w:r>
        <w:t>(2) The term "specified substance, etc." as used in this Act means a specified substance and an alternative substance to a specified substance (meaning a substance which is alternative to a specified substance and which is spe</w:t>
      </w:r>
      <w:r>
        <w:t xml:space="preserve">cified by Cabinet Order as having a serious impact on global warming; the same </w:t>
      </w:r>
      <w:r>
        <w:lastRenderedPageBreak/>
        <w:t>applies in paragraph (4), item (ii)).</w:t>
      </w:r>
    </w:p>
    <w:p w:rsidR="00F355CC" w:rsidRDefault="00B8555E">
      <w:pPr>
        <w:pStyle w:val="enf4"/>
      </w:pPr>
      <w:r>
        <w:t>(3) The types of specified substances, etc. under this Act are specified by Cabinet Order.</w:t>
      </w:r>
    </w:p>
    <w:p w:rsidR="00F355CC" w:rsidRDefault="00B8555E">
      <w:pPr>
        <w:pStyle w:val="enf4"/>
      </w:pPr>
      <w:r>
        <w:t xml:space="preserve">(3) The quantity of a specified substance, etc. </w:t>
      </w:r>
      <w:r>
        <w:t>under this Act is the quantity arrived at by multiplying the amount of the specified substance, etc. by the coefficient specified in the following items for each category of the specified substance, etc. set forth in the respective items:</w:t>
      </w:r>
    </w:p>
    <w:p w:rsidR="00F355CC" w:rsidRDefault="00B8555E">
      <w:pPr>
        <w:pStyle w:val="enf6"/>
      </w:pPr>
      <w:r>
        <w:t>(i) specified sub</w:t>
      </w:r>
      <w:r>
        <w:t>stance: the ozone depletion coefficient specified by Cabinet Order; and</w:t>
      </w:r>
    </w:p>
    <w:p w:rsidR="00F355CC" w:rsidRDefault="00B8555E">
      <w:pPr>
        <w:pStyle w:val="enf6"/>
      </w:pPr>
      <w:r>
        <w:t>(ii) alternative substance to a specified substance: the global warming coefficient specified by Cabinet Order.</w:t>
      </w:r>
    </w:p>
    <w:p w:rsidR="00F355CC" w:rsidRDefault="00B8555E">
      <w:pPr>
        <w:pStyle w:val="enf4"/>
      </w:pPr>
      <w:r>
        <w:t>(5) The Cabinet Order set forth in the preceding paragraphs is establish</w:t>
      </w:r>
      <w:r>
        <w:t>ed in accordance with the provisions of the protocol.</w:t>
      </w:r>
    </w:p>
    <w:p w:rsidR="00F355CC" w:rsidRDefault="00F355CC"/>
    <w:p w:rsidR="00F355CC" w:rsidRDefault="00B8555E">
      <w:pPr>
        <w:pStyle w:val="ena"/>
      </w:pPr>
      <w:r>
        <w:t>(Publication of Fundamental Matters, etc.)</w:t>
      </w:r>
    </w:p>
    <w:p w:rsidR="00F355CC" w:rsidRDefault="00B8555E">
      <w:pPr>
        <w:pStyle w:val="enf3"/>
      </w:pPr>
      <w:r>
        <w:t xml:space="preserve">Article 3  (1) The Minister of Economy, Trade and Industry and the Minister of the Environment, in order to ensure the appropriate and smooth </w:t>
      </w:r>
      <w:r>
        <w:t>implementation of the Convention and the protocol, must establish the following matters and publish them; the same applies when they have changed any such matters:</w:t>
      </w:r>
    </w:p>
    <w:p w:rsidR="00F355CC" w:rsidRDefault="00B8555E">
      <w:pPr>
        <w:pStyle w:val="enf6"/>
      </w:pPr>
      <w:r>
        <w:t>(i) the standardized limits for the levels of production and consumption (meaning the calcul</w:t>
      </w:r>
      <w:r>
        <w:t>ated levels of production and consumption prescribed in the protocol; the same applies hereinafter) of each type of specified substance, etc., which Japan must observe based on the provisions of the protocol;</w:t>
      </w:r>
    </w:p>
    <w:p w:rsidR="00F355CC" w:rsidRDefault="00B8555E">
      <w:pPr>
        <w:pStyle w:val="enf6"/>
      </w:pPr>
      <w:r>
        <w:t>(ii) important matters involving the disseminat</w:t>
      </w:r>
      <w:r>
        <w:t>ion of information on the significance of protecting the ozone layer and implementation of any other policies for seeking the understanding and cooperation from the people with regard to the protection of the ozone layer; and</w:t>
      </w:r>
    </w:p>
    <w:p w:rsidR="00F355CC" w:rsidRDefault="00B8555E">
      <w:pPr>
        <w:pStyle w:val="enf6"/>
      </w:pPr>
      <w:r>
        <w:t>(iii) beyond what is set forth</w:t>
      </w:r>
      <w:r>
        <w:t xml:space="preserve"> in the preceding item, important matters involving the implementation of policies on the protection of the ozone layer.</w:t>
      </w:r>
    </w:p>
    <w:p w:rsidR="00F355CC" w:rsidRDefault="00B8555E">
      <w:pPr>
        <w:pStyle w:val="enf4"/>
      </w:pPr>
      <w:r>
        <w:t>(2) The Minister of Economy, Trade and Industry is to publish the actual figures for the level of production, the level of consumption,</w:t>
      </w:r>
      <w:r>
        <w:t xml:space="preserve"> and other quantities of specified substances, etc. specified by Order of the Ministry of Economy, Trade and Industry, for each type of substance and for each control year set forth in paragraph (1) of the following Article.</w:t>
      </w:r>
    </w:p>
    <w:p w:rsidR="00F355CC" w:rsidRDefault="00F355CC"/>
    <w:p w:rsidR="00F355CC" w:rsidRDefault="00B8555E">
      <w:pPr>
        <w:pStyle w:val="en3"/>
      </w:pPr>
      <w:r>
        <w:t>Chapter II Controls on the Man</w:t>
      </w:r>
      <w:r>
        <w:t>ufacture, etc. of Specified Substances, etc.</w:t>
      </w:r>
    </w:p>
    <w:p w:rsidR="00F355CC" w:rsidRDefault="00F355CC"/>
    <w:p w:rsidR="00F355CC" w:rsidRDefault="00B8555E">
      <w:pPr>
        <w:pStyle w:val="ena"/>
      </w:pPr>
      <w:r>
        <w:t>(Permission for the Quantity to be Manufactured)</w:t>
      </w:r>
    </w:p>
    <w:p w:rsidR="00F355CC" w:rsidRDefault="00B8555E">
      <w:pPr>
        <w:pStyle w:val="enf3"/>
      </w:pPr>
      <w:r>
        <w:t xml:space="preserve">Article 4  (1) A person who seeks to manufacture specified substances, etc., for each type of substance and for each control year (meaning the period specified </w:t>
      </w:r>
      <w:r>
        <w:lastRenderedPageBreak/>
        <w:t>b</w:t>
      </w:r>
      <w:r>
        <w:t xml:space="preserve">y Order of the Ministry of Economy, Trade and Industry for each type of specified substance, in accordance with the provisions of the protocol; the same applies hereinafter), must receive permission from the Minister of Economy, Trade and Industry for the </w:t>
      </w:r>
      <w:r>
        <w:t>quantity of the specified substance, etc. the person seeks to manufacture during the relevant control year; provided, however, that this does not apply in any of the following cases:</w:t>
      </w:r>
    </w:p>
    <w:p w:rsidR="00F355CC" w:rsidRDefault="00B8555E">
      <w:pPr>
        <w:pStyle w:val="enf6"/>
      </w:pPr>
      <w:r>
        <w:t>(i) when a person who has received the permission set forth in Article 5-</w:t>
      </w:r>
      <w:r>
        <w:t>2, paragraph (1) manufactures the permitted specified substance, etc. in a quantity not exceeding the permitted quantity;</w:t>
      </w:r>
    </w:p>
    <w:p w:rsidR="00F355CC" w:rsidRDefault="00B8555E">
      <w:pPr>
        <w:pStyle w:val="enf6"/>
      </w:pPr>
      <w:r>
        <w:t xml:space="preserve">(ii) when a person who has received the confirmation set forth in Article 11, paragraph (1) or Article 12, paragraph (1) manufactures </w:t>
      </w:r>
      <w:r>
        <w:t>the confirmed type of specified substance, etc. in a quantity not exceeding the confirmed quantity;</w:t>
      </w:r>
    </w:p>
    <w:p w:rsidR="00F355CC" w:rsidRDefault="00B8555E">
      <w:pPr>
        <w:pStyle w:val="enf6"/>
      </w:pPr>
      <w:r>
        <w:t>(iii) when a person who has received the confirmation set forth in Article 13, paragraph (1) manufactures the confirmed specified substance, etc. in a quant</w:t>
      </w:r>
      <w:r>
        <w:t>ity not exceeding the confirmed quantity; or</w:t>
      </w:r>
    </w:p>
    <w:p w:rsidR="00F355CC" w:rsidRDefault="00B8555E">
      <w:pPr>
        <w:pStyle w:val="enf6"/>
      </w:pPr>
      <w:r>
        <w:t>(iv) when a person manufactures a specified substance, etc. in a quantity not exceeding the fixed quantity specified by Cabinet Order.</w:t>
      </w:r>
    </w:p>
    <w:p w:rsidR="00F355CC" w:rsidRDefault="00B8555E">
      <w:pPr>
        <w:pStyle w:val="enf4"/>
      </w:pPr>
      <w:r>
        <w:t xml:space="preserve">(2) A person who seeks to receive the permission set forth in the preceding </w:t>
      </w:r>
      <w:r>
        <w:t>paragraph must submit a written application detailing the following particulars to the Minister of Economy, Trade and Industry within the period of which the Minister issues a public notice:</w:t>
      </w:r>
    </w:p>
    <w:p w:rsidR="00F355CC" w:rsidRDefault="00B8555E">
      <w:pPr>
        <w:pStyle w:val="enf6"/>
      </w:pPr>
      <w:r>
        <w:t>(i) the name and address of the applicant, and if the applicant i</w:t>
      </w:r>
      <w:r>
        <w:t>s a corporation, the name of its representative;</w:t>
      </w:r>
    </w:p>
    <w:p w:rsidR="00F355CC" w:rsidRDefault="00B8555E">
      <w:pPr>
        <w:pStyle w:val="enf6"/>
      </w:pPr>
      <w:r>
        <w:t>(ii) the quantity in which the applicant seeks to manufacture the specified substance after receiving the permission set forth in the preceding paragraph;</w:t>
      </w:r>
    </w:p>
    <w:p w:rsidR="00F355CC" w:rsidRDefault="00B8555E">
      <w:pPr>
        <w:pStyle w:val="enf6"/>
      </w:pPr>
      <w:r>
        <w:t>(iii) the place of manufacture and storage;</w:t>
      </w:r>
    </w:p>
    <w:p w:rsidR="00F355CC" w:rsidRDefault="00B8555E">
      <w:pPr>
        <w:pStyle w:val="enf6"/>
      </w:pPr>
      <w:r>
        <w:t>(iv) the</w:t>
      </w:r>
      <w:r>
        <w:t xml:space="preserve"> structure and capacity of the manufacturing facility;</w:t>
      </w:r>
    </w:p>
    <w:p w:rsidR="00F355CC" w:rsidRDefault="00B8555E">
      <w:pPr>
        <w:pStyle w:val="enf6"/>
      </w:pPr>
      <w:r>
        <w:t xml:space="preserve">(v) the quantity of the specified substance, etc. to be manufactured by the applicant which is expected to be exported during the control year (referred to as the "planned quantity to be exported " in </w:t>
      </w:r>
      <w:r>
        <w:t>Article 8, paragraph (ii)) and its point of destination; and</w:t>
      </w:r>
    </w:p>
    <w:p w:rsidR="00F355CC" w:rsidRDefault="00B8555E">
      <w:pPr>
        <w:pStyle w:val="enf6"/>
      </w:pPr>
      <w:r>
        <w:t>(vi) other particulars specified by Order of the Ministry of Economy, Trade and Industry.</w:t>
      </w:r>
    </w:p>
    <w:p w:rsidR="00F355CC" w:rsidRDefault="00B8555E">
      <w:pPr>
        <w:pStyle w:val="enf4"/>
      </w:pPr>
      <w:r>
        <w:t>(3) A person who seeks to manufacture a specified substance, etc. in a quantity not exceeding the fixed q</w:t>
      </w:r>
      <w:r>
        <w:t>uantity specified by Cabinet Order which is set forth in paragraph (1), item (iv) must notify the Minister of Economy, Trade and Industry of the quantity to be manufactured, pursuant to the provisions of an Order of the Ministry of Economy, Trade and Indus</w:t>
      </w:r>
      <w:r>
        <w:t>try.</w:t>
      </w:r>
    </w:p>
    <w:p w:rsidR="00F355CC" w:rsidRDefault="00F355CC"/>
    <w:p w:rsidR="00F355CC" w:rsidRDefault="00B8555E">
      <w:pPr>
        <w:pStyle w:val="ena"/>
      </w:pPr>
      <w:r>
        <w:t>(Designation of the Quantity to be Manufactured for Export)</w:t>
      </w:r>
    </w:p>
    <w:p w:rsidR="00F355CC" w:rsidRDefault="00B8555E">
      <w:pPr>
        <w:pStyle w:val="enf3"/>
      </w:pPr>
      <w:r>
        <w:t>Article 5  (1) The Minister of Economy, Trade and Industry, when giving the permission set forth in paragraph (1) of the preceding Article, may designate all or part of the quantity for whic</w:t>
      </w:r>
      <w:r>
        <w:t>h permission is given as the quantity to be manufactured for export.</w:t>
      </w:r>
    </w:p>
    <w:p w:rsidR="00F355CC" w:rsidRDefault="00B8555E">
      <w:pPr>
        <w:pStyle w:val="enf4"/>
      </w:pPr>
      <w:r>
        <w:t>(2) The Minister of Economy, Trade and Industry specifies the point of destination when designating the quantity to be manufactured for export under the provisions of the preceding paragr</w:t>
      </w:r>
      <w:r>
        <w:t>aph.</w:t>
      </w:r>
    </w:p>
    <w:p w:rsidR="00F355CC" w:rsidRDefault="00B8555E">
      <w:pPr>
        <w:pStyle w:val="enf4"/>
      </w:pPr>
      <w:r>
        <w:t>(3) The Minister of Economy, Trade and Industry, based on an application filed by a person who has received the designation under the provisions of paragraph (1), may make a change to the designation.</w:t>
      </w:r>
    </w:p>
    <w:p w:rsidR="00F355CC" w:rsidRDefault="00B8555E">
      <w:pPr>
        <w:pStyle w:val="enf4"/>
      </w:pPr>
      <w:r>
        <w:t xml:space="preserve">(4) When a designation has been made under the </w:t>
      </w:r>
      <w:r>
        <w:t>provisions of paragraph (1), the person who has received the designation must ensure that, in manufacturing the specified substance, etc. in the quantity to be manufactured for export, the quantity manufactured does not exceed the fixed export quantity (me</w:t>
      </w:r>
      <w:r>
        <w:t>aning the quantity of the specified substance, etc. (limited to the type of substance under the designation) manufactured by the relevant person for which the Minister of Economy, Trade and Industry has given confirmation, pursuant to the provisions of Ord</w:t>
      </w:r>
      <w:r>
        <w:t>er of the Ministry of Economy, Trade and Industry, that the substance has been exported or is certain to be exported to the point of destination under the designation set forth in the relevant paragraph during the relevant control year) as of the time of m</w:t>
      </w:r>
      <w:r>
        <w:t>anufacture.</w:t>
      </w:r>
    </w:p>
    <w:p w:rsidR="00F355CC" w:rsidRDefault="00B8555E">
      <w:pPr>
        <w:pStyle w:val="enf4"/>
      </w:pPr>
      <w:r>
        <w:t>(5) The procedures for filing the application set forth in paragraph (3) are specified by Order of the Ministry of Economy, Trade and Industry.</w:t>
      </w:r>
    </w:p>
    <w:p w:rsidR="00F355CC" w:rsidRDefault="00F355CC"/>
    <w:p w:rsidR="00F355CC" w:rsidRDefault="00B8555E">
      <w:pPr>
        <w:pStyle w:val="ena"/>
      </w:pPr>
      <w:r>
        <w:t>(Permission for the Quantity to be Manufactured for Each Specified Substance, etc.)</w:t>
      </w:r>
    </w:p>
    <w:p w:rsidR="00F355CC" w:rsidRDefault="00B8555E">
      <w:pPr>
        <w:pStyle w:val="enf3"/>
      </w:pPr>
      <w:r>
        <w:t>Article 5-2  (1</w:t>
      </w:r>
      <w:r>
        <w:t>) In addition to the permission set forth in Article 4, paragraph (1), if the Minister of Economy, Trade and Industry finds it necessary in order to ensure the appropriate implementation of the protocol, the Minister may give permission in terms of each sp</w:t>
      </w:r>
      <w:r>
        <w:t>ecified substance, etc. and for each control year for the quantities of specified substance, etc. any person seeks to manufacture during the relevant control year.</w:t>
      </w:r>
    </w:p>
    <w:p w:rsidR="00F355CC" w:rsidRDefault="00B8555E">
      <w:pPr>
        <w:pStyle w:val="enf4"/>
      </w:pPr>
      <w:r>
        <w:t xml:space="preserve">(2) When the Minister of Economy, Trade and Industry seeks to give permission in terms of </w:t>
      </w:r>
      <w:r>
        <w:t>the quantity to be manufactured for each specified substance, etc. under the provisions of the preceding paragraph, the Minister is to issue a public notice to that effect.</w:t>
      </w:r>
    </w:p>
    <w:p w:rsidR="00F355CC" w:rsidRDefault="00B8555E">
      <w:pPr>
        <w:pStyle w:val="enf4"/>
      </w:pPr>
      <w:r>
        <w:t>(3) The provisions of Article 4, paragraph (2) apply mutatis mutandis to the permis</w:t>
      </w:r>
      <w:r>
        <w:t>sion set forth in paragraph (1).</w:t>
      </w:r>
    </w:p>
    <w:p w:rsidR="00F355CC" w:rsidRDefault="00F355CC"/>
    <w:p w:rsidR="00F355CC" w:rsidRDefault="00B8555E">
      <w:pPr>
        <w:pStyle w:val="ena"/>
      </w:pPr>
      <w:r>
        <w:t>(Approval for Import)</w:t>
      </w:r>
    </w:p>
    <w:p w:rsidR="00F355CC" w:rsidRDefault="00B8555E">
      <w:pPr>
        <w:pStyle w:val="enf3"/>
      </w:pPr>
      <w:r>
        <w:t>Article 6  A person who seeks to import a specified substance, etc. is placed under the obligation to receive approval for import pursuant to the provisions of Article 52 of the Foreign Exchange and F</w:t>
      </w:r>
      <w:r>
        <w:t>oreign Trade Act (Act No. 228 of 1949).</w:t>
      </w:r>
    </w:p>
    <w:p w:rsidR="00F355CC" w:rsidRDefault="00F355CC"/>
    <w:p w:rsidR="00F355CC" w:rsidRDefault="00B8555E">
      <w:pPr>
        <w:pStyle w:val="ena"/>
      </w:pPr>
      <w:r>
        <w:t>(Standards for Permission, etc.)</w:t>
      </w:r>
    </w:p>
    <w:p w:rsidR="00F355CC" w:rsidRDefault="00B8555E">
      <w:pPr>
        <w:pStyle w:val="enf3"/>
      </w:pPr>
      <w:r>
        <w:t>Article 7  When the Minister of Economy, Trade and Industry reaches a disposition concerning the permission set forth in Article 4, paragraph (1) or Article 5-2, paragraph (1), a des</w:t>
      </w:r>
      <w:r>
        <w:t>ignation under the provisions of Article 5, paragraph (1) or a change under the provisions of paragraph (3) of the relevant Article, or an approval for import set forth in the preceding Article, the Minister must ensure that the level of production and lev</w:t>
      </w:r>
      <w:r>
        <w:t>el of consumption of each type of specified substance, etc. in Japan does not exceed the limits that Japan must observe based on the provisions of the protocol, and is to give consideration to the status and trends of the manufacture, import, export, and a</w:t>
      </w:r>
      <w:r>
        <w:t>ny other circumstances regarding the specified substances, etc.</w:t>
      </w:r>
    </w:p>
    <w:p w:rsidR="00F355CC" w:rsidRDefault="00F355CC"/>
    <w:p w:rsidR="00F355CC" w:rsidRDefault="00B8555E">
      <w:pPr>
        <w:pStyle w:val="ena"/>
      </w:pPr>
      <w:r>
        <w:t>(Permission for an Increase in the Permitted Quantity to be Manufactured)</w:t>
      </w:r>
    </w:p>
    <w:p w:rsidR="00F355CC" w:rsidRDefault="00B8555E">
      <w:pPr>
        <w:pStyle w:val="enf3"/>
      </w:pPr>
      <w:r>
        <w:t>Article 8  (1) A person who has received the permission set forth in Article 4, paragraph (1) or Article 5-2, paragra</w:t>
      </w:r>
      <w:r>
        <w:t>ph (1) (hereinafter referred to as a "permitted manufacturer"), within the control year under permission and within the period of which the Minister of Economy, Trade and Industry issues public notice, may file an application for permission for an increase</w:t>
      </w:r>
      <w:r>
        <w:t xml:space="preserve"> in the quantity subject to the permission set forth in Article 4, paragraph (1) or Article 5-2, paragraph (1) (hereinafter referred to as the "permitted quantity to be manufactured").</w:t>
      </w:r>
    </w:p>
    <w:p w:rsidR="00F355CC" w:rsidRDefault="00B8555E">
      <w:pPr>
        <w:pStyle w:val="enf4"/>
      </w:pPr>
      <w:r>
        <w:t>(2) The application under the provisions of the preceding paragraph mus</w:t>
      </w:r>
      <w:r>
        <w:t>t be submitted to the Minister of Economy, Trade and Industry as a written application that details the following particulars:</w:t>
      </w:r>
    </w:p>
    <w:p w:rsidR="00F355CC" w:rsidRDefault="00B8555E">
      <w:pPr>
        <w:pStyle w:val="enf6"/>
      </w:pPr>
      <w:r>
        <w:t>(i) the name and address of the applicant, and if the applicant is a corporation, the name of its representative;</w:t>
      </w:r>
    </w:p>
    <w:p w:rsidR="00F355CC" w:rsidRDefault="00B8555E">
      <w:pPr>
        <w:pStyle w:val="enf6"/>
      </w:pPr>
      <w:r>
        <w:t>(ii) the desire</w:t>
      </w:r>
      <w:r>
        <w:t>d increase in the permitted quantity to be manufactured;</w:t>
      </w:r>
    </w:p>
    <w:p w:rsidR="00F355CC" w:rsidRDefault="00B8555E">
      <w:pPr>
        <w:pStyle w:val="enf6"/>
      </w:pPr>
      <w:r>
        <w:t>(iii) the planned quantity to be exported and its point of destination; and</w:t>
      </w:r>
    </w:p>
    <w:p w:rsidR="00F355CC" w:rsidRDefault="00B8555E">
      <w:pPr>
        <w:pStyle w:val="enf6"/>
      </w:pPr>
      <w:r>
        <w:t>(iv) other particulars specified by Order of the Ministry of Economy, Trade and Industry.</w:t>
      </w:r>
    </w:p>
    <w:p w:rsidR="00F355CC" w:rsidRDefault="00B8555E">
      <w:pPr>
        <w:pStyle w:val="enf4"/>
      </w:pPr>
      <w:r>
        <w:t>(3) The provisions of Article 5 a</w:t>
      </w:r>
      <w:r>
        <w:t>nd the preceding Article apply mutatis mutandis to the permission for an increase set forth in paragraph (1).</w:t>
      </w:r>
    </w:p>
    <w:p w:rsidR="00F355CC" w:rsidRDefault="00F355CC"/>
    <w:p w:rsidR="00F355CC" w:rsidRDefault="00B8555E">
      <w:pPr>
        <w:pStyle w:val="ena"/>
      </w:pPr>
      <w:r>
        <w:t>(Notification of a Change in the Permitted Manufacturer, etc.)</w:t>
      </w:r>
    </w:p>
    <w:p w:rsidR="00F355CC" w:rsidRDefault="00B8555E">
      <w:pPr>
        <w:pStyle w:val="enf3"/>
      </w:pPr>
      <w:r>
        <w:t xml:space="preserve">Article 9  (1) A permitted manufacturer, if there has been a change in any of the </w:t>
      </w:r>
      <w:r>
        <w:t>particulars listed in Article 4, paragraph (1), item (i), (iii), or (iv) (including as applied mutatis mutandis pursuant to Article 5-2, paragraph (3)), must notify the Minister of Economy, Trade and Industry to that effect without delay, pursuant to the p</w:t>
      </w:r>
      <w:r>
        <w:t>rovisions of Order of the Ministry of Economy, Trade and Industry.</w:t>
      </w:r>
    </w:p>
    <w:p w:rsidR="00F355CC" w:rsidRDefault="00B8555E">
      <w:pPr>
        <w:pStyle w:val="enf4"/>
      </w:pPr>
      <w:r>
        <w:t>(2) If it has become certain that the quantity of a specified substance, etc. that a permitted manufacturer seeks to manufacture during the control year under permission (hereinafter referr</w:t>
      </w:r>
      <w:r>
        <w:t>ed to as the "planned quantity to be manufactured") will fall below the permitted quantity to be manufactured (or, if a disposition has been reached to give permission for the increase as set forth in paragraph (1) of the preceding Article, to make a reduc</w:t>
      </w:r>
      <w:r>
        <w:t>tion under the provisions of Article 16, paragraph (1), or to make a decrease under the provisions of paragraph (2) of the relevant Article, the quantity as changed by such disposition), the permitted manufacturer must notify the Minister of Economy, Trade</w:t>
      </w:r>
      <w:r>
        <w:t xml:space="preserve"> and Industry of the planned quantity to be manufactured without delay, pursuant to the provisions of Order of the Ministry of Economy, Trade and Industry.</w:t>
      </w:r>
    </w:p>
    <w:p w:rsidR="00F355CC" w:rsidRDefault="00B8555E">
      <w:pPr>
        <w:pStyle w:val="enf4"/>
      </w:pPr>
      <w:r>
        <w:t>(3) When a notification under the provisions of the preceding paragraph has been made, the permitted</w:t>
      </w:r>
      <w:r>
        <w:t xml:space="preserve"> quantity to be manufactured of the person that made the notification is changed to the planned quantity to be manufactured under the notification.</w:t>
      </w:r>
    </w:p>
    <w:p w:rsidR="00F355CC" w:rsidRDefault="00F355CC"/>
    <w:p w:rsidR="00F355CC" w:rsidRDefault="00B8555E">
      <w:pPr>
        <w:pStyle w:val="ena"/>
      </w:pPr>
      <w:r>
        <w:t>(Conditions on Permission)</w:t>
      </w:r>
    </w:p>
    <w:p w:rsidR="00F355CC" w:rsidRDefault="00B8555E">
      <w:pPr>
        <w:pStyle w:val="enf3"/>
      </w:pPr>
      <w:r>
        <w:t xml:space="preserve">Article 10  (1) Conditions may be attached to the permission set forth in </w:t>
      </w:r>
      <w:r>
        <w:t>Article 4, paragraph (1) or Article 5-2, paragraph (1) or to the permission for an increase set forth in Article 8, paragraph (1), and such conditions may be changed.</w:t>
      </w:r>
    </w:p>
    <w:p w:rsidR="00F355CC" w:rsidRDefault="00B8555E">
      <w:pPr>
        <w:pStyle w:val="enf4"/>
      </w:pPr>
      <w:r>
        <w:t>(2) The conditions referred to in the preceding paragraph must constitute the minimum ext</w:t>
      </w:r>
      <w:r>
        <w:t>ent of conditions necessary for ensuring the appropriate and smooth implementation of the protocol or for achieving the secure implementation of the particulars of the permission, and must not impose any unreasonable obligation on the person who receives t</w:t>
      </w:r>
      <w:r>
        <w:t>he permission.</w:t>
      </w:r>
    </w:p>
    <w:p w:rsidR="00F355CC" w:rsidRDefault="00F355CC"/>
    <w:p w:rsidR="00F355CC" w:rsidRDefault="00B8555E">
      <w:pPr>
        <w:pStyle w:val="ena"/>
      </w:pPr>
      <w:r>
        <w:t>(Confirmation of the Quantity to be Manufactured)</w:t>
      </w:r>
    </w:p>
    <w:p w:rsidR="00F355CC" w:rsidRDefault="00B8555E">
      <w:pPr>
        <w:pStyle w:val="enf3"/>
      </w:pPr>
      <w:r>
        <w:t>Article 11  (1) A person who seeks to manufacture a specified substance, etc., for each type of substance and for each control year, may prove, pursuant to the provisions of Order of the Min</w:t>
      </w:r>
      <w:r>
        <w:t>istry of Economy, Trade and Industry, that the specified substance, etc. has been destroyed or is certain to be destroyed during the control year in accordance with the standards specified by Order of the Ministry of Economy, Trade and Industry and Order o</w:t>
      </w:r>
      <w:r>
        <w:t xml:space="preserve">f the Ministry of the Environment, and receive confirmation from the Minister of Economy, Trade and Industry that the relevant person may manufacture the specified substance, etc. (limited to the type of substance for which the person has given the proof) </w:t>
      </w:r>
      <w:r>
        <w:t>in the quantity for which the relevant person has given that proof.</w:t>
      </w:r>
    </w:p>
    <w:p w:rsidR="00F355CC" w:rsidRDefault="00B8555E">
      <w:pPr>
        <w:pStyle w:val="enf4"/>
      </w:pPr>
      <w:r>
        <w:t>(2) A person who seeks to receive the confirmation set forth in the preceding paragraph, for each type of specified substance, etc., must submit a written application detailing the followi</w:t>
      </w:r>
      <w:r>
        <w:t>ng particulars and accompanied by documents giving the proof under the provisions of the relevant paragraph, to the Minister of Economy, Trade and Industry:</w:t>
      </w:r>
    </w:p>
    <w:p w:rsidR="00F355CC" w:rsidRDefault="00B8555E">
      <w:pPr>
        <w:pStyle w:val="enf6"/>
      </w:pPr>
      <w:r>
        <w:t>(i) the name and address of the applicant, and if the applicant is a corporation, the name of its r</w:t>
      </w:r>
      <w:r>
        <w:t>epresentative;</w:t>
      </w:r>
    </w:p>
    <w:p w:rsidR="00F355CC" w:rsidRDefault="00B8555E">
      <w:pPr>
        <w:pStyle w:val="enf6"/>
      </w:pPr>
      <w:r>
        <w:t>(ii) the name and address of the person who has destroyed or is certain to destroy the substance, and if the relevant person is a corporation, the name of its representative;</w:t>
      </w:r>
    </w:p>
    <w:p w:rsidR="00F355CC" w:rsidRDefault="00B8555E">
      <w:pPr>
        <w:pStyle w:val="enf6"/>
      </w:pPr>
      <w:r>
        <w:t>(iii) the quantity of the substance that has been or is certain to</w:t>
      </w:r>
      <w:r>
        <w:t xml:space="preserve"> be destroyed, and the place and date of its destruction;</w:t>
      </w:r>
    </w:p>
    <w:p w:rsidR="00F355CC" w:rsidRDefault="00B8555E">
      <w:pPr>
        <w:pStyle w:val="enf6"/>
      </w:pPr>
      <w:r>
        <w:t>(iv) the place of manufacture and storage of the specified substance, etc. the applicant seeks to manufacture; and</w:t>
      </w:r>
    </w:p>
    <w:p w:rsidR="00F355CC" w:rsidRDefault="00B8555E">
      <w:pPr>
        <w:pStyle w:val="enf6"/>
      </w:pPr>
      <w:r>
        <w:t>(v) other particulars specified by Order of the Ministry of Economy, Trade and Indu</w:t>
      </w:r>
      <w:r>
        <w:t>stry.</w:t>
      </w:r>
    </w:p>
    <w:p w:rsidR="00F355CC" w:rsidRDefault="00F355CC"/>
    <w:p w:rsidR="00F355CC" w:rsidRDefault="00B8555E">
      <w:pPr>
        <w:pStyle w:val="enf3"/>
      </w:pPr>
      <w:r>
        <w:t>Article 12  (1) A person who seeks to manufacture a specified substance, etc., for each type of substance and for each control year, may prove, pursuant to the provisions of Order of the Ministry of Economy, Trade and Industry, that the specified su</w:t>
      </w:r>
      <w:r>
        <w:t>bstance, etc. has been used or is certain to be used as a raw material in the manufacturing process of a substance other than the relevant specified substance, etc. (excluding a mixture of the specified substance, etc. and a substance other than the releva</w:t>
      </w:r>
      <w:r>
        <w:t>nt specified substance, etc.) during the control year, and receive confirmation from the Minister of Economy, Trade and Industry that relevant person may manufacture the specified substance, etc. (limited to the type of substance for which the person has g</w:t>
      </w:r>
      <w:r>
        <w:t>iven the proof) in the quantity or which the relevant person has given that proof.</w:t>
      </w:r>
    </w:p>
    <w:p w:rsidR="00F355CC" w:rsidRDefault="00B8555E">
      <w:pPr>
        <w:pStyle w:val="enf4"/>
      </w:pPr>
      <w:r>
        <w:t>(2) A person who seeks to receive the confirmation set forth in the preceding paragraph, for each type of specified substance, etc., must submit a written application detail</w:t>
      </w:r>
      <w:r>
        <w:t>ing the following particulars and accompanied by documents giving the proof under the provisions of the relevant paragraph to the Minister of Economy, Trade and Industry:</w:t>
      </w:r>
    </w:p>
    <w:p w:rsidR="00F355CC" w:rsidRDefault="00B8555E">
      <w:pPr>
        <w:pStyle w:val="enf6"/>
      </w:pPr>
      <w:r>
        <w:t>(i) the name and address of the applicant, and if the applicant is a corporation, the</w:t>
      </w:r>
      <w:r>
        <w:t xml:space="preserve"> name of its representative;</w:t>
      </w:r>
    </w:p>
    <w:p w:rsidR="00F355CC" w:rsidRDefault="00B8555E">
      <w:pPr>
        <w:pStyle w:val="enf6"/>
      </w:pPr>
      <w:r>
        <w:t>(ii) the name and address of the person who has used or is certain to use the substance as a raw material, and if the relevant person is a corporation, the name of its representative;</w:t>
      </w:r>
    </w:p>
    <w:p w:rsidR="00F355CC" w:rsidRDefault="00B8555E">
      <w:pPr>
        <w:pStyle w:val="enf6"/>
      </w:pPr>
      <w:r>
        <w:t>(iii) the quantity of the substance that ha</w:t>
      </w:r>
      <w:r>
        <w:t>s been or is certain to be used as a raw material, and the place and date of its use as a raw material;</w:t>
      </w:r>
    </w:p>
    <w:p w:rsidR="00F355CC" w:rsidRDefault="00B8555E">
      <w:pPr>
        <w:pStyle w:val="enf6"/>
      </w:pPr>
      <w:r>
        <w:t>(iv) the place of manufacture and storage of the specified substance, etc. the applicant seeks to manufacture; and</w:t>
      </w:r>
    </w:p>
    <w:p w:rsidR="00F355CC" w:rsidRDefault="00B8555E">
      <w:pPr>
        <w:pStyle w:val="enf6"/>
      </w:pPr>
      <w:r>
        <w:t>(v) other particulars specified by Or</w:t>
      </w:r>
      <w:r>
        <w:t>der of the Ministry of Economy, Trade and Industry.</w:t>
      </w:r>
    </w:p>
    <w:p w:rsidR="00F355CC" w:rsidRDefault="00F355CC"/>
    <w:p w:rsidR="00F355CC" w:rsidRDefault="00B8555E">
      <w:pPr>
        <w:pStyle w:val="enf3"/>
      </w:pPr>
      <w:r>
        <w:t>Article 13  (1) A person who seeks to manufacture a specified substance, etc. prescribed by Cabinet Order, for each control year, may prove, pursuant to the provisions of an Order of the Ministry of Econ</w:t>
      </w:r>
      <w:r>
        <w:t>omy, Trade and Industry, that the specified substance, etc. has been used or is certain to be used for the purpose specified by Cabinet Order (hereinafter referred to as the "specified purpose" in this Article) during the control year, and receive confirma</w:t>
      </w:r>
      <w:r>
        <w:t>tion from the Minister of Economy, Trade and Industry that the relevant person may manufacture the specified substance, etc. in the quantity for which the person has given the proof.</w:t>
      </w:r>
    </w:p>
    <w:p w:rsidR="00F355CC" w:rsidRDefault="00B8555E">
      <w:pPr>
        <w:pStyle w:val="enf4"/>
      </w:pPr>
      <w:r>
        <w:t>(2) A person who seeks to receive the confirmation set forth in the prece</w:t>
      </w:r>
      <w:r>
        <w:t>ding paragraph, pursuant to the provisions of Order of the Ministry of Economy, Trade and Industry, must submit a written application detailing the following particulars and accompanied by documents giving the proof under the provisions of the relevant par</w:t>
      </w:r>
      <w:r>
        <w:t>agraph to the Minister of Economy, Trade and Industry:</w:t>
      </w:r>
    </w:p>
    <w:p w:rsidR="00F355CC" w:rsidRDefault="00B8555E">
      <w:pPr>
        <w:pStyle w:val="enf6"/>
      </w:pPr>
      <w:r>
        <w:t>(i) the name and address of the applicant, and if the applicant is a corporation, the name of its representative;</w:t>
      </w:r>
    </w:p>
    <w:p w:rsidR="00F355CC" w:rsidRDefault="00B8555E">
      <w:pPr>
        <w:pStyle w:val="enf6"/>
      </w:pPr>
      <w:r>
        <w:t xml:space="preserve">(ii) the quantity of the substance that has been used or is certain to be used for the </w:t>
      </w:r>
      <w:r>
        <w:t>specific purpose;</w:t>
      </w:r>
    </w:p>
    <w:p w:rsidR="00F355CC" w:rsidRDefault="00B8555E">
      <w:pPr>
        <w:pStyle w:val="enf6"/>
      </w:pPr>
      <w:r>
        <w:t>(iii) the place of manufacture and storage of the relevant specified substance, etc. the applicant seeks to manufacture; and</w:t>
      </w:r>
    </w:p>
    <w:p w:rsidR="00F355CC" w:rsidRDefault="00B8555E">
      <w:pPr>
        <w:pStyle w:val="enf6"/>
      </w:pPr>
      <w:r>
        <w:t>(iv) other particulars specified by Order of the Ministry of Economy, Trade and Industry.</w:t>
      </w:r>
    </w:p>
    <w:p w:rsidR="00F355CC" w:rsidRDefault="00B8555E">
      <w:pPr>
        <w:pStyle w:val="enf4"/>
      </w:pPr>
      <w:r>
        <w:t>(3) In the cases specif</w:t>
      </w:r>
      <w:r>
        <w:t>ied by Cabinet Order those in which a person who manufactures a specified substance, etc. prescribed by Cabinet Order set forth in paragraph (1) takes measures to prevent the relevant specified substance, etc. that the relevant person manufactures from bei</w:t>
      </w:r>
      <w:r>
        <w:t>ng used for a purpose other than the specified purpose before delivering the substance to another person, with regard to the application of the provisions of Article 4, paragraph (1), the manufacture of the relevant specified substance, etc. that the relev</w:t>
      </w:r>
      <w:r>
        <w:t>ant person delivers is deemed to be carried out by a person who has received the confirmation set forth in paragraph (1), within the scope of the quantity under the confirmation.</w:t>
      </w:r>
    </w:p>
    <w:p w:rsidR="00F355CC" w:rsidRDefault="00F355CC"/>
    <w:p w:rsidR="00F355CC" w:rsidRDefault="00B8555E">
      <w:pPr>
        <w:pStyle w:val="ena"/>
      </w:pPr>
      <w:r>
        <w:t>(Notification of a Change in the Confirmed Manufacturer)</w:t>
      </w:r>
    </w:p>
    <w:p w:rsidR="00F355CC" w:rsidRDefault="00B8555E">
      <w:pPr>
        <w:pStyle w:val="enf3"/>
      </w:pPr>
      <w:r>
        <w:t xml:space="preserve">Article 14  A </w:t>
      </w:r>
      <w:r>
        <w:t>person who has received the confirmation set forth in Article 11, paragraph (1), Article 12, paragraph (1) or paragraph (1) of the preceding Article (hereinafter referred to as a "confirmed manufacturer"), when there has been a change in any of the particu</w:t>
      </w:r>
      <w:r>
        <w:t>lars listed in Article 11, paragraph (2), item (i) or (iv), Article 12, paragraph (2), item (i) or (iv), or paragraph (2), item (i) or (iii) of the preceding Article, must notify the Minister of Economy, Trade and Industry to that effect without delay.</w:t>
      </w:r>
    </w:p>
    <w:p w:rsidR="00F355CC" w:rsidRDefault="00F355CC"/>
    <w:p w:rsidR="00F355CC" w:rsidRDefault="00B8555E">
      <w:pPr>
        <w:pStyle w:val="ena"/>
      </w:pPr>
      <w:r>
        <w:t>(S</w:t>
      </w:r>
      <w:r>
        <w:t>uccession)</w:t>
      </w:r>
    </w:p>
    <w:p w:rsidR="00F355CC" w:rsidRDefault="00B8555E">
      <w:pPr>
        <w:pStyle w:val="enf3"/>
      </w:pPr>
      <w:r>
        <w:t>Article 15  (1) When a permitted manufacturer or a confirmed manufacturer has transferred the entirety of the business of manufacturing the type of specified substance, etc. subject to the permission or confirmation, or when there has been an in</w:t>
      </w:r>
      <w:r>
        <w:t>heritance, merger, or split (limited to an inheritance, merger, or split resulting in the succession of the entirety of the business of manufacturing the type of specified substance, etc. subject to the permission or confirmation) involving a permitted man</w:t>
      </w:r>
      <w:r>
        <w:t>ufacturer or a confirmed manufacturer, the person who has received the entirety of the relevant business or the heir (if there are two or more heirs, and the heir who should continue the business has been appointed by unanimous consent, such appointed pers</w:t>
      </w:r>
      <w:r>
        <w:t>on), the corporation surviving the merger, the corporation formed by the merger, or the corporation that has succeeded to the entirety of the relevant business through the split succeeds to the status of a permitted manufacturer or confirmed manufacturer.</w:t>
      </w:r>
    </w:p>
    <w:p w:rsidR="00F355CC" w:rsidRDefault="00B8555E">
      <w:pPr>
        <w:pStyle w:val="enf4"/>
      </w:pPr>
      <w:r>
        <w:t>(2) A person who has succeeded to the status of a permitted manufacturer or confirmed manufacturer pursuant to the provisions of the preceding paragraph must submit a notification of this to the Minister of Economy, Trade and Industry without delay, accomp</w:t>
      </w:r>
      <w:r>
        <w:t>anied by documents proving the fact of succession.</w:t>
      </w:r>
    </w:p>
    <w:p w:rsidR="00F355CC" w:rsidRDefault="00F355CC"/>
    <w:p w:rsidR="00F355CC" w:rsidRDefault="00B8555E">
      <w:pPr>
        <w:pStyle w:val="ena"/>
      </w:pPr>
      <w:r>
        <w:t>(Rescission of Permission, etc.)</w:t>
      </w:r>
    </w:p>
    <w:p w:rsidR="00F355CC" w:rsidRDefault="00B8555E">
      <w:pPr>
        <w:pStyle w:val="enf3"/>
      </w:pPr>
      <w:r>
        <w:t>Article 16  (1) The Minister of Economy, Trade and Industry, if a permitted manufacturer falls under any of the following items, may rescind the permission set forth in Ar</w:t>
      </w:r>
      <w:r>
        <w:t>ticle 4, paragraph (1) or Article 5-2, paragraph (1), or reduce the permitted quantity to be manufactured:</w:t>
      </w:r>
    </w:p>
    <w:p w:rsidR="00F355CC" w:rsidRDefault="00B8555E">
      <w:pPr>
        <w:pStyle w:val="enf6"/>
      </w:pPr>
      <w:r>
        <w:t xml:space="preserve">(i) if it is found that the permitted manufacturer has received the permission set forth in Article 4, paragraph (1) or Article 5-2, </w:t>
      </w:r>
      <w:r>
        <w:t>paragraph (1), or the permission for a change under the provisions of Article 5, paragraph (3) or for an increase as set forth in Article 8, paragraph (1) by wrongful means;</w:t>
      </w:r>
    </w:p>
    <w:p w:rsidR="00F355CC" w:rsidRDefault="00B8555E">
      <w:pPr>
        <w:pStyle w:val="enf6"/>
      </w:pPr>
      <w:r>
        <w:t>(ii) if the permitted manufacturer manufactures a specified substance, etc. in vio</w:t>
      </w:r>
      <w:r>
        <w:t>lation of the provisions of Article 5, paragraph (4); or</w:t>
      </w:r>
    </w:p>
    <w:p w:rsidR="00F355CC" w:rsidRDefault="00B8555E">
      <w:pPr>
        <w:pStyle w:val="enf6"/>
      </w:pPr>
      <w:r>
        <w:t>(iii) if the permitted manufacturer violates the conditions set forth in Article 10, paragraph (1).</w:t>
      </w:r>
    </w:p>
    <w:p w:rsidR="00F355CC" w:rsidRDefault="00B8555E">
      <w:pPr>
        <w:pStyle w:val="enf4"/>
      </w:pPr>
      <w:r>
        <w:t xml:space="preserve">(2) When a permitted manufacturer satisfies the requirements specified by Order of the Ministry of </w:t>
      </w:r>
      <w:r>
        <w:t>Economy, Trade and Industry for a case in which it has become certain that the planned quantity to be manufactured will fall below the permitted quantity to be manufactured (or, if permission for an increase set forth in Article 8, paragraph (1) has been g</w:t>
      </w:r>
      <w:r>
        <w:t>iven, a notification under the provisions of Article 9, paragraph (2) has been submitted, or a reduction under the provisions of the preceding paragraph has been made, the quantity as changed by such disposition or notification), the Minister of Economy, T</w:t>
      </w:r>
      <w:r>
        <w:t>rade and Industry may decrease the permitted quantity to be manufactured if the Minister finds it particularly necessary in consideration of the circumstances prescribed in Article 7.</w:t>
      </w:r>
    </w:p>
    <w:p w:rsidR="00F355CC" w:rsidRDefault="00B8555E">
      <w:pPr>
        <w:pStyle w:val="enf4"/>
      </w:pPr>
      <w:r>
        <w:t>(3) If it is found that a confirmed manufacturer has received the confir</w:t>
      </w:r>
      <w:r>
        <w:t>mation set forth in Article 11, paragraph (1), Article 12, paragraph (1), or Article 13, paragraph (1) by wrongful means, the Minister of Economy, Trade and Industry may rescind the relevant confirmation or reduce the confirmed quantity.</w:t>
      </w:r>
    </w:p>
    <w:p w:rsidR="00F355CC" w:rsidRDefault="00F355CC"/>
    <w:p w:rsidR="00F355CC" w:rsidRDefault="00B8555E">
      <w:pPr>
        <w:pStyle w:val="en3"/>
      </w:pPr>
      <w:r>
        <w:t>Chapter III Notif</w:t>
      </w:r>
      <w:r>
        <w:t>ications for Specified Substances, etc. and Other Substances</w:t>
      </w:r>
    </w:p>
    <w:p w:rsidR="00F355CC" w:rsidRDefault="00F355CC"/>
    <w:p w:rsidR="00F355CC" w:rsidRDefault="00B8555E">
      <w:pPr>
        <w:pStyle w:val="ena"/>
      </w:pPr>
      <w:r>
        <w:t>(Notification of the Export of a Specified Substance, etc.)</w:t>
      </w:r>
    </w:p>
    <w:p w:rsidR="00F355CC" w:rsidRDefault="00B8555E">
      <w:pPr>
        <w:pStyle w:val="enf3"/>
      </w:pPr>
      <w:r>
        <w:t>Article 17  A person who has exported a specified substance, etc. must, pursuant to the provisions of Order of the Ministry of Economy</w:t>
      </w:r>
      <w:r>
        <w:t>, Trade and Industry, notify the Minister of Economy, Trade and Industry every year of the export quantity in the previous year and of other particulars specified by Order of the Ministry of Economy, Trade and Industry.</w:t>
      </w:r>
    </w:p>
    <w:p w:rsidR="00F355CC" w:rsidRDefault="00F355CC"/>
    <w:p w:rsidR="00F355CC" w:rsidRDefault="00B8555E">
      <w:pPr>
        <w:pStyle w:val="ena"/>
      </w:pPr>
      <w:r>
        <w:t>(Delegation to Cabinet Order)</w:t>
      </w:r>
    </w:p>
    <w:p w:rsidR="00F355CC" w:rsidRDefault="00B8555E">
      <w:pPr>
        <w:pStyle w:val="enf3"/>
      </w:pPr>
      <w:r>
        <w:t>Artic</w:t>
      </w:r>
      <w:r>
        <w:t>le 18  Beyond what is provided for in the preceding Article, necessary provisions concerning notification of the manufactured quantity, export quantity, import quantity, or any other particulars of substances that deplete the ozone layer or alternative sub</w:t>
      </w:r>
      <w:r>
        <w:t xml:space="preserve">stances to substances that deplete the ozone layer and have a serious impact on global warming may be established by Cabinet Order to the extent that is found necessary for assessing the quantities that need to be assessed in order to establish limits for </w:t>
      </w:r>
      <w:r>
        <w:t>the levels of production and consumption for each type of specified substance, etc. and any other particulars that Japan must report under the protocol.</w:t>
      </w:r>
    </w:p>
    <w:p w:rsidR="00F355CC" w:rsidRDefault="00F355CC"/>
    <w:p w:rsidR="00F355CC" w:rsidRDefault="00B8555E">
      <w:pPr>
        <w:pStyle w:val="en3"/>
      </w:pPr>
      <w:r>
        <w:t>Chapter IV Reducing Emissions and Rationalizing the Use of Specified Substances, etc.</w:t>
      </w:r>
    </w:p>
    <w:p w:rsidR="00F355CC" w:rsidRDefault="00F355CC"/>
    <w:p w:rsidR="00F355CC" w:rsidRDefault="00B8555E">
      <w:pPr>
        <w:pStyle w:val="ena"/>
      </w:pPr>
      <w:r>
        <w:t>(Efforts by Use</w:t>
      </w:r>
      <w:r>
        <w:t>r Enterprises)</w:t>
      </w:r>
    </w:p>
    <w:p w:rsidR="00F355CC" w:rsidRDefault="00B8555E">
      <w:pPr>
        <w:pStyle w:val="enf3"/>
      </w:pPr>
      <w:r>
        <w:t>Article 19  A person who uses a specified substance, etc. (including a substance that is not a specified substance, etc. but which is prescribed by Cabinet Order; hereinafter the same applies in this Article through Article 22) in the course</w:t>
      </w:r>
      <w:r>
        <w:t xml:space="preserve"> of trade must endeavor to reduce emissions and rationalize the use of the specified substance, etc. that the relevant person uses (including through the use of substances that serve as an alternative to the specified substance, etc.; the same applies in t</w:t>
      </w:r>
      <w:r>
        <w:t>he following Article).</w:t>
      </w:r>
    </w:p>
    <w:p w:rsidR="00F355CC" w:rsidRDefault="00F355CC"/>
    <w:p w:rsidR="00F355CC" w:rsidRDefault="00B8555E">
      <w:pPr>
        <w:pStyle w:val="ena"/>
      </w:pPr>
      <w:r>
        <w:t>(Publication of Guidelines for Reducing Emissions and Rationalizing Use, etc.)</w:t>
      </w:r>
    </w:p>
    <w:p w:rsidR="00F355CC" w:rsidRDefault="00B8555E">
      <w:pPr>
        <w:pStyle w:val="enf3"/>
      </w:pPr>
      <w:r>
        <w:t xml:space="preserve">Article 20  (1) If the Minister of Economy, Trade and Industry and the Minister of the Environment find it necessary for ensuring the smooth </w:t>
      </w:r>
      <w:r>
        <w:t xml:space="preserve">implementation of the Convention and the protocol, they are to formulate guidelines for persons who use specified substances, etc. in the course of trade to reduce emissions and rationalize the use of specified substances, etc. (hereinafter referred to as </w:t>
      </w:r>
      <w:r>
        <w:t>"guidelines for reducing emissions and rationalizing use"), and are to publish the same.</w:t>
      </w:r>
    </w:p>
    <w:p w:rsidR="00F355CC" w:rsidRDefault="00B8555E">
      <w:pPr>
        <w:pStyle w:val="enf4"/>
      </w:pPr>
      <w:r>
        <w:t>(2) The competent minister may provide a person who uses a specified substance, etc. in the course of trade with guidance and advice on reducing emissions and rational</w:t>
      </w:r>
      <w:r>
        <w:t>izing the use of the specified substance, etc. in accordance with the guidelines for reducing emissions and rationalizing use.</w:t>
      </w:r>
    </w:p>
    <w:p w:rsidR="00F355CC" w:rsidRDefault="00B8555E">
      <w:pPr>
        <w:pStyle w:val="enf4"/>
      </w:pPr>
      <w:r>
        <w:t>(3) The Minister of the Environment may give their opinion to the competent minister with regard to the provision of guidance and</w:t>
      </w:r>
      <w:r>
        <w:t xml:space="preserve"> advice on reducing emissions under the provisions of the preceding paragraph.</w:t>
      </w:r>
    </w:p>
    <w:p w:rsidR="00F355CC" w:rsidRDefault="00B8555E">
      <w:pPr>
        <w:pStyle w:val="enf4"/>
      </w:pPr>
      <w:r>
        <w:t>(4) The Minister of Economy, Trade and Industry may give their opinion to the competent minister with regard to the provision of guidance and advice on rationalizing use under t</w:t>
      </w:r>
      <w:r>
        <w:t>he provisions of paragraph (2).</w:t>
      </w:r>
    </w:p>
    <w:p w:rsidR="00F355CC" w:rsidRDefault="00B8555E">
      <w:pPr>
        <w:pStyle w:val="enf4"/>
      </w:pPr>
      <w:r>
        <w:t>(5) The competent minister referred to in paragraph (2) is the minister with jurisdiction over the business of the person subject to the guidance and advice set forth in the relevant paragraph.</w:t>
      </w:r>
    </w:p>
    <w:p w:rsidR="00F355CC" w:rsidRDefault="00F355CC"/>
    <w:p w:rsidR="00F355CC" w:rsidRDefault="00B8555E">
      <w:pPr>
        <w:pStyle w:val="en3"/>
      </w:pPr>
      <w:r>
        <w:t>Chapter V Miscellaneous Provi</w:t>
      </w:r>
      <w:r>
        <w:t>sions</w:t>
      </w:r>
    </w:p>
    <w:p w:rsidR="00F355CC" w:rsidRDefault="00F355CC"/>
    <w:p w:rsidR="00F355CC" w:rsidRDefault="00B8555E">
      <w:pPr>
        <w:pStyle w:val="ena"/>
      </w:pPr>
      <w:r>
        <w:t>(Support from the State)</w:t>
      </w:r>
    </w:p>
    <w:p w:rsidR="00F355CC" w:rsidRDefault="00B8555E">
      <w:pPr>
        <w:pStyle w:val="enf3"/>
      </w:pPr>
      <w:r>
        <w:t>Article 21  The State is to endeavor to secure the funds and to provide any other support necessary for promoting the development and use of substances that serve as alternatives to specified substances, etc. and the develop</w:t>
      </w:r>
      <w:r>
        <w:t>ment and use of facilities that contribute to reducing emissions or rationalizing the use of specified substances, etc.</w:t>
      </w:r>
    </w:p>
    <w:p w:rsidR="00F355CC" w:rsidRDefault="00F355CC"/>
    <w:p w:rsidR="00F355CC" w:rsidRDefault="00B8555E">
      <w:pPr>
        <w:pStyle w:val="ena"/>
      </w:pPr>
      <w:r>
        <w:t>(Observation and Monitoring)</w:t>
      </w:r>
    </w:p>
    <w:p w:rsidR="00F355CC" w:rsidRDefault="00B8555E">
      <w:pPr>
        <w:pStyle w:val="enf3"/>
      </w:pPr>
      <w:r>
        <w:t>Article 22  (1) The Director-General of the Japan Meteorological Agency is to observe the state of the ozo</w:t>
      </w:r>
      <w:r>
        <w:t>ne layer and the status of the atmospheric concentrations of specified substances, etc., and is to publish the results of their observation.</w:t>
      </w:r>
    </w:p>
    <w:p w:rsidR="00F355CC" w:rsidRDefault="00B8555E">
      <w:pPr>
        <w:pStyle w:val="enf4"/>
      </w:pPr>
      <w:r>
        <w:t>(2) Using the results, etc. of the observation under the provisions of the preceding paragraph, the Minister of the</w:t>
      </w:r>
      <w:r>
        <w:t xml:space="preserve"> Environment is to monitor the status of the depletion of the ozone layer by specified substances (including a substance that is not a specified substance but which is prescribed by Cabinet Order; the same applies in the following Article) and the status o</w:t>
      </w:r>
      <w:r>
        <w:t>f changes in the atmospheric concentrations of specific substances, etc., and is to publish the results of their monitoring.</w:t>
      </w:r>
    </w:p>
    <w:p w:rsidR="00F355CC" w:rsidRDefault="00F355CC"/>
    <w:p w:rsidR="00F355CC" w:rsidRDefault="00B8555E">
      <w:pPr>
        <w:pStyle w:val="ena"/>
      </w:pPr>
      <w:r>
        <w:t>(Promotion of Research, etc.)</w:t>
      </w:r>
    </w:p>
    <w:p w:rsidR="00F355CC" w:rsidRDefault="00B8555E">
      <w:pPr>
        <w:pStyle w:val="enf3"/>
      </w:pPr>
      <w:r>
        <w:t>Article 23  The State is to promote research into the effects of specified substances on the ozone l</w:t>
      </w:r>
      <w:r>
        <w:t>ayer and other surveys and research concerning the protection of the ozone layer, and is endeavor to disseminate the results of its surveys and research.</w:t>
      </w:r>
    </w:p>
    <w:p w:rsidR="00F355CC" w:rsidRDefault="00F355CC"/>
    <w:p w:rsidR="00F355CC" w:rsidRDefault="00B8555E">
      <w:pPr>
        <w:pStyle w:val="ena"/>
      </w:pPr>
      <w:r>
        <w:t>(Books)</w:t>
      </w:r>
    </w:p>
    <w:p w:rsidR="00F355CC" w:rsidRDefault="00B8555E">
      <w:pPr>
        <w:pStyle w:val="enf3"/>
      </w:pPr>
      <w:r>
        <w:t xml:space="preserve">Article 24  (1) A permitted manufacturer must keep books, and enter therein the manufactured </w:t>
      </w:r>
      <w:r>
        <w:t>quantity and the quantity of export of the type of specified substance, etc. subject to the relevant permission during the control year under the relevant permission and other particulars specified by Order of the Ministry of Economy, Trade and Industry.</w:t>
      </w:r>
    </w:p>
    <w:p w:rsidR="00F355CC" w:rsidRDefault="00B8555E">
      <w:pPr>
        <w:pStyle w:val="enf4"/>
      </w:pPr>
      <w:r>
        <w:t>(</w:t>
      </w:r>
      <w:r>
        <w:t>2) The books set forth in the preceding paragraph must be preserved pursuant to the provisions of Order of the Ministry of Economy, Trade and Industry.</w:t>
      </w:r>
    </w:p>
    <w:p w:rsidR="00F355CC" w:rsidRDefault="00F355CC"/>
    <w:p w:rsidR="00F355CC" w:rsidRDefault="00B8555E">
      <w:pPr>
        <w:pStyle w:val="ena"/>
      </w:pPr>
      <w:r>
        <w:t>(Collection of Reports)</w:t>
      </w:r>
    </w:p>
    <w:p w:rsidR="00F355CC" w:rsidRDefault="00B8555E">
      <w:pPr>
        <w:pStyle w:val="enf3"/>
      </w:pPr>
      <w:r>
        <w:t>Article 25  The Minister of Economy, Trade and Industry, to the extent necessar</w:t>
      </w:r>
      <w:r>
        <w:t>y for the enforcement of this Act, may have a permitted manufacturer or a confirmed manufacturer report on its operations.</w:t>
      </w:r>
    </w:p>
    <w:p w:rsidR="00F355CC" w:rsidRDefault="00F355CC"/>
    <w:p w:rsidR="00F355CC" w:rsidRDefault="00B8555E">
      <w:pPr>
        <w:pStyle w:val="ena"/>
      </w:pPr>
      <w:r>
        <w:t>(On-site Inspections)</w:t>
      </w:r>
    </w:p>
    <w:p w:rsidR="00F355CC" w:rsidRDefault="00B8555E">
      <w:pPr>
        <w:pStyle w:val="enf3"/>
      </w:pPr>
      <w:r>
        <w:t xml:space="preserve">Article 26  (1) The Minister of Economy, Trade and Industry, to the extent necessary for the </w:t>
      </w:r>
      <w:r>
        <w:t xml:space="preserve">enforcement of this Act, may have officials of the ministry enter an office, plant, or any other workplace of a permitted manufacturer or a confirmed manufacturer, inspect the books, documents, or other articles, ask questions of the persons concerned, or </w:t>
      </w:r>
      <w:r>
        <w:t>remove, without compensation, a minimum quantity of specified substances, etc. necessary for inspection.</w:t>
      </w:r>
    </w:p>
    <w:p w:rsidR="00F355CC" w:rsidRDefault="00B8555E">
      <w:pPr>
        <w:pStyle w:val="enf4"/>
      </w:pPr>
      <w:r>
        <w:t>(2) When officials enter a workplace pursuant to the provisions of the preceding paragraph, they must carry an identification card and present it to th</w:t>
      </w:r>
      <w:r>
        <w:t>e persons concerned.</w:t>
      </w:r>
    </w:p>
    <w:p w:rsidR="00F355CC" w:rsidRDefault="00B8555E">
      <w:pPr>
        <w:pStyle w:val="enf4"/>
      </w:pPr>
      <w:r>
        <w:t>(3) The authority to carry out an on-site inspection, ask questions, or remove substances under the provisions of paragraph (1) may not be construed as being granted for the purposes of a criminal investigation.</w:t>
      </w:r>
    </w:p>
    <w:p w:rsidR="00F355CC" w:rsidRDefault="00F355CC"/>
    <w:p w:rsidR="00F355CC" w:rsidRDefault="00B8555E">
      <w:pPr>
        <w:pStyle w:val="ena"/>
      </w:pPr>
      <w:r>
        <w:t>(Special Provisions on</w:t>
      </w:r>
      <w:r>
        <w:t xml:space="preserve"> Hearings)</w:t>
      </w:r>
    </w:p>
    <w:p w:rsidR="00F355CC" w:rsidRDefault="00B8555E">
      <w:pPr>
        <w:pStyle w:val="enf3"/>
      </w:pPr>
      <w:r>
        <w:t>Article 27  (1) When the Minister of Economy, Trade and Industry seeks to reach a disposition on a reduction under the provisions of Article 16, paragraph (1), a decrease under the provisions of paragraph (2) of the relevant Article, or a reduct</w:t>
      </w:r>
      <w:r>
        <w:t>ion under the provisions of paragraph (3) of the relevant Article, the Minister must hold a hearing, irrespective of the category of the procedure for hearing statements of opinion under the provisions of Article 13, paragraph (1) of the Administrative Pro</w:t>
      </w:r>
      <w:r>
        <w:t>cedure Act (Act No. 88 of 1993).</w:t>
      </w:r>
    </w:p>
    <w:p w:rsidR="00F355CC" w:rsidRDefault="00B8555E">
      <w:pPr>
        <w:pStyle w:val="enf4"/>
      </w:pPr>
      <w:r>
        <w:t>(2) The proceedings on the date of a hearing involving a disposition under the provisions of Article 16 must be open to the public.</w:t>
      </w:r>
    </w:p>
    <w:p w:rsidR="00F355CC" w:rsidRDefault="00B8555E">
      <w:pPr>
        <w:pStyle w:val="enf4"/>
      </w:pPr>
      <w:r>
        <w:t>(3) If an interested party to the disposition in question makes a request to intervene in t</w:t>
      </w:r>
      <w:r>
        <w:t>he hearing proceedings pursuant to the provisions of Article 17, paragraph (1) of the Administrative Procedure Act, the presiding official for the hearing set forth in the preceding paragraph must permit such intervention.</w:t>
      </w:r>
    </w:p>
    <w:p w:rsidR="00F355CC" w:rsidRDefault="00F355CC"/>
    <w:p w:rsidR="00F355CC" w:rsidRDefault="00B8555E">
      <w:pPr>
        <w:pStyle w:val="ena"/>
      </w:pPr>
      <w:r>
        <w:t>(Hearing of Opinions in Procedur</w:t>
      </w:r>
      <w:r>
        <w:t>e for Request for Review)</w:t>
      </w:r>
    </w:p>
    <w:p w:rsidR="00F355CC" w:rsidRDefault="00B8555E">
      <w:pPr>
        <w:pStyle w:val="enf3"/>
      </w:pPr>
      <w:r>
        <w:t>Article 28  (1) A determination on a request for review with regard to a disposition made under the provisions of this Act or inaction thereof must be made after the review officer prescribed in Article 11, paragraph (2) of the Ad</w:t>
      </w:r>
      <w:r>
        <w:t>ministrative Complaint Review Act (Act No. 68 of 2014), hears opinions in public, following advance notice of a reasonable period to the requestor for review, except when the request for review is dismissed pursuant to the provisions of Article 24 of the r</w:t>
      </w:r>
      <w:r>
        <w:t>elevant Act.</w:t>
      </w:r>
    </w:p>
    <w:p w:rsidR="00F355CC" w:rsidRDefault="00B8555E">
      <w:pPr>
        <w:pStyle w:val="enf4"/>
      </w:pPr>
      <w:r>
        <w:t>(2) At the hearing of opinions set forth in the preceding paragraph, the requestor for review and interested persons must be given the opportunity to produce evidence and state their opinions on the case.</w:t>
      </w:r>
    </w:p>
    <w:p w:rsidR="00F355CC" w:rsidRDefault="00B8555E">
      <w:pPr>
        <w:pStyle w:val="enf4"/>
      </w:pPr>
      <w:r>
        <w:t>(3) The provisions of Article 31 of th</w:t>
      </w:r>
      <w:r>
        <w:t>e Administrative Complaint Review Act do not apply to the request for review prescribed in paragraph (1), and the provisions of paragraphs (2) through (5) of the relevant Article apply mutatis mutandis to the hearing of opinions set forth in paragraph (1).</w:t>
      </w:r>
    </w:p>
    <w:p w:rsidR="00F355CC" w:rsidRDefault="00F355CC"/>
    <w:p w:rsidR="00F355CC" w:rsidRDefault="00B8555E">
      <w:pPr>
        <w:pStyle w:val="ena"/>
      </w:pPr>
      <w:r>
        <w:t>(Consultation with the Minister of Agriculture, Forestry and Fisheries)</w:t>
      </w:r>
    </w:p>
    <w:p w:rsidR="00F355CC" w:rsidRDefault="00B8555E">
      <w:pPr>
        <w:pStyle w:val="enf3"/>
      </w:pPr>
      <w:r>
        <w:t>Article 28-2  (1) The Minister of Economy, Trade and Industry must consult with the Minister of Agriculture, Forestry and Fisheries in any of the following cases:</w:t>
      </w:r>
    </w:p>
    <w:p w:rsidR="00F355CC" w:rsidRDefault="00B8555E">
      <w:pPr>
        <w:pStyle w:val="enf6"/>
      </w:pPr>
      <w:r>
        <w:t>(i) when seeking to</w:t>
      </w:r>
      <w:r>
        <w:t xml:space="preserve"> give the permission set forth in Article 4, paragraph (1) with regard to the manufacture of a specified substance of a type that includes any specified substance prescribed by Cabinet Order;</w:t>
      </w:r>
    </w:p>
    <w:p w:rsidR="00F355CC" w:rsidRDefault="00B8555E">
      <w:pPr>
        <w:pStyle w:val="enf6"/>
      </w:pPr>
      <w:r>
        <w:t xml:space="preserve">(ii) when seeking to make a designation under the provisions of </w:t>
      </w:r>
      <w:r>
        <w:t>Article 5, paragraph (1) with regard to the quantity subject to the permission set forth in the preceding item or when seeking to change such designation pursuant to the provisions of paragraph (3) of the relevant Article;</w:t>
      </w:r>
    </w:p>
    <w:p w:rsidR="00F355CC" w:rsidRDefault="00B8555E">
      <w:pPr>
        <w:pStyle w:val="enf6"/>
      </w:pPr>
      <w:r>
        <w:t>(iii) when seeking to give the pe</w:t>
      </w:r>
      <w:r>
        <w:t>rmission set forth in Article 5-2, paragraph (1) with regard to the manufacture of a specified substance prescribed by Cabinet Order set forth in item (i);</w:t>
      </w:r>
    </w:p>
    <w:p w:rsidR="00F355CC" w:rsidRDefault="00B8555E">
      <w:pPr>
        <w:pStyle w:val="enf6"/>
      </w:pPr>
      <w:r>
        <w:t xml:space="preserve">(iv) when seeking to give the permission for an increase set forth in Article 8, paragraph (1) with </w:t>
      </w:r>
      <w:r>
        <w:t>regard to the quantity subject to the permission set forth in item (i) or the preceding item, or when seeking to make a disposition for a reduction under the provisions of Article 16, paragraph (1) or for a decrease under the provisions of paragraph (2) of</w:t>
      </w:r>
      <w:r>
        <w:t xml:space="preserve"> the relevant Article with regard to such quantity; and</w:t>
      </w:r>
    </w:p>
    <w:p w:rsidR="00F355CC" w:rsidRDefault="00B8555E">
      <w:pPr>
        <w:pStyle w:val="enf6"/>
      </w:pPr>
      <w:r>
        <w:t xml:space="preserve">(v) when seeking to attach or change the conditions pursuant to the provisions of Article 10, paragraph (1) with regard to the permission set forth in item (i) or (iii), or when seeking to make a </w:t>
      </w:r>
      <w:r>
        <w:t>rescission under the provisions of Article 16, paragraph (1) with regard to such permission.</w:t>
      </w:r>
    </w:p>
    <w:p w:rsidR="00F355CC" w:rsidRDefault="00B8555E">
      <w:pPr>
        <w:pStyle w:val="enf4"/>
      </w:pPr>
      <w:r>
        <w:t>(2) When the Minister of Economy, Trade and Industry and the Minister of the Environment seek to formulate guidelines for emissions reduction and rationalizing use</w:t>
      </w:r>
      <w:r>
        <w:t>, they must consult with the Minister of Agriculture, Forestry and Fisheries with regard to the particulars of the specified substances prescribed by Cabinet Order which are set forth in item (i) of the preceding paragraph.</w:t>
      </w:r>
    </w:p>
    <w:p w:rsidR="00F355CC" w:rsidRDefault="00F355CC"/>
    <w:p w:rsidR="00F355CC" w:rsidRDefault="00B8555E">
      <w:pPr>
        <w:pStyle w:val="ena"/>
      </w:pPr>
      <w:r>
        <w:t>(Transitional Measures)</w:t>
      </w:r>
    </w:p>
    <w:p w:rsidR="00F355CC" w:rsidRDefault="00B8555E">
      <w:pPr>
        <w:pStyle w:val="enf3"/>
      </w:pPr>
      <w:r>
        <w:t>Article</w:t>
      </w:r>
      <w:r>
        <w:t xml:space="preserve"> 29  When any order is established, amended, or abolished based on the provisions of this Act, the necessary transitional measures (including transitional measures for penal provisions) may be provided for by that order to the extent found to be reasonably</w:t>
      </w:r>
      <w:r>
        <w:t xml:space="preserve"> necessary for the enactment, amendment, or abolition thereof.</w:t>
      </w:r>
    </w:p>
    <w:p w:rsidR="00F355CC" w:rsidRDefault="00F355CC"/>
    <w:p w:rsidR="00F355CC" w:rsidRDefault="00B8555E">
      <w:pPr>
        <w:pStyle w:val="en3"/>
      </w:pPr>
      <w:r>
        <w:t>Chapter VI Penal Provisions</w:t>
      </w:r>
    </w:p>
    <w:p w:rsidR="00F355CC" w:rsidRDefault="00F355CC"/>
    <w:p w:rsidR="00F355CC" w:rsidRDefault="00B8555E">
      <w:pPr>
        <w:pStyle w:val="enf3"/>
      </w:pPr>
      <w:r>
        <w:t xml:space="preserve">Article 30  A person who manufactures a specified substance, etc. in violation of the provisions of Article 4, paragraph (1) or Article 5, paragraph (4) is </w:t>
      </w:r>
      <w:r>
        <w:t>sentenced to imprisonment for not more than three years, a fine of not more than one million yen, or both.</w:t>
      </w:r>
    </w:p>
    <w:p w:rsidR="00F355CC" w:rsidRDefault="00F355CC"/>
    <w:p w:rsidR="00F355CC" w:rsidRDefault="00B8555E">
      <w:pPr>
        <w:pStyle w:val="enf3"/>
      </w:pPr>
      <w:r>
        <w:t>Article 31  A person who falls under any of the following items is sentenced to a fine of not more than two hundred thousand yen:</w:t>
      </w:r>
    </w:p>
    <w:p w:rsidR="00F355CC" w:rsidRDefault="00B8555E">
      <w:pPr>
        <w:pStyle w:val="enf6"/>
      </w:pPr>
      <w:r>
        <w:t>(i) a person who f</w:t>
      </w:r>
      <w:r>
        <w:t>ails to make a notification under the provisions of Article 17 or who makes a false notification;</w:t>
      </w:r>
    </w:p>
    <w:p w:rsidR="00F355CC" w:rsidRDefault="00B8555E">
      <w:pPr>
        <w:pStyle w:val="enf6"/>
      </w:pPr>
      <w:r>
        <w:t>(ii) a person who, in violation of the provisions of Article 24, paragraph (1), fails to keep books, fails to make entries in the books, or makes false entrie</w:t>
      </w:r>
      <w:r>
        <w:t>s in the books, or who, in violation of the provisions of paragraph (2) of the relevant Article, fails to archive the books;</w:t>
      </w:r>
    </w:p>
    <w:p w:rsidR="00F355CC" w:rsidRDefault="00B8555E">
      <w:pPr>
        <w:pStyle w:val="enf6"/>
      </w:pPr>
      <w:r>
        <w:t>(iii) a person who fails to make a report under the provisions of Article 25 or who makes a false report; or</w:t>
      </w:r>
    </w:p>
    <w:p w:rsidR="00F355CC" w:rsidRDefault="00B8555E">
      <w:pPr>
        <w:pStyle w:val="enf6"/>
      </w:pPr>
      <w:r>
        <w:t>(iv) a person who refu</w:t>
      </w:r>
      <w:r>
        <w:t>ses, obstructs, or evades the inspection or removal under the provisions of Article 26, paragraph (1), who fails to give an answer to a question under the provisions of the relevant paragraph, or who gives a false answer.</w:t>
      </w:r>
    </w:p>
    <w:p w:rsidR="00F355CC" w:rsidRDefault="00F355CC"/>
    <w:p w:rsidR="00F355CC" w:rsidRDefault="00B8555E">
      <w:pPr>
        <w:pStyle w:val="enf3"/>
      </w:pPr>
      <w:r>
        <w:t>Article 32  When the representati</w:t>
      </w:r>
      <w:r>
        <w:t>ve of a corporation or the agent, employee, or any other worker of a corporation or an individual commits any of the violations set forth in the preceding two Articles with regard to the business of the corporation or individual, in addition to the offende</w:t>
      </w:r>
      <w:r>
        <w:t>r being punished, the corporation or individual is subject to the fine set forth in the relevant Articles.</w:t>
      </w:r>
    </w:p>
    <w:p w:rsidR="00F355CC" w:rsidRDefault="00F355CC"/>
    <w:p w:rsidR="00F355CC" w:rsidRDefault="00B8555E">
      <w:pPr>
        <w:pStyle w:val="enf3"/>
      </w:pPr>
      <w:r>
        <w:t>Article 33  A person who fails to make a notification under Article 4, paragraph (3), Article 9, paragraph (1), Article 14, or Article 15, paragraph</w:t>
      </w:r>
      <w:r>
        <w:t xml:space="preserve"> (2) or who makes a false notification is subject to a non-criminal fine of not more than one hundred thousand yen.</w:t>
      </w:r>
    </w:p>
    <w:p w:rsidR="00F355CC" w:rsidRDefault="00F355CC"/>
    <w:p w:rsidR="00F355CC" w:rsidRDefault="00B8555E">
      <w:pPr>
        <w:pStyle w:val="enf3"/>
      </w:pPr>
      <w:r>
        <w:t>Article 34  The Cabinet Order based on the provisions of Article 18 may provide that a person who violates the provisions of the Cabinet Or</w:t>
      </w:r>
      <w:r>
        <w:t>der be punished by a fine of not more than two hundred thousand yen, and that if the representative of a corporation or the agent, employee, or any other worker of a corporation or individual commits that violation with regard to the business of the corpor</w:t>
      </w:r>
      <w:r>
        <w:t>ation or individual, in addition to the offender being punished, the corporation or individual is subject the fines set forth in the relevant Article.</w:t>
      </w:r>
    </w:p>
    <w:p w:rsidR="00F355CC" w:rsidRDefault="00F355CC"/>
    <w:p w:rsidR="00F355CC" w:rsidRDefault="00B8555E">
      <w:pPr>
        <w:pStyle w:val="en2"/>
      </w:pPr>
      <w:r>
        <w:t>Supplementary Provisions</w:t>
      </w:r>
    </w:p>
    <w:p w:rsidR="00F355CC" w:rsidRDefault="00F355CC"/>
    <w:p w:rsidR="00F355CC" w:rsidRDefault="00B8555E">
      <w:pPr>
        <w:pStyle w:val="ena"/>
      </w:pPr>
      <w:r>
        <w:t>(Effective Date)</w:t>
      </w:r>
    </w:p>
    <w:p w:rsidR="00F355CC" w:rsidRDefault="00B8555E">
      <w:pPr>
        <w:pStyle w:val="enf3"/>
      </w:pPr>
      <w:r>
        <w:t>Article 1  (1) This Act comes into effect as of the date of i</w:t>
      </w:r>
      <w:r>
        <w:t>ts promulgation; provided, however, that the provisions listed in the following items come into effect as of the days specified respectively in those items:</w:t>
      </w:r>
    </w:p>
    <w:p w:rsidR="00F355CC" w:rsidRDefault="00B8555E">
      <w:pPr>
        <w:pStyle w:val="enf6"/>
      </w:pPr>
      <w:r>
        <w:t>(i) the provisions of Chapter III of the Act and Article 3 of the Supplementary Provisions: the day</w:t>
      </w:r>
      <w:r>
        <w:t xml:space="preserve"> on which the Convention becomes effective in Japan;</w:t>
      </w:r>
    </w:p>
    <w:p w:rsidR="00F355CC" w:rsidRDefault="00B8555E">
      <w:pPr>
        <w:pStyle w:val="enf6"/>
      </w:pPr>
      <w:r>
        <w:t>(ii) the provisions of Article 3, Chapter II, Section I, Articles 27 through 30, Article 32, Article 33, Article 34 (excluding item (ii)), Article 35 (excluding items (ii), (iv), and (vi)), Article 36, a</w:t>
      </w:r>
      <w:r>
        <w:t>nd Article 37 (excluding item (ii)) of the Act: the day on which the protocol becomes effective in Japan; and</w:t>
      </w:r>
    </w:p>
    <w:p w:rsidR="00F355CC" w:rsidRDefault="00B8555E">
      <w:pPr>
        <w:pStyle w:val="enf6"/>
      </w:pPr>
      <w:r>
        <w:t>(iii) the provisions of Chapter II, Section 2, Article 31, Article 34, item (ii), Article 35, items (ii), (iv), and (vi), and Article 37, item (ii</w:t>
      </w:r>
      <w:r>
        <w:t>): the day on which two years and six months have elapsed from the day on which the protocol becomes effective in Japan.</w:t>
      </w:r>
    </w:p>
    <w:p w:rsidR="00F355CC" w:rsidRDefault="00B8555E">
      <w:pPr>
        <w:pStyle w:val="enf4"/>
      </w:pPr>
      <w:r>
        <w:t xml:space="preserve">(2) Notwithstanding the provisions of the preceding paragraph, if the day on which the protocol becomes effective in Japan falls after </w:t>
      </w:r>
      <w:r>
        <w:t>the day on which the protocol becomes effective or after January 1, 1993, the provisions listed in items (ii) and (iii) of the relevant paragraph come into effect on the day specified by Cabinet Order.</w:t>
      </w:r>
    </w:p>
    <w:p w:rsidR="00F355CC" w:rsidRDefault="00F355CC"/>
    <w:p w:rsidR="00F355CC" w:rsidRDefault="00B8555E">
      <w:pPr>
        <w:pStyle w:val="ena"/>
      </w:pPr>
      <w:r>
        <w:t>(Reports)</w:t>
      </w:r>
    </w:p>
    <w:p w:rsidR="00F355CC" w:rsidRDefault="00B8555E">
      <w:pPr>
        <w:pStyle w:val="enf3"/>
      </w:pPr>
      <w:r>
        <w:t>Article 2  The Minister of International Tr</w:t>
      </w:r>
      <w:r>
        <w:t>ade and Industry, in order to calculate the levels of production and consumption prescribed in Article 3, paragraph (1), item (i), may request a person who has manufactured, exported, or imported the substances listed in Annex A of the protocol during 1986</w:t>
      </w:r>
      <w:r>
        <w:t xml:space="preserve"> to report on the quantity to be manufactured, exported, or imported.</w:t>
      </w:r>
    </w:p>
    <w:p w:rsidR="00F355CC" w:rsidRDefault="00F355CC"/>
    <w:p w:rsidR="00F355CC" w:rsidRDefault="00B8555E">
      <w:pPr>
        <w:pStyle w:val="ena"/>
      </w:pPr>
      <w:r>
        <w:t>(Partial Amendment of the Local Tax Act)</w:t>
      </w:r>
    </w:p>
    <w:p w:rsidR="00F355CC" w:rsidRDefault="00B8555E">
      <w:pPr>
        <w:pStyle w:val="enf3"/>
      </w:pPr>
      <w:r>
        <w:t>Article 3  The Local Tax Act (Act No. 226 of 1950) is partially amended as follows:</w:t>
      </w:r>
    </w:p>
    <w:p w:rsidR="00F355CC" w:rsidRDefault="00B8555E">
      <w:pPr>
        <w:pStyle w:val="enff6"/>
      </w:pPr>
      <w:r>
        <w:t xml:space="preserve">The following paragraph is added to Article 15 of the </w:t>
      </w:r>
      <w:r>
        <w:t>Supplementary Provisions.</w:t>
      </w:r>
    </w:p>
    <w:p w:rsidR="00F355CC" w:rsidRDefault="00B8555E">
      <w:pPr>
        <w:pStyle w:val="enf4"/>
        <w:ind w:left="439"/>
      </w:pPr>
      <w:r>
        <w:t xml:space="preserve">(33) Notwithstanding the provisions of Article 349-2, the tax base for the fixed asset tax imposed on a machine or any other equipment specified by Order of the Ministry of Home Affairs which contributes to reducing the emissions </w:t>
      </w:r>
      <w:r>
        <w:t>and rationalizing the use of a specified chlorofluorocarbon provided for in Article 2, paragraph (1) of the Act on the Protection of the Ozone Layer Through the Control of Specified Substances and Other Measures (Act No. 53 of 1988), and which is newly acq</w:t>
      </w:r>
      <w:r>
        <w:t xml:space="preserve">uired between the day of enforcement of the provisions of Chapter III of the relevant Act and March 31, 1990, by a person who uses the specified chlorofluorocarbon in the course of trade, is three-fifths of the value of the machine or other equipment that </w:t>
      </w:r>
      <w:r>
        <w:t>is to serve as the tax base for the fixed asset tax, with regard to the fixed asset tax for three fiscal years starting from the fiscal year in which a fixed asset tax was first imposed on the relevant machine or other equipment.</w:t>
      </w:r>
    </w:p>
    <w:p w:rsidR="00F355CC" w:rsidRDefault="00F355CC"/>
    <w:p w:rsidR="00F355CC" w:rsidRDefault="00B8555E">
      <w:pPr>
        <w:pStyle w:val="ena"/>
      </w:pPr>
      <w:r>
        <w:t>(Partial Amendment of the</w:t>
      </w:r>
      <w:r>
        <w:t xml:space="preserve"> Act Establishing the Ministry of the Environment)</w:t>
      </w:r>
    </w:p>
    <w:p w:rsidR="00F355CC" w:rsidRDefault="00B8555E">
      <w:pPr>
        <w:pStyle w:val="enf3"/>
      </w:pPr>
      <w:r>
        <w:t>Article 4  The Act Establishing the Ministry of the Environment (Act No. 88 of 1971) is partially amended as follows:</w:t>
      </w:r>
    </w:p>
    <w:p w:rsidR="00F355CC" w:rsidRDefault="00B8555E">
      <w:pPr>
        <w:pStyle w:val="enff6"/>
      </w:pPr>
      <w:r>
        <w:t>The following item is added after Article 4, item (xiv).</w:t>
      </w:r>
    </w:p>
    <w:p w:rsidR="00F355CC" w:rsidRDefault="00B8555E">
      <w:pPr>
        <w:pStyle w:val="enf6"/>
        <w:ind w:left="659"/>
      </w:pPr>
      <w:r>
        <w:t xml:space="preserve">(xiv)-2 processing of affairs </w:t>
      </w:r>
      <w:r>
        <w:t>involved in the enforcement of the Act on the Protection of the Ozone Layer Through the Control of Specified Substances and Other Measures (Act No. 53 of 1988) that are under the jurisdiction of the ministry;</w:t>
      </w:r>
    </w:p>
    <w:p w:rsidR="00F355CC" w:rsidRDefault="00F355CC"/>
    <w:p w:rsidR="00F355CC" w:rsidRDefault="00B8555E">
      <w:pPr>
        <w:pStyle w:val="ena"/>
      </w:pPr>
      <w:r>
        <w:t>(Partial Amendment of the Act Establishing the</w:t>
      </w:r>
      <w:r>
        <w:t xml:space="preserve"> Ministry of International Trade and Industry)</w:t>
      </w:r>
    </w:p>
    <w:p w:rsidR="00F355CC" w:rsidRDefault="00B8555E">
      <w:pPr>
        <w:pStyle w:val="enf3"/>
      </w:pPr>
      <w:r>
        <w:t>Article 5  The Act Establishing the Ministry of International Trade and Industry (Act No. 275 of 1952) is partially amended as follows:</w:t>
      </w:r>
    </w:p>
    <w:p w:rsidR="00F355CC" w:rsidRDefault="00B8555E">
      <w:pPr>
        <w:pStyle w:val="enff6"/>
      </w:pPr>
      <w:r>
        <w:t>The following item is added after Article 4, item (lxiii).</w:t>
      </w:r>
    </w:p>
    <w:p w:rsidR="00F355CC" w:rsidRDefault="00B8555E">
      <w:pPr>
        <w:pStyle w:val="enf6"/>
        <w:ind w:left="659"/>
      </w:pPr>
      <w:r>
        <w:t>(lxiii)-2 proc</w:t>
      </w:r>
      <w:r>
        <w:t>essing of affairs involved in the enforcement of the Act on the Protection of the Ozone Layer Through the Control of Specified Substances and Other Measures (Act No. 53 of 1988) that are under the jurisdiction of the ministry;</w:t>
      </w:r>
    </w:p>
    <w:p w:rsidR="00F355CC" w:rsidRDefault="00F355CC"/>
    <w:p w:rsidR="00F355CC" w:rsidRDefault="00B8555E">
      <w:pPr>
        <w:pStyle w:val="en2"/>
      </w:pPr>
      <w:r>
        <w:t>Supplementary Provisions  [A</w:t>
      </w:r>
      <w:r>
        <w:t>ct No. 8 of March 30, 1991]  [Extract]</w:t>
      </w:r>
    </w:p>
    <w:p w:rsidR="00F355CC" w:rsidRDefault="00F355CC"/>
    <w:p w:rsidR="00F355CC" w:rsidRDefault="00B8555E">
      <w:pPr>
        <w:pStyle w:val="ena"/>
      </w:pPr>
      <w:r>
        <w:t>(Effective Date)</w:t>
      </w:r>
    </w:p>
    <w:p w:rsidR="00F355CC" w:rsidRDefault="00B8555E">
      <w:pPr>
        <w:pStyle w:val="enf3"/>
      </w:pPr>
      <w:r>
        <w:t>Article 1  This Act comes into effect as of the day on which the amendment to the Montreal Protocol on Substances that Deplete the Ozone Layer (hereinafter referred to as the "protocol") that was ado</w:t>
      </w:r>
      <w:r>
        <w:t>pted on June 29, 1990, comes into effect in Japan (hereinafter referred to as the "effective date of the protocol amendment") (if the effective date of the protocol amendment comes after July 1, 1992, the day specified by Cabinet Order); provided, however,</w:t>
      </w:r>
      <w:r>
        <w:t xml:space="preserve"> that the provisions of Article 1 come into effect as of the date of the promulgation of this Act.</w:t>
      </w:r>
    </w:p>
    <w:p w:rsidR="00F355CC" w:rsidRDefault="00F355CC"/>
    <w:p w:rsidR="00F355CC" w:rsidRDefault="00B8555E">
      <w:pPr>
        <w:pStyle w:val="en2"/>
      </w:pPr>
      <w:r>
        <w:t>Supplementary Provisions  [Act No. 89 of November 12, 1993]  [Extract]</w:t>
      </w:r>
    </w:p>
    <w:p w:rsidR="00F355CC" w:rsidRDefault="00F355CC"/>
    <w:p w:rsidR="00F355CC" w:rsidRDefault="00B8555E">
      <w:pPr>
        <w:pStyle w:val="ena"/>
      </w:pPr>
      <w:r>
        <w:t>(Effective Date)</w:t>
      </w:r>
    </w:p>
    <w:p w:rsidR="00F355CC" w:rsidRDefault="00B8555E">
      <w:pPr>
        <w:pStyle w:val="enf3"/>
      </w:pPr>
      <w:r>
        <w:t xml:space="preserve">Article 1  This Act comes into effect as of the day of enforcement </w:t>
      </w:r>
      <w:r>
        <w:t>of the Administrative Procedures Act (Act No. 88 of 1993).</w:t>
      </w:r>
    </w:p>
    <w:p w:rsidR="00F355CC" w:rsidRDefault="00F355CC"/>
    <w:p w:rsidR="00F355CC" w:rsidRDefault="00B8555E">
      <w:pPr>
        <w:pStyle w:val="ena"/>
      </w:pPr>
      <w:r>
        <w:t>(Transitional Measures for Adverse Dispositions Following an Appeal, etc.)</w:t>
      </w:r>
    </w:p>
    <w:p w:rsidR="00F355CC" w:rsidRDefault="00B8555E">
      <w:pPr>
        <w:pStyle w:val="enf3"/>
      </w:pPr>
      <w:r>
        <w:t>Article 2  Prior to the enforcement of this Act, if an appeal or any other request has been filed pursuant to laws and re</w:t>
      </w:r>
      <w:r>
        <w:t>gulations with a council or any other panel, asking for the establishment of procedures equivalent to the procedures for holding a hearing, procedures for the grant of an opportunity for explanation, or any other procedures for hearing statements of opinio</w:t>
      </w:r>
      <w:r>
        <w:t xml:space="preserve">n as provided for in Article 13 of the Administrative Procedure Act should be implemented, notwithstanding the provisions of the relevant Acts amended by this Act, the provisions then in force remain applicable for procedures for an adverse disposition in </w:t>
      </w:r>
      <w:r>
        <w:t>connection with the relevant appeal or other request.</w:t>
      </w:r>
    </w:p>
    <w:p w:rsidR="00F355CC" w:rsidRDefault="00F355CC"/>
    <w:p w:rsidR="00F355CC" w:rsidRDefault="00B8555E">
      <w:pPr>
        <w:pStyle w:val="ena"/>
      </w:pPr>
      <w:r>
        <w:t>(Transitional Measures for Penal Provisions)</w:t>
      </w:r>
    </w:p>
    <w:p w:rsidR="00F355CC" w:rsidRDefault="00B8555E">
      <w:pPr>
        <w:pStyle w:val="enf3"/>
      </w:pPr>
      <w:r>
        <w:t xml:space="preserve">Article 13  Prior laws continue to govern the applicability of penal provisions to conduct that a person engages in before this Act comes into </w:t>
      </w:r>
      <w:r>
        <w:t>effect.</w:t>
      </w:r>
    </w:p>
    <w:p w:rsidR="00F355CC" w:rsidRDefault="00F355CC"/>
    <w:p w:rsidR="00F355CC" w:rsidRDefault="00B8555E">
      <w:pPr>
        <w:pStyle w:val="ena"/>
      </w:pPr>
      <w:r>
        <w:t>(Transitional Measures for the Arrangement of Provisions for Hearings)</w:t>
      </w:r>
    </w:p>
    <w:p w:rsidR="00F355CC" w:rsidRDefault="00B8555E">
      <w:pPr>
        <w:pStyle w:val="enf3"/>
      </w:pPr>
      <w:r>
        <w:t>Article 14  Procedure for hearings (excluding those involving adverse dispositions) implemented under Acts prior to the enforcement of this Act or incidental procedures are dee</w:t>
      </w:r>
      <w:r>
        <w:t>med to have been implemented under the relevant provisions of the respective Acts amended by this Act.</w:t>
      </w:r>
    </w:p>
    <w:p w:rsidR="00F355CC" w:rsidRDefault="00F355CC"/>
    <w:p w:rsidR="00F355CC" w:rsidRDefault="00B8555E">
      <w:pPr>
        <w:pStyle w:val="ena"/>
      </w:pPr>
      <w:r>
        <w:t>(Delegation to Cabinet Order)</w:t>
      </w:r>
    </w:p>
    <w:p w:rsidR="00F355CC" w:rsidRDefault="00B8555E">
      <w:pPr>
        <w:pStyle w:val="enf3"/>
      </w:pPr>
      <w:r>
        <w:t>Article 15  Beyond what is provided for in Article 2 of the Supplementary Provisions through the preceding Article, transi</w:t>
      </w:r>
      <w:r>
        <w:t>tional measures necessary for the enforcement of this Act are specified by Cabinet Order.</w:t>
      </w:r>
    </w:p>
    <w:p w:rsidR="00F355CC" w:rsidRDefault="00F355CC"/>
    <w:p w:rsidR="00F355CC" w:rsidRDefault="00B8555E">
      <w:pPr>
        <w:pStyle w:val="en2"/>
      </w:pPr>
      <w:r>
        <w:t>Supplementary Provisions  [Act No. 54 of June 29, 1994]  [Extract]</w:t>
      </w:r>
    </w:p>
    <w:p w:rsidR="00F355CC" w:rsidRDefault="00F355CC"/>
    <w:p w:rsidR="00F355CC" w:rsidRDefault="00B8555E">
      <w:pPr>
        <w:pStyle w:val="ena"/>
      </w:pPr>
      <w:r>
        <w:t>(Effective Date)</w:t>
      </w:r>
    </w:p>
    <w:p w:rsidR="00F355CC" w:rsidRDefault="00B8555E">
      <w:pPr>
        <w:pStyle w:val="enf3"/>
      </w:pPr>
      <w:r>
        <w:t xml:space="preserve">Article 1  This Act comes into effect as of the day specified by Cabinet </w:t>
      </w:r>
      <w:r>
        <w:t>Order within a period not exceeding six months from the date of its promulgation.</w:t>
      </w:r>
    </w:p>
    <w:p w:rsidR="00F355CC" w:rsidRDefault="00F355CC"/>
    <w:p w:rsidR="00F355CC" w:rsidRDefault="00B8555E">
      <w:pPr>
        <w:pStyle w:val="ena"/>
      </w:pPr>
      <w:r>
        <w:t>(Transitional Measures)</w:t>
      </w:r>
    </w:p>
    <w:p w:rsidR="00F355CC" w:rsidRDefault="00B8555E">
      <w:pPr>
        <w:pStyle w:val="enf3"/>
      </w:pPr>
      <w:r>
        <w:t>Article 2  Prior laws continue to govern the applicability of penal provisions to conduct that a person engages in before this Act comes into effect.</w:t>
      </w:r>
    </w:p>
    <w:p w:rsidR="00F355CC" w:rsidRDefault="00F355CC"/>
    <w:p w:rsidR="00F355CC" w:rsidRDefault="00B8555E">
      <w:pPr>
        <w:pStyle w:val="en2"/>
      </w:pPr>
      <w:r>
        <w:t>Supplementary Provisions  [Act No. 59 of May 23, 1997]  [Extract]</w:t>
      </w:r>
    </w:p>
    <w:p w:rsidR="00F355CC" w:rsidRDefault="00F355CC"/>
    <w:p w:rsidR="00F355CC" w:rsidRDefault="00B8555E">
      <w:pPr>
        <w:pStyle w:val="ena"/>
      </w:pPr>
      <w:r>
        <w:t>(Effective Date)</w:t>
      </w:r>
    </w:p>
    <w:p w:rsidR="00F355CC" w:rsidRDefault="00B8555E">
      <w:pPr>
        <w:pStyle w:val="enf3"/>
      </w:pPr>
      <w:r>
        <w:t>Article 1  This Act comes into effect as of April 1, 1998.</w:t>
      </w:r>
    </w:p>
    <w:p w:rsidR="00F355CC" w:rsidRDefault="00F355CC"/>
    <w:p w:rsidR="00F355CC" w:rsidRDefault="00B8555E">
      <w:pPr>
        <w:pStyle w:val="en2"/>
      </w:pPr>
      <w:r>
        <w:t>Supplementary Provisions  [Act No. 160 of December 22, 1999]  [Extract]</w:t>
      </w:r>
    </w:p>
    <w:p w:rsidR="00F355CC" w:rsidRDefault="00F355CC"/>
    <w:p w:rsidR="00F355CC" w:rsidRDefault="00B8555E">
      <w:pPr>
        <w:pStyle w:val="ena"/>
      </w:pPr>
      <w:r>
        <w:t>(Effective Date)</w:t>
      </w:r>
    </w:p>
    <w:p w:rsidR="00F355CC" w:rsidRDefault="00B8555E">
      <w:pPr>
        <w:pStyle w:val="enf3"/>
      </w:pPr>
      <w:r>
        <w:t xml:space="preserve">Article 1  This Act </w:t>
      </w:r>
      <w:r>
        <w:t>(excluding Articles 2 and 3) comes into effect as of January 6, 2001.</w:t>
      </w:r>
    </w:p>
    <w:p w:rsidR="00F355CC" w:rsidRDefault="00F355CC"/>
    <w:p w:rsidR="00F355CC" w:rsidRDefault="00B8555E">
      <w:pPr>
        <w:pStyle w:val="en2"/>
      </w:pPr>
      <w:r>
        <w:t>Supplementary Provisions  [Act No. 91 of May 31, 2000]</w:t>
      </w:r>
    </w:p>
    <w:p w:rsidR="00F355CC" w:rsidRDefault="00F355CC"/>
    <w:p w:rsidR="00F355CC" w:rsidRDefault="00B8555E">
      <w:pPr>
        <w:pStyle w:val="ena"/>
      </w:pPr>
      <w:r>
        <w:t>(Effective Date)</w:t>
      </w:r>
    </w:p>
    <w:p w:rsidR="00F355CC" w:rsidRDefault="00B8555E">
      <w:pPr>
        <w:pStyle w:val="enf4"/>
      </w:pPr>
      <w:r>
        <w:t xml:space="preserve">(1) This Act comes into effect as of the day of enforcement of the Act Partially Amending the </w:t>
      </w:r>
      <w:r>
        <w:t>Commercial Code (Act No. 90 of 2000).</w:t>
      </w:r>
    </w:p>
    <w:p w:rsidR="00F355CC" w:rsidRDefault="00F355CC"/>
    <w:p w:rsidR="00F355CC" w:rsidRDefault="00B8555E">
      <w:pPr>
        <w:pStyle w:val="ena"/>
      </w:pPr>
      <w:r>
        <w:t>(Transitional Measures)</w:t>
      </w:r>
    </w:p>
    <w:p w:rsidR="00F355CC" w:rsidRDefault="00B8555E">
      <w:pPr>
        <w:pStyle w:val="enf4"/>
      </w:pPr>
      <w:r>
        <w:t>(2) If the day of enforcement of this Act falls before the day of enforcement of the provisions of Article 8 of the Supplementary Provisions of the Food and Agricultural Materials Inspection Ce</w:t>
      </w:r>
      <w:r>
        <w:t>nter, Incorporated Administrative Agency Act (Act No. 183 of 1999), the phrase "Article 27" in the provisions of Article 31 amending Article 19-5-2, Article 19-6, paragraph (1), item (iv), and Article 27 of the Act on the Standardization and Proper Quality</w:t>
      </w:r>
      <w:r>
        <w:t xml:space="preserve"> Labeling of Agricultural and Forestry Products is deemed to be replaced with "Article 26."</w:t>
      </w:r>
    </w:p>
    <w:p w:rsidR="00F355CC" w:rsidRDefault="00F355CC"/>
    <w:p w:rsidR="00F355CC" w:rsidRDefault="00B8555E">
      <w:pPr>
        <w:pStyle w:val="en2"/>
      </w:pPr>
      <w:r>
        <w:t>Supplementary Provisions  [Act No. 69 of June 13, 2014]  [Extract]</w:t>
      </w:r>
    </w:p>
    <w:p w:rsidR="00F355CC" w:rsidRDefault="00F355CC"/>
    <w:p w:rsidR="00F355CC" w:rsidRDefault="00B8555E">
      <w:pPr>
        <w:pStyle w:val="ena"/>
      </w:pPr>
      <w:r>
        <w:t>(Effective Date)</w:t>
      </w:r>
    </w:p>
    <w:p w:rsidR="00F355CC" w:rsidRDefault="00B8555E">
      <w:pPr>
        <w:pStyle w:val="enf3"/>
      </w:pPr>
      <w:r>
        <w:t>Article 1  This Act comes into effect as of the date on which the Administrati</w:t>
      </w:r>
      <w:r>
        <w:t>ve Complaint Review Act (Act No. 68 of 2014) comes into effect.</w:t>
      </w:r>
    </w:p>
    <w:p w:rsidR="00F355CC" w:rsidRDefault="00F355CC"/>
    <w:p w:rsidR="00F355CC" w:rsidRDefault="00B8555E">
      <w:pPr>
        <w:pStyle w:val="ena"/>
      </w:pPr>
      <w:r>
        <w:t>(Principle of Transitional Measures)</w:t>
      </w:r>
    </w:p>
    <w:p w:rsidR="00F355CC" w:rsidRDefault="00B8555E">
      <w:pPr>
        <w:pStyle w:val="enf3"/>
      </w:pPr>
      <w:r>
        <w:t xml:space="preserve">Article 5  Unless otherwise provided for in these Supplementary Provisions, prior laws continue to govern administrative appeals on dispositions or other </w:t>
      </w:r>
      <w:r>
        <w:t>acts or inactions of administrative agencies which pertain to dispositions or other acts of administrative agencies made before this Act comes into effect or to inactions of administrative agencies based on applications made before this Act comes into effe</w:t>
      </w:r>
      <w:r>
        <w:t>ct.</w:t>
      </w:r>
    </w:p>
    <w:p w:rsidR="00F355CC" w:rsidRDefault="00F355CC"/>
    <w:p w:rsidR="00F355CC" w:rsidRDefault="00B8555E">
      <w:pPr>
        <w:pStyle w:val="ena"/>
      </w:pPr>
      <w:r>
        <w:t>(Transitional Measures Concerning Litigation)</w:t>
      </w:r>
    </w:p>
    <w:p w:rsidR="00F355CC" w:rsidRDefault="00B8555E">
      <w:pPr>
        <w:pStyle w:val="enf3"/>
      </w:pPr>
      <w:r>
        <w:t>Article 6  (1) Prior laws continue to govern the filing of an action with regard to matters for which an action may be filed only after a determination, decision or any other act is made by an administrati</w:t>
      </w:r>
      <w:r>
        <w:t>ve agency in relation to an administrative appeal pursuant to the provisions of laws amended by the provisions of this Act and for which the statutes of limitation for filing an action has expired before this Act comes into effect while no administrative a</w:t>
      </w:r>
      <w:r>
        <w:t>ppeal has been entered (if this administrative appeal may be entered only after a determination, decision or any other act is made by an administrative agency in relation to another administrative appeal, including matters for which the statute of limitati</w:t>
      </w:r>
      <w:r>
        <w:t>ons for filing an action has expired before this Act comes into effect while no other administrative appeal has been entered).</w:t>
      </w:r>
    </w:p>
    <w:p w:rsidR="00F355CC" w:rsidRDefault="00B8555E">
      <w:pPr>
        <w:pStyle w:val="enf4"/>
      </w:pPr>
      <w:r>
        <w:t>(2) Prior laws continue to govern the filing of an action for revocation of a disposition or any other act against which an objec</w:t>
      </w:r>
      <w:r>
        <w:t xml:space="preserve">tion has been filed pursuant to the provisions of laws prior to amendment by the provisions of this Act (including cases where prior laws continue to govern pursuant to the provisions of the preceding Article) and for which an action for revocation may be </w:t>
      </w:r>
      <w:r>
        <w:t>filed only after a determination on a request for review is made pursuant to the provisions of laws amended by the provisions of this Act.</w:t>
      </w:r>
    </w:p>
    <w:p w:rsidR="00F355CC" w:rsidRDefault="00B8555E">
      <w:pPr>
        <w:pStyle w:val="enf4"/>
      </w:pPr>
      <w:r>
        <w:t>(3) Prior laws continue to govern an action for revocation of a determination, decision or any other act made by an a</w:t>
      </w:r>
      <w:r>
        <w:t>dministrative agency in relation to an administrative appeal, where the action has been filed before this Act comes into effect.</w:t>
      </w:r>
    </w:p>
    <w:p w:rsidR="00F355CC" w:rsidRDefault="00F355CC"/>
    <w:p w:rsidR="00F355CC" w:rsidRDefault="00B8555E">
      <w:pPr>
        <w:pStyle w:val="ena"/>
      </w:pPr>
      <w:r>
        <w:t>(Transitional Measures for Penal Provisions)</w:t>
      </w:r>
    </w:p>
    <w:p w:rsidR="00F355CC" w:rsidRDefault="00B8555E">
      <w:pPr>
        <w:pStyle w:val="enf3"/>
      </w:pPr>
      <w:r>
        <w:t>Article 9  Prior laws continue to govern the application of penal provisions to a</w:t>
      </w:r>
      <w:r>
        <w:t>cts committed before this Act comes into effect as well as any acts committed after this Act comes into effect in cases where prior laws continue to govern pursuant to the provisions of Article 5 and the two preceding Articles of the Supplementary Provisio</w:t>
      </w:r>
      <w:r>
        <w:t>ns.</w:t>
      </w:r>
    </w:p>
    <w:p w:rsidR="00F355CC" w:rsidRDefault="00F355CC"/>
    <w:p w:rsidR="00F355CC" w:rsidRDefault="00B8555E">
      <w:pPr>
        <w:pStyle w:val="ena"/>
      </w:pPr>
      <w:r>
        <w:t>(Delegation of Other Transitional Measures to Cabinet Orders)</w:t>
      </w:r>
    </w:p>
    <w:p w:rsidR="00F355CC" w:rsidRDefault="00B8555E">
      <w:pPr>
        <w:pStyle w:val="enf3"/>
      </w:pPr>
      <w:r>
        <w:t>Article 10  Beyond what is provided for in Article 5 through the preceding Article of the Supplementary Provisions, any necessary transitional measures for the enforcement of this Act (incl</w:t>
      </w:r>
      <w:r>
        <w:t>uding transitional measures concerning penal provisions) are specified by Cabinet Order.</w:t>
      </w:r>
    </w:p>
    <w:p w:rsidR="00F355CC" w:rsidRDefault="00F355CC"/>
    <w:p w:rsidR="00F355CC" w:rsidRDefault="00B8555E">
      <w:pPr>
        <w:pStyle w:val="en2"/>
      </w:pPr>
      <w:r>
        <w:t>Supplementary Provisions  [Act No. 69 of July 4, 2018]  [Extract]</w:t>
      </w:r>
    </w:p>
    <w:p w:rsidR="00F355CC" w:rsidRDefault="00F355CC"/>
    <w:p w:rsidR="00F355CC" w:rsidRDefault="00B8555E">
      <w:pPr>
        <w:pStyle w:val="ena"/>
      </w:pPr>
      <w:r>
        <w:t>(Effective Date)</w:t>
      </w:r>
    </w:p>
    <w:p w:rsidR="00F355CC" w:rsidRDefault="00B8555E">
      <w:pPr>
        <w:pStyle w:val="enf3"/>
      </w:pPr>
      <w:r>
        <w:t xml:space="preserve">Article 1  This Act comes into effect as of the day on which the </w:t>
      </w:r>
      <w:r>
        <w:t>amendment to the Montreal Protocol on Substances that Deplete the Ozone Layer (hereinafter referred to as the "protocol") that was adopted on October 15, 2016, comes into effect in Japan; provided, however, that the provisions amending Article 2 and Articl</w:t>
      </w:r>
      <w:r>
        <w:t>e 3, paragraph (1), item (i) and the provisions of the following Article through Article 4 of the Supplementary Provisions come into effect as of the date of the promulgation of this Act.</w:t>
      </w:r>
    </w:p>
    <w:p w:rsidR="00F355CC" w:rsidRDefault="00F355CC"/>
    <w:p w:rsidR="00F355CC" w:rsidRDefault="00B8555E">
      <w:pPr>
        <w:pStyle w:val="ena"/>
      </w:pPr>
      <w:r>
        <w:t>(Preparatory Action)</w:t>
      </w:r>
    </w:p>
    <w:p w:rsidR="00F355CC" w:rsidRDefault="00B8555E">
      <w:pPr>
        <w:pStyle w:val="enf3"/>
      </w:pPr>
      <w:r>
        <w:t>Article 2  (1) A person who seeks to receive t</w:t>
      </w:r>
      <w:r>
        <w:t>he permission set forth in Article 4, paragraph (1) of the Act on the Protection of the Ozone Layer Through the Control of Specified Substances, etc. and Other Measures as amended by this Act (hereinafter referred to as the "new Act" in this Article and th</w:t>
      </w:r>
      <w:r>
        <w:t>e following Article) with regard to an alternative substance to a specified substance prescribed in Article 2, paragraph (2) of the new Act may submit an application for the permission in accordance with the provisions of Article 4, paragraph (2) of the ne</w:t>
      </w:r>
      <w:r>
        <w:t>w Act even prior to the day on which this Act comes into effect (hereinafter referred to as the "effective date" in this Article).</w:t>
      </w:r>
    </w:p>
    <w:p w:rsidR="00F355CC" w:rsidRDefault="00B8555E">
      <w:pPr>
        <w:pStyle w:val="enf4"/>
      </w:pPr>
      <w:r>
        <w:t>(2) If an application for permission is submitted under the provisions of the preceding paragraph, the Minister of Economy, T</w:t>
      </w:r>
      <w:r>
        <w:t>rade and Industry may give the permission and designate the manufactured quantity for export under the permission in accordance with the provisions of Article 5, paragraphs (1) and (2), Article 7, and Article 10 of the new Act even prior to the effective d</w:t>
      </w:r>
      <w:r>
        <w:t xml:space="preserve">ate. In this case, a person who has received that permission is deemed to have received the permission set forth in Article 4, paragraph (1) of the new Act as of the effective date, and a person who has received that designation is deemed to have received </w:t>
      </w:r>
      <w:r>
        <w:t>the designation set forth in Article 5, paragraph (1) of the New Act under the permission.</w:t>
      </w:r>
    </w:p>
    <w:p w:rsidR="00F355CC" w:rsidRDefault="00B8555E">
      <w:pPr>
        <w:pStyle w:val="enf4"/>
      </w:pPr>
      <w:r>
        <w:t>(3) A person who seeks to receive the confirmation set forth in Article 12, paragraph (1) of the new Act with regard to an alternative substance to a specified subst</w:t>
      </w:r>
      <w:r>
        <w:t>ance prescribed in Article 2, paragraph (2) of the relevant Act may submit an application for the confirmation in accordance with the provisions of Article 12, paragraph (2) of the relevant Act even prior to the effective date.</w:t>
      </w:r>
    </w:p>
    <w:p w:rsidR="00F355CC" w:rsidRDefault="00B8555E">
      <w:pPr>
        <w:pStyle w:val="enf4"/>
      </w:pPr>
      <w:r>
        <w:t>(4) If an application for co</w:t>
      </w:r>
      <w:r>
        <w:t>nfirmation is submitted under the provisions of the preceding paragraph, the Minister of Economy, Trade and Industry may give the confirmation even prior to the effective date. In this case, a person who has received that confirmation is deemed to have rec</w:t>
      </w:r>
      <w:r>
        <w:t>eived the confirmation set forth in Article 12, paragraph (1) of the New Act as of the effective date.</w:t>
      </w:r>
    </w:p>
    <w:p w:rsidR="00F355CC" w:rsidRDefault="00F355CC"/>
    <w:p w:rsidR="00F355CC" w:rsidRDefault="00B8555E">
      <w:pPr>
        <w:pStyle w:val="ena"/>
      </w:pPr>
      <w:r>
        <w:t>(Reports)</w:t>
      </w:r>
    </w:p>
    <w:p w:rsidR="00F355CC" w:rsidRDefault="00B8555E">
      <w:pPr>
        <w:pStyle w:val="enf3"/>
      </w:pPr>
      <w:r>
        <w:t>Article 3  In order to calculate the levels of production and consumption prescribed in Article 3, paragraph (1), item (i) of the new Act, the</w:t>
      </w:r>
      <w:r>
        <w:t xml:space="preserve"> Minister of Economy, Trade and Industry may request a person who has manufactured, exported, or imported the substances listed in Annex F of the protocol between 2011 and 2013 to report on the quantity of manufacture, export, or import of those substances</w:t>
      </w:r>
      <w:r>
        <w:t xml:space="preserve"> as calculated in accordance with the provisions of Article 2, paragraph (4) of the relevant Act regarding an alternative substance to a specified substance prescribed in Article 2, paragraph (2) of the relevant Act.</w:t>
      </w:r>
    </w:p>
    <w:p w:rsidR="00F355CC" w:rsidRDefault="00F355CC"/>
    <w:p w:rsidR="00F355CC" w:rsidRDefault="00B8555E">
      <w:pPr>
        <w:pStyle w:val="ena"/>
      </w:pPr>
      <w:r>
        <w:t>(Delegation to Cabinet Order)</w:t>
      </w:r>
    </w:p>
    <w:p w:rsidR="00F355CC" w:rsidRDefault="00B8555E">
      <w:pPr>
        <w:pStyle w:val="enf3"/>
      </w:pPr>
      <w:r>
        <w:t xml:space="preserve">Article </w:t>
      </w:r>
      <w:r>
        <w:t>4  Beyond what is provided for in these Supplementary Provisions, transitional measures necessary for the enforcement of this Act (including transitional measures concerning penal provisions) are specified by Cabinet Order.</w:t>
      </w:r>
    </w:p>
    <w:sectPr w:rsidR="00F355CC" w:rsidSect="00F355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5CC" w:rsidRDefault="00F355CC" w:rsidP="00F355CC">
      <w:r>
        <w:separator/>
      </w:r>
    </w:p>
  </w:endnote>
  <w:endnote w:type="continuationSeparator" w:id="0">
    <w:p w:rsidR="00F355CC" w:rsidRDefault="00F355CC" w:rsidP="00F3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5CC" w:rsidRDefault="00F355CC">
    <w:pPr>
      <w:pStyle w:val="a3"/>
    </w:pPr>
    <w:r>
      <w:fldChar w:fldCharType="begin"/>
    </w:r>
    <w:r>
      <w:instrText xml:space="preserve"> PAGE  \* MERGEFORMAT </w:instrText>
    </w:r>
    <w:r>
      <w:fldChar w:fldCharType="separate"/>
    </w:r>
    <w:r w:rsidR="00B855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5CC" w:rsidRDefault="00F355CC" w:rsidP="00F355CC">
      <w:r>
        <w:separator/>
      </w:r>
    </w:p>
  </w:footnote>
  <w:footnote w:type="continuationSeparator" w:id="0">
    <w:p w:rsidR="00F355CC" w:rsidRDefault="00F355CC" w:rsidP="00F35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8C"/>
    <w:multiLevelType w:val="multilevel"/>
    <w:tmpl w:val="66DC74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4B08D8"/>
    <w:multiLevelType w:val="multilevel"/>
    <w:tmpl w:val="DD5A5B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94391A"/>
    <w:multiLevelType w:val="multilevel"/>
    <w:tmpl w:val="8EEC7D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DF1F80"/>
    <w:multiLevelType w:val="multilevel"/>
    <w:tmpl w:val="47B430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026B9D"/>
    <w:multiLevelType w:val="multilevel"/>
    <w:tmpl w:val="51467D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784063"/>
    <w:multiLevelType w:val="multilevel"/>
    <w:tmpl w:val="B55C0B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DC499C"/>
    <w:multiLevelType w:val="multilevel"/>
    <w:tmpl w:val="555C2C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146EE8"/>
    <w:multiLevelType w:val="multilevel"/>
    <w:tmpl w:val="39A6DF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10497A"/>
    <w:multiLevelType w:val="multilevel"/>
    <w:tmpl w:val="2F2E7D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CF1A03"/>
    <w:multiLevelType w:val="multilevel"/>
    <w:tmpl w:val="440046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065696"/>
    <w:multiLevelType w:val="multilevel"/>
    <w:tmpl w:val="0C906D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F7070B"/>
    <w:multiLevelType w:val="multilevel"/>
    <w:tmpl w:val="ABC66C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A8371C"/>
    <w:multiLevelType w:val="multilevel"/>
    <w:tmpl w:val="CCA423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12"/>
  </w:num>
  <w:num w:numId="4">
    <w:abstractNumId w:val="2"/>
  </w:num>
  <w:num w:numId="5">
    <w:abstractNumId w:val="8"/>
  </w:num>
  <w:num w:numId="6">
    <w:abstractNumId w:val="3"/>
  </w:num>
  <w:num w:numId="7">
    <w:abstractNumId w:val="11"/>
  </w:num>
  <w:num w:numId="8">
    <w:abstractNumId w:val="4"/>
  </w:num>
  <w:num w:numId="9">
    <w:abstractNumId w:val="5"/>
  </w:num>
  <w:num w:numId="10">
    <w:abstractNumId w:val="9"/>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55CC"/>
    <w:rsid w:val="00B8555E"/>
    <w:rsid w:val="00F355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5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55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55CC"/>
    <w:rPr>
      <w:rFonts w:ascii="Century" w:eastAsia="Century" w:hAnsi="Century"/>
    </w:rPr>
  </w:style>
  <w:style w:type="paragraph" w:customStyle="1" w:styleId="ja0">
    <w:name w:val="款（ja）"/>
    <w:basedOn w:val="a"/>
    <w:rsid w:val="00F355CC"/>
    <w:pPr>
      <w:widowControl w:val="0"/>
      <w:ind w:left="1321" w:hanging="221"/>
    </w:pPr>
    <w:rPr>
      <w:rFonts w:ascii="ＭＳ 明朝" w:eastAsia="ＭＳ 明朝" w:hAnsi="ＭＳ 明朝" w:cs="ＭＳ 明朝"/>
      <w:b/>
    </w:rPr>
  </w:style>
  <w:style w:type="paragraph" w:customStyle="1" w:styleId="en0">
    <w:name w:val="款（en）"/>
    <w:basedOn w:val="ja0"/>
    <w:rsid w:val="00F355CC"/>
    <w:rPr>
      <w:rFonts w:ascii="Century" w:eastAsia="Century" w:hAnsi="Century" w:cs="Century"/>
    </w:rPr>
  </w:style>
  <w:style w:type="paragraph" w:customStyle="1" w:styleId="ja1">
    <w:name w:val="前文（ja）"/>
    <w:basedOn w:val="a"/>
    <w:rsid w:val="00F355CC"/>
    <w:pPr>
      <w:widowControl w:val="0"/>
      <w:ind w:firstLine="219"/>
    </w:pPr>
    <w:rPr>
      <w:rFonts w:ascii="ＭＳ 明朝" w:eastAsia="ＭＳ 明朝" w:hAnsi="ＭＳ 明朝" w:cs="ＭＳ 明朝"/>
    </w:rPr>
  </w:style>
  <w:style w:type="paragraph" w:customStyle="1" w:styleId="en1">
    <w:name w:val="前文（en）"/>
    <w:basedOn w:val="ja1"/>
    <w:rsid w:val="00F355CC"/>
    <w:rPr>
      <w:rFonts w:ascii="Century" w:eastAsia="Century" w:hAnsi="Century" w:cs="Century"/>
    </w:rPr>
  </w:style>
  <w:style w:type="paragraph" w:customStyle="1" w:styleId="ja2">
    <w:name w:val="附則（ja）"/>
    <w:basedOn w:val="a"/>
    <w:rsid w:val="00F355CC"/>
    <w:pPr>
      <w:widowControl w:val="0"/>
      <w:ind w:left="881" w:hanging="221"/>
    </w:pPr>
    <w:rPr>
      <w:rFonts w:ascii="ＭＳ 明朝" w:eastAsia="ＭＳ 明朝" w:hAnsi="ＭＳ 明朝" w:cs="ＭＳ 明朝"/>
      <w:b/>
    </w:rPr>
  </w:style>
  <w:style w:type="paragraph" w:customStyle="1" w:styleId="en2">
    <w:name w:val="附則（en）"/>
    <w:basedOn w:val="ja2"/>
    <w:rsid w:val="00F355CC"/>
    <w:rPr>
      <w:rFonts w:ascii="Century" w:hAnsi="Century" w:cs="Century"/>
    </w:rPr>
  </w:style>
  <w:style w:type="paragraph" w:customStyle="1" w:styleId="ja3">
    <w:name w:val="章（ja）"/>
    <w:basedOn w:val="a"/>
    <w:rsid w:val="00F355CC"/>
    <w:pPr>
      <w:widowControl w:val="0"/>
      <w:ind w:left="881" w:hanging="221"/>
    </w:pPr>
    <w:rPr>
      <w:rFonts w:ascii="ＭＳ 明朝" w:eastAsia="ＭＳ 明朝" w:hAnsi="ＭＳ 明朝" w:cs="ＭＳ 明朝"/>
      <w:b/>
    </w:rPr>
  </w:style>
  <w:style w:type="paragraph" w:customStyle="1" w:styleId="en3">
    <w:name w:val="章（en）"/>
    <w:basedOn w:val="ja3"/>
    <w:rsid w:val="00F355CC"/>
    <w:rPr>
      <w:rFonts w:ascii="Century" w:eastAsia="Century" w:hAnsi="Century" w:cs="Century"/>
    </w:rPr>
  </w:style>
  <w:style w:type="paragraph" w:customStyle="1" w:styleId="ja4">
    <w:name w:val="目次編（ja）"/>
    <w:basedOn w:val="a"/>
    <w:rsid w:val="00F355CC"/>
    <w:pPr>
      <w:widowControl w:val="0"/>
      <w:ind w:left="219" w:hanging="219"/>
    </w:pPr>
    <w:rPr>
      <w:rFonts w:ascii="ＭＳ 明朝" w:eastAsia="ＭＳ 明朝" w:hAnsi="ＭＳ 明朝"/>
    </w:rPr>
  </w:style>
  <w:style w:type="paragraph" w:customStyle="1" w:styleId="en4">
    <w:name w:val="目次編（en）"/>
    <w:basedOn w:val="ja4"/>
    <w:rsid w:val="00F355CC"/>
    <w:rPr>
      <w:rFonts w:ascii="Century" w:eastAsia="Century" w:hAnsi="Century"/>
    </w:rPr>
  </w:style>
  <w:style w:type="paragraph" w:customStyle="1" w:styleId="ja5">
    <w:name w:val="目次章（ja）"/>
    <w:basedOn w:val="a"/>
    <w:rsid w:val="00F355CC"/>
    <w:pPr>
      <w:widowControl w:val="0"/>
      <w:ind w:left="439" w:hanging="219"/>
    </w:pPr>
    <w:rPr>
      <w:rFonts w:ascii="ＭＳ 明朝" w:eastAsia="ＭＳ 明朝" w:hAnsi="ＭＳ 明朝"/>
    </w:rPr>
  </w:style>
  <w:style w:type="paragraph" w:customStyle="1" w:styleId="en5">
    <w:name w:val="目次章（en）"/>
    <w:basedOn w:val="ja5"/>
    <w:rsid w:val="00F355CC"/>
    <w:rPr>
      <w:rFonts w:ascii="Century" w:eastAsia="Century" w:hAnsi="Century"/>
    </w:rPr>
  </w:style>
  <w:style w:type="paragraph" w:customStyle="1" w:styleId="ja6">
    <w:name w:val="目次節（ja）"/>
    <w:basedOn w:val="a"/>
    <w:rsid w:val="00F355CC"/>
    <w:pPr>
      <w:widowControl w:val="0"/>
      <w:ind w:left="659" w:hanging="219"/>
    </w:pPr>
    <w:rPr>
      <w:rFonts w:ascii="ＭＳ 明朝" w:eastAsia="ＭＳ 明朝" w:hAnsi="ＭＳ 明朝"/>
    </w:rPr>
  </w:style>
  <w:style w:type="paragraph" w:customStyle="1" w:styleId="en6">
    <w:name w:val="目次節（en）"/>
    <w:basedOn w:val="ja6"/>
    <w:rsid w:val="00F355CC"/>
    <w:rPr>
      <w:rFonts w:ascii="Century" w:eastAsia="Century" w:hAnsi="Century"/>
    </w:rPr>
  </w:style>
  <w:style w:type="paragraph" w:customStyle="1" w:styleId="ja7">
    <w:name w:val="目次款（ja）"/>
    <w:basedOn w:val="a"/>
    <w:rsid w:val="00F355CC"/>
    <w:pPr>
      <w:widowControl w:val="0"/>
      <w:ind w:left="879" w:hanging="219"/>
    </w:pPr>
    <w:rPr>
      <w:rFonts w:ascii="ＭＳ 明朝" w:eastAsia="ＭＳ 明朝" w:hAnsi="ＭＳ 明朝" w:cs="Kochi Mincho"/>
    </w:rPr>
  </w:style>
  <w:style w:type="paragraph" w:customStyle="1" w:styleId="en7">
    <w:name w:val="目次款（en）"/>
    <w:basedOn w:val="ja7"/>
    <w:rsid w:val="00F355CC"/>
    <w:rPr>
      <w:rFonts w:ascii="Century" w:eastAsia="Century" w:hAnsi="Century"/>
    </w:rPr>
  </w:style>
  <w:style w:type="paragraph" w:customStyle="1" w:styleId="ja8">
    <w:name w:val="別表名（ja）"/>
    <w:basedOn w:val="a"/>
    <w:rsid w:val="00F355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55CC"/>
    <w:rPr>
      <w:rFonts w:ascii="Century" w:eastAsia="Century" w:hAnsi="Century" w:cs="Century"/>
    </w:rPr>
  </w:style>
  <w:style w:type="paragraph" w:customStyle="1" w:styleId="ja9">
    <w:name w:val="目（ja）"/>
    <w:basedOn w:val="a"/>
    <w:rsid w:val="00F355CC"/>
    <w:pPr>
      <w:widowControl w:val="0"/>
      <w:ind w:left="1541" w:hanging="221"/>
    </w:pPr>
    <w:rPr>
      <w:rFonts w:ascii="ＭＳ 明朝" w:eastAsia="ＭＳ 明朝" w:hAnsi="ＭＳ 明朝" w:cs="ＭＳ 明朝"/>
      <w:b/>
    </w:rPr>
  </w:style>
  <w:style w:type="paragraph" w:customStyle="1" w:styleId="en9">
    <w:name w:val="目（en）"/>
    <w:basedOn w:val="ja9"/>
    <w:rsid w:val="00F355CC"/>
    <w:rPr>
      <w:rFonts w:ascii="Century" w:eastAsia="Century" w:hAnsi="Century" w:cs="Century"/>
    </w:rPr>
  </w:style>
  <w:style w:type="paragraph" w:customStyle="1" w:styleId="jaa">
    <w:name w:val="見出し（ja）"/>
    <w:basedOn w:val="a"/>
    <w:rsid w:val="00F355CC"/>
    <w:pPr>
      <w:widowControl w:val="0"/>
      <w:ind w:left="439" w:hanging="219"/>
    </w:pPr>
    <w:rPr>
      <w:rFonts w:ascii="ＭＳ 明朝" w:eastAsia="ＭＳ 明朝" w:hAnsi="ＭＳ 明朝" w:cs="ＭＳ 明朝"/>
    </w:rPr>
  </w:style>
  <w:style w:type="paragraph" w:customStyle="1" w:styleId="ena">
    <w:name w:val="見出し（en）"/>
    <w:basedOn w:val="jaa"/>
    <w:rsid w:val="00F355CC"/>
    <w:rPr>
      <w:rFonts w:ascii="Century" w:eastAsia="Century" w:hAnsi="Century" w:cs="Century"/>
    </w:rPr>
  </w:style>
  <w:style w:type="paragraph" w:styleId="a3">
    <w:name w:val="footer"/>
    <w:basedOn w:val="a"/>
    <w:rsid w:val="00F355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55CC"/>
    <w:pPr>
      <w:widowControl w:val="0"/>
      <w:ind w:left="1099" w:hanging="219"/>
    </w:pPr>
    <w:rPr>
      <w:rFonts w:ascii="ＭＳ 明朝" w:eastAsia="ＭＳ 明朝" w:hAnsi="ＭＳ 明朝" w:cs="Kochi Mincho"/>
    </w:rPr>
  </w:style>
  <w:style w:type="paragraph" w:customStyle="1" w:styleId="enb">
    <w:name w:val="目次目（en）"/>
    <w:basedOn w:val="jab"/>
    <w:rsid w:val="00F355CC"/>
    <w:rPr>
      <w:rFonts w:ascii="Century" w:eastAsia="Century" w:hAnsi="Century"/>
    </w:rPr>
  </w:style>
  <w:style w:type="paragraph" w:customStyle="1" w:styleId="jac">
    <w:name w:val="目次附則（ja）"/>
    <w:basedOn w:val="a"/>
    <w:rsid w:val="00F355CC"/>
    <w:pPr>
      <w:widowControl w:val="0"/>
      <w:ind w:left="439" w:hanging="219"/>
    </w:pPr>
    <w:rPr>
      <w:rFonts w:ascii="ＭＳ 明朝" w:eastAsia="ＭＳ 明朝" w:hAnsi="ＭＳ 明朝" w:cs="Kochi Mincho"/>
    </w:rPr>
  </w:style>
  <w:style w:type="paragraph" w:customStyle="1" w:styleId="enc">
    <w:name w:val="目次附則（en）"/>
    <w:basedOn w:val="jac"/>
    <w:rsid w:val="00F355CC"/>
    <w:rPr>
      <w:rFonts w:ascii="Century" w:eastAsia="Century" w:hAnsi="Century" w:cs="Century"/>
    </w:rPr>
  </w:style>
  <w:style w:type="paragraph" w:customStyle="1" w:styleId="jad">
    <w:name w:val="目次前文（ja）"/>
    <w:basedOn w:val="jac"/>
    <w:rsid w:val="00F355CC"/>
  </w:style>
  <w:style w:type="paragraph" w:customStyle="1" w:styleId="end">
    <w:name w:val="目次前文（en）"/>
    <w:basedOn w:val="enc"/>
    <w:rsid w:val="00F355CC"/>
  </w:style>
  <w:style w:type="paragraph" w:customStyle="1" w:styleId="jae">
    <w:name w:val="制定文（ja）"/>
    <w:basedOn w:val="a"/>
    <w:rsid w:val="00F355CC"/>
    <w:pPr>
      <w:widowControl w:val="0"/>
      <w:ind w:firstLine="219"/>
    </w:pPr>
    <w:rPr>
      <w:rFonts w:ascii="ＭＳ 明朝" w:eastAsia="ＭＳ 明朝" w:hAnsi="ＭＳ 明朝" w:cs="ＭＳ 明朝"/>
    </w:rPr>
  </w:style>
  <w:style w:type="paragraph" w:customStyle="1" w:styleId="ene">
    <w:name w:val="制定文（en）"/>
    <w:basedOn w:val="jae"/>
    <w:rsid w:val="00F355CC"/>
    <w:rPr>
      <w:rFonts w:ascii="Century" w:eastAsia="Century" w:hAnsi="Century" w:cs="Century"/>
    </w:rPr>
  </w:style>
  <w:style w:type="paragraph" w:customStyle="1" w:styleId="jaf">
    <w:name w:val="法令番号（ja）"/>
    <w:basedOn w:val="a"/>
    <w:rsid w:val="00F355CC"/>
    <w:pPr>
      <w:widowControl w:val="0"/>
      <w:jc w:val="right"/>
    </w:pPr>
    <w:rPr>
      <w:rFonts w:ascii="ＭＳ 明朝" w:eastAsia="ＭＳ 明朝" w:hAnsi="ＭＳ 明朝" w:cs="Kochi Mincho"/>
    </w:rPr>
  </w:style>
  <w:style w:type="paragraph" w:customStyle="1" w:styleId="enf">
    <w:name w:val="法令番号（en）"/>
    <w:basedOn w:val="jaf"/>
    <w:rsid w:val="00F355CC"/>
    <w:rPr>
      <w:rFonts w:ascii="Century" w:eastAsia="Century" w:hAnsi="Century" w:cs="Century"/>
    </w:rPr>
  </w:style>
  <w:style w:type="paragraph" w:customStyle="1" w:styleId="jaf0">
    <w:name w:val="目次（ja）"/>
    <w:basedOn w:val="a"/>
    <w:rsid w:val="00F355CC"/>
    <w:rPr>
      <w:rFonts w:ascii="ＭＳ 明朝" w:eastAsia="ＭＳ 明朝" w:hAnsi="ＭＳ 明朝"/>
    </w:rPr>
  </w:style>
  <w:style w:type="paragraph" w:customStyle="1" w:styleId="enf0">
    <w:name w:val="目次（en）"/>
    <w:basedOn w:val="jaf0"/>
    <w:rsid w:val="00F355CC"/>
    <w:rPr>
      <w:rFonts w:ascii="Century" w:eastAsia="Century" w:hAnsi="Century"/>
    </w:rPr>
  </w:style>
  <w:style w:type="paragraph" w:customStyle="1" w:styleId="jaf1">
    <w:name w:val="編（ja）"/>
    <w:basedOn w:val="a"/>
    <w:rsid w:val="00F355CC"/>
    <w:pPr>
      <w:widowControl w:val="0"/>
      <w:ind w:left="661" w:hanging="221"/>
    </w:pPr>
    <w:rPr>
      <w:rFonts w:ascii="ＭＳ 明朝" w:eastAsia="ＭＳ 明朝" w:hAnsi="ＭＳ 明朝" w:cs="ＭＳ 明朝"/>
      <w:b/>
    </w:rPr>
  </w:style>
  <w:style w:type="paragraph" w:customStyle="1" w:styleId="enf1">
    <w:name w:val="編（en）"/>
    <w:basedOn w:val="jaf1"/>
    <w:rsid w:val="00F355CC"/>
    <w:rPr>
      <w:rFonts w:ascii="Century" w:eastAsia="Century" w:hAnsi="Century" w:cs="Century"/>
    </w:rPr>
  </w:style>
  <w:style w:type="paragraph" w:customStyle="1" w:styleId="jaf2">
    <w:name w:val="節（ja）"/>
    <w:basedOn w:val="a"/>
    <w:rsid w:val="00F355CC"/>
    <w:pPr>
      <w:widowControl w:val="0"/>
      <w:ind w:left="1101" w:hanging="221"/>
    </w:pPr>
    <w:rPr>
      <w:rFonts w:ascii="ＭＳ 明朝" w:eastAsia="ＭＳ 明朝" w:hAnsi="ＭＳ 明朝" w:cs="ＭＳ 明朝"/>
      <w:b/>
    </w:rPr>
  </w:style>
  <w:style w:type="paragraph" w:customStyle="1" w:styleId="enf2">
    <w:name w:val="節（en）"/>
    <w:basedOn w:val="jaf2"/>
    <w:rsid w:val="00F355CC"/>
    <w:rPr>
      <w:rFonts w:ascii="Century" w:eastAsia="Century" w:hAnsi="Century" w:cs="Century"/>
    </w:rPr>
  </w:style>
  <w:style w:type="paragraph" w:customStyle="1" w:styleId="jaf3">
    <w:name w:val="条（ja）"/>
    <w:basedOn w:val="a"/>
    <w:rsid w:val="00F355CC"/>
    <w:pPr>
      <w:widowControl w:val="0"/>
      <w:ind w:left="219" w:hanging="219"/>
    </w:pPr>
    <w:rPr>
      <w:rFonts w:ascii="ＭＳ 明朝" w:eastAsia="ＭＳ 明朝" w:hAnsi="ＭＳ 明朝" w:cs="ＭＳ 明朝"/>
    </w:rPr>
  </w:style>
  <w:style w:type="paragraph" w:customStyle="1" w:styleId="enf3">
    <w:name w:val="条（en）"/>
    <w:basedOn w:val="jaf3"/>
    <w:rsid w:val="00F355CC"/>
    <w:rPr>
      <w:rFonts w:ascii="Century" w:eastAsia="Century" w:hAnsi="Century" w:cs="Century"/>
    </w:rPr>
  </w:style>
  <w:style w:type="paragraph" w:customStyle="1" w:styleId="jaf4">
    <w:name w:val="項（ja）"/>
    <w:basedOn w:val="a"/>
    <w:rsid w:val="00F355CC"/>
    <w:pPr>
      <w:widowControl w:val="0"/>
      <w:ind w:left="219" w:hanging="219"/>
    </w:pPr>
    <w:rPr>
      <w:rFonts w:ascii="ＭＳ 明朝" w:eastAsia="ＭＳ 明朝" w:hAnsi="ＭＳ 明朝" w:cs="ＭＳ 明朝"/>
    </w:rPr>
  </w:style>
  <w:style w:type="paragraph" w:customStyle="1" w:styleId="enf4">
    <w:name w:val="項（en）"/>
    <w:basedOn w:val="jaf4"/>
    <w:rsid w:val="00F355CC"/>
    <w:rPr>
      <w:rFonts w:ascii="Century" w:eastAsia="Century" w:hAnsi="Century" w:cs="Century"/>
    </w:rPr>
  </w:style>
  <w:style w:type="paragraph" w:customStyle="1" w:styleId="jaf5">
    <w:name w:val="項　番号なし（ja）"/>
    <w:basedOn w:val="a"/>
    <w:rsid w:val="00F355CC"/>
    <w:pPr>
      <w:widowControl w:val="0"/>
      <w:ind w:firstLine="221"/>
    </w:pPr>
    <w:rPr>
      <w:rFonts w:ascii="ＭＳ 明朝" w:eastAsia="ＭＳ 明朝" w:hAnsi="ＭＳ 明朝" w:cs="ＭＳ 明朝"/>
    </w:rPr>
  </w:style>
  <w:style w:type="paragraph" w:customStyle="1" w:styleId="enf5">
    <w:name w:val="項　番号なし（en）"/>
    <w:basedOn w:val="jaf5"/>
    <w:rsid w:val="00F355CC"/>
    <w:rPr>
      <w:rFonts w:ascii="Century" w:eastAsia="Century" w:hAnsi="Century" w:cs="Century"/>
    </w:rPr>
  </w:style>
  <w:style w:type="paragraph" w:customStyle="1" w:styleId="jaf6">
    <w:name w:val="号（ja）"/>
    <w:basedOn w:val="a"/>
    <w:rsid w:val="00F355CC"/>
    <w:pPr>
      <w:widowControl w:val="0"/>
      <w:ind w:left="439" w:hanging="219"/>
    </w:pPr>
    <w:rPr>
      <w:rFonts w:ascii="ＭＳ 明朝" w:eastAsia="ＭＳ 明朝" w:hAnsi="ＭＳ 明朝" w:cs="ＭＳ 明朝"/>
    </w:rPr>
  </w:style>
  <w:style w:type="paragraph" w:customStyle="1" w:styleId="enf6">
    <w:name w:val="号（en）"/>
    <w:basedOn w:val="jaf6"/>
    <w:rsid w:val="00F355CC"/>
    <w:rPr>
      <w:rFonts w:ascii="Century" w:eastAsia="Century" w:hAnsi="Century" w:cs="Century"/>
    </w:rPr>
  </w:style>
  <w:style w:type="paragraph" w:customStyle="1" w:styleId="jaf7">
    <w:name w:val="号　番号なし（ja）"/>
    <w:basedOn w:val="a"/>
    <w:rsid w:val="00F355CC"/>
    <w:pPr>
      <w:widowControl w:val="0"/>
      <w:ind w:left="221" w:firstLine="221"/>
    </w:pPr>
    <w:rPr>
      <w:rFonts w:ascii="ＭＳ 明朝" w:eastAsia="ＭＳ 明朝" w:hAnsi="ＭＳ 明朝" w:cs="ＭＳ 明朝"/>
    </w:rPr>
  </w:style>
  <w:style w:type="paragraph" w:customStyle="1" w:styleId="enf7">
    <w:name w:val="号　番号なし（en）"/>
    <w:basedOn w:val="jaf7"/>
    <w:rsid w:val="00F355CC"/>
    <w:rPr>
      <w:rFonts w:ascii="Century" w:eastAsia="Century" w:hAnsi="Century" w:cs="Century"/>
    </w:rPr>
  </w:style>
  <w:style w:type="paragraph" w:customStyle="1" w:styleId="jaf8">
    <w:name w:val="備考号（ja）"/>
    <w:basedOn w:val="a"/>
    <w:rsid w:val="00F355CC"/>
    <w:pPr>
      <w:widowControl w:val="0"/>
      <w:ind w:left="659" w:hanging="219"/>
    </w:pPr>
    <w:rPr>
      <w:rFonts w:ascii="ＭＳ 明朝" w:eastAsia="ＭＳ 明朝" w:hAnsi="ＭＳ 明朝" w:cs="ＭＳ 明朝"/>
    </w:rPr>
  </w:style>
  <w:style w:type="paragraph" w:customStyle="1" w:styleId="enf8">
    <w:name w:val="備考号（en）"/>
    <w:basedOn w:val="jaf8"/>
    <w:rsid w:val="00F355CC"/>
    <w:rPr>
      <w:rFonts w:ascii="Century" w:eastAsia="Century" w:hAnsi="Century" w:cs="Century"/>
    </w:rPr>
  </w:style>
  <w:style w:type="paragraph" w:customStyle="1" w:styleId="jaf9">
    <w:name w:val="号細分（ja）"/>
    <w:basedOn w:val="a"/>
    <w:rsid w:val="00F355CC"/>
    <w:pPr>
      <w:widowControl w:val="0"/>
      <w:ind w:left="659" w:hanging="219"/>
    </w:pPr>
    <w:rPr>
      <w:rFonts w:ascii="ＭＳ 明朝" w:eastAsia="ＭＳ 明朝" w:hAnsi="ＭＳ 明朝" w:cs="ＭＳ 明朝"/>
    </w:rPr>
  </w:style>
  <w:style w:type="paragraph" w:customStyle="1" w:styleId="enf9">
    <w:name w:val="号細分（en）"/>
    <w:basedOn w:val="jaf9"/>
    <w:rsid w:val="00F355CC"/>
    <w:rPr>
      <w:rFonts w:ascii="Century" w:eastAsia="Century" w:hAnsi="Century" w:cs="Century"/>
    </w:rPr>
  </w:style>
  <w:style w:type="paragraph" w:customStyle="1" w:styleId="jafa">
    <w:name w:val="号細分　番号なし（ja）"/>
    <w:basedOn w:val="a"/>
    <w:rsid w:val="00F355CC"/>
    <w:pPr>
      <w:widowControl w:val="0"/>
      <w:ind w:left="439"/>
    </w:pPr>
    <w:rPr>
      <w:rFonts w:ascii="ＭＳ 明朝" w:eastAsia="ＭＳ 明朝" w:hAnsi="ＭＳ 明朝" w:cs="ＭＳ 明朝"/>
    </w:rPr>
  </w:style>
  <w:style w:type="paragraph" w:customStyle="1" w:styleId="enfa">
    <w:name w:val="号細分　番号なし（en）"/>
    <w:basedOn w:val="jafa"/>
    <w:rsid w:val="00F355CC"/>
    <w:rPr>
      <w:rFonts w:ascii="Century" w:eastAsia="Century" w:hAnsi="Century" w:cs="Century"/>
    </w:rPr>
  </w:style>
  <w:style w:type="paragraph" w:customStyle="1" w:styleId="jafb">
    <w:name w:val="備考号細分（ja）"/>
    <w:basedOn w:val="a"/>
    <w:rsid w:val="00F355CC"/>
    <w:pPr>
      <w:widowControl w:val="0"/>
      <w:ind w:left="1099" w:hanging="439"/>
    </w:pPr>
    <w:rPr>
      <w:rFonts w:ascii="ＭＳ 明朝" w:eastAsia="ＭＳ 明朝" w:hAnsi="ＭＳ 明朝" w:cs="ＭＳ 明朝"/>
    </w:rPr>
  </w:style>
  <w:style w:type="paragraph" w:customStyle="1" w:styleId="enfb">
    <w:name w:val="備考号細分（en）"/>
    <w:basedOn w:val="jafb"/>
    <w:rsid w:val="00F355CC"/>
    <w:rPr>
      <w:rFonts w:ascii="Century" w:eastAsia="Century" w:hAnsi="Century" w:cs="Century"/>
    </w:rPr>
  </w:style>
  <w:style w:type="paragraph" w:customStyle="1" w:styleId="jafc">
    <w:name w:val="号細細分（ja）"/>
    <w:basedOn w:val="a"/>
    <w:rsid w:val="00F355CC"/>
    <w:pPr>
      <w:widowControl w:val="0"/>
      <w:ind w:left="1099" w:hanging="439"/>
    </w:pPr>
    <w:rPr>
      <w:rFonts w:ascii="ＭＳ 明朝" w:eastAsia="ＭＳ 明朝" w:hAnsi="ＭＳ 明朝" w:cs="ＭＳ 明朝"/>
    </w:rPr>
  </w:style>
  <w:style w:type="paragraph" w:customStyle="1" w:styleId="enfc">
    <w:name w:val="号細細分（en）"/>
    <w:basedOn w:val="jafc"/>
    <w:rsid w:val="00F355CC"/>
    <w:rPr>
      <w:rFonts w:ascii="Century" w:eastAsia="Century" w:hAnsi="Century" w:cs="Century"/>
    </w:rPr>
  </w:style>
  <w:style w:type="paragraph" w:customStyle="1" w:styleId="jafd">
    <w:name w:val="号細細分　番号なし（ja）"/>
    <w:basedOn w:val="a"/>
    <w:rsid w:val="00F355CC"/>
    <w:pPr>
      <w:widowControl w:val="0"/>
      <w:ind w:left="659"/>
    </w:pPr>
    <w:rPr>
      <w:rFonts w:ascii="ＭＳ 明朝" w:eastAsia="ＭＳ 明朝" w:hAnsi="ＭＳ 明朝" w:cs="ＭＳ 明朝"/>
    </w:rPr>
  </w:style>
  <w:style w:type="paragraph" w:customStyle="1" w:styleId="enfd">
    <w:name w:val="号細細分　番号なし（en）"/>
    <w:basedOn w:val="jafd"/>
    <w:rsid w:val="00F355CC"/>
    <w:rPr>
      <w:rFonts w:ascii="Century" w:eastAsia="Century" w:hAnsi="Century" w:cs="Century"/>
    </w:rPr>
  </w:style>
  <w:style w:type="paragraph" w:customStyle="1" w:styleId="jafe">
    <w:name w:val="備考号細細分（ja）"/>
    <w:basedOn w:val="a"/>
    <w:rsid w:val="00F355CC"/>
    <w:pPr>
      <w:widowControl w:val="0"/>
      <w:ind w:left="1319" w:hanging="439"/>
    </w:pPr>
    <w:rPr>
      <w:rFonts w:ascii="ＭＳ 明朝" w:eastAsia="ＭＳ 明朝" w:hAnsi="ＭＳ 明朝" w:cs="ＭＳ 明朝"/>
    </w:rPr>
  </w:style>
  <w:style w:type="paragraph" w:customStyle="1" w:styleId="enfe">
    <w:name w:val="備考号細細分（en）"/>
    <w:basedOn w:val="jafe"/>
    <w:rsid w:val="00F355CC"/>
    <w:rPr>
      <w:rFonts w:ascii="Century" w:eastAsia="Century" w:hAnsi="Century" w:cs="Century"/>
    </w:rPr>
  </w:style>
  <w:style w:type="paragraph" w:customStyle="1" w:styleId="jaff">
    <w:name w:val="号細細細分（ja）"/>
    <w:basedOn w:val="a"/>
    <w:rsid w:val="00F355CC"/>
    <w:pPr>
      <w:widowControl w:val="0"/>
      <w:ind w:left="1319" w:hanging="439"/>
    </w:pPr>
    <w:rPr>
      <w:rFonts w:ascii="ＭＳ 明朝" w:eastAsia="ＭＳ 明朝" w:hAnsi="ＭＳ 明朝" w:cs="ＭＳ 明朝"/>
    </w:rPr>
  </w:style>
  <w:style w:type="paragraph" w:customStyle="1" w:styleId="enff">
    <w:name w:val="号細細細分（en）"/>
    <w:basedOn w:val="jaff"/>
    <w:rsid w:val="00F355CC"/>
    <w:rPr>
      <w:rFonts w:ascii="Century" w:eastAsia="Century" w:hAnsi="Century" w:cs="Century"/>
    </w:rPr>
  </w:style>
  <w:style w:type="paragraph" w:customStyle="1" w:styleId="jaff0">
    <w:name w:val="号細細細分　番号なし（ja）"/>
    <w:basedOn w:val="a"/>
    <w:rsid w:val="00F355CC"/>
    <w:pPr>
      <w:widowControl w:val="0"/>
      <w:ind w:left="879"/>
    </w:pPr>
    <w:rPr>
      <w:rFonts w:ascii="ＭＳ 明朝" w:eastAsia="ＭＳ 明朝" w:hAnsi="ＭＳ 明朝" w:cs="ＭＳ 明朝"/>
    </w:rPr>
  </w:style>
  <w:style w:type="paragraph" w:customStyle="1" w:styleId="enff0">
    <w:name w:val="号細細細分　番号なし（en）"/>
    <w:basedOn w:val="jaff0"/>
    <w:rsid w:val="00F355CC"/>
    <w:rPr>
      <w:rFonts w:ascii="Century" w:eastAsia="Century" w:hAnsi="Century" w:cs="Century"/>
    </w:rPr>
  </w:style>
  <w:style w:type="paragraph" w:customStyle="1" w:styleId="jaff1">
    <w:name w:val="備考号細細細分（ja）"/>
    <w:basedOn w:val="a"/>
    <w:rsid w:val="00F355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55CC"/>
    <w:rPr>
      <w:rFonts w:ascii="Century" w:eastAsia="Century" w:hAnsi="Century" w:cs="Century"/>
    </w:rPr>
  </w:style>
  <w:style w:type="paragraph" w:customStyle="1" w:styleId="jaff2">
    <w:name w:val="類（ja）"/>
    <w:basedOn w:val="a"/>
    <w:rsid w:val="00F355CC"/>
    <w:pPr>
      <w:widowControl w:val="0"/>
      <w:ind w:left="439" w:hanging="219"/>
    </w:pPr>
    <w:rPr>
      <w:rFonts w:ascii="ＭＳ 明朝" w:eastAsia="ＭＳ 明朝" w:hAnsi="ＭＳ 明朝" w:cs="ＭＳ 明朝"/>
    </w:rPr>
  </w:style>
  <w:style w:type="paragraph" w:customStyle="1" w:styleId="enff2">
    <w:name w:val="類（en）"/>
    <w:basedOn w:val="jaff2"/>
    <w:rsid w:val="00F355CC"/>
    <w:rPr>
      <w:rFonts w:ascii="Century" w:eastAsia="Century" w:hAnsi="Century" w:cs="Century"/>
    </w:rPr>
  </w:style>
  <w:style w:type="paragraph" w:customStyle="1" w:styleId="jaff3">
    <w:name w:val="公布文（ja）"/>
    <w:basedOn w:val="a"/>
    <w:rsid w:val="00F355CC"/>
    <w:pPr>
      <w:widowControl w:val="0"/>
      <w:ind w:firstLine="219"/>
    </w:pPr>
    <w:rPr>
      <w:rFonts w:ascii="ＭＳ 明朝" w:eastAsia="ＭＳ 明朝" w:hAnsi="ＭＳ 明朝" w:cs="ＭＳ 明朝"/>
    </w:rPr>
  </w:style>
  <w:style w:type="paragraph" w:customStyle="1" w:styleId="enff3">
    <w:name w:val="公布文（en）"/>
    <w:basedOn w:val="jaff3"/>
    <w:rsid w:val="00F355CC"/>
    <w:rPr>
      <w:rFonts w:ascii="Century" w:eastAsia="Century" w:hAnsi="Century" w:cs="Century"/>
    </w:rPr>
  </w:style>
  <w:style w:type="paragraph" w:customStyle="1" w:styleId="jaen">
    <w:name w:val="表（ja：en）"/>
    <w:basedOn w:val="a"/>
    <w:rsid w:val="00F355CC"/>
    <w:pPr>
      <w:widowControl w:val="0"/>
      <w:snapToGrid w:val="0"/>
    </w:pPr>
    <w:rPr>
      <w:rFonts w:ascii="Century" w:eastAsia="ＭＳ 明朝" w:hAnsi="Century"/>
    </w:rPr>
  </w:style>
  <w:style w:type="paragraph" w:customStyle="1" w:styleId="jaff4">
    <w:name w:val="備考（ja）"/>
    <w:basedOn w:val="a"/>
    <w:rsid w:val="00F355CC"/>
    <w:pPr>
      <w:widowControl w:val="0"/>
      <w:ind w:left="439" w:hanging="219"/>
    </w:pPr>
    <w:rPr>
      <w:rFonts w:ascii="ＭＳ 明朝" w:eastAsia="ＭＳ 明朝" w:hAnsi="ＭＳ 明朝" w:cs="ＭＳ 明朝"/>
    </w:rPr>
  </w:style>
  <w:style w:type="paragraph" w:customStyle="1" w:styleId="enff4">
    <w:name w:val="備考（en）"/>
    <w:basedOn w:val="jaff4"/>
    <w:rsid w:val="00F355CC"/>
    <w:rPr>
      <w:rFonts w:ascii="Century" w:eastAsia="Century" w:hAnsi="Century" w:cs="Century"/>
    </w:rPr>
  </w:style>
  <w:style w:type="paragraph" w:customStyle="1" w:styleId="jaff5">
    <w:name w:val="表タイトル（ja）"/>
    <w:basedOn w:val="a"/>
    <w:rsid w:val="00F355CC"/>
    <w:pPr>
      <w:widowControl w:val="0"/>
      <w:ind w:left="219"/>
    </w:pPr>
    <w:rPr>
      <w:rFonts w:ascii="ＭＳ 明朝" w:eastAsia="ＭＳ 明朝" w:hAnsi="ＭＳ 明朝" w:cs="ＭＳ 明朝"/>
    </w:rPr>
  </w:style>
  <w:style w:type="paragraph" w:customStyle="1" w:styleId="enff5">
    <w:name w:val="表タイトル（en）"/>
    <w:basedOn w:val="jaff5"/>
    <w:rsid w:val="00F355CC"/>
    <w:rPr>
      <w:rFonts w:ascii="Century" w:eastAsia="Century" w:hAnsi="Century" w:cs="Century"/>
    </w:rPr>
  </w:style>
  <w:style w:type="paragraph" w:customStyle="1" w:styleId="jaff6">
    <w:name w:val="改正規定文（ja）"/>
    <w:basedOn w:val="a"/>
    <w:rsid w:val="00F355CC"/>
    <w:pPr>
      <w:widowControl w:val="0"/>
      <w:ind w:left="219" w:firstLine="219"/>
    </w:pPr>
    <w:rPr>
      <w:rFonts w:ascii="ＭＳ 明朝" w:eastAsia="ＭＳ 明朝" w:hAnsi="ＭＳ 明朝" w:cs="ＭＳ 明朝"/>
    </w:rPr>
  </w:style>
  <w:style w:type="paragraph" w:customStyle="1" w:styleId="enff6">
    <w:name w:val="改正規定文（en）"/>
    <w:basedOn w:val="jaff6"/>
    <w:rsid w:val="00F355CC"/>
    <w:rPr>
      <w:rFonts w:ascii="Century" w:eastAsia="Century" w:hAnsi="Century" w:cs="Century"/>
    </w:rPr>
  </w:style>
  <w:style w:type="paragraph" w:customStyle="1" w:styleId="jaff7">
    <w:name w:val="付記（ja）"/>
    <w:basedOn w:val="a"/>
    <w:rsid w:val="00F355CC"/>
    <w:pPr>
      <w:widowControl w:val="0"/>
      <w:ind w:left="219" w:firstLine="219"/>
    </w:pPr>
    <w:rPr>
      <w:rFonts w:ascii="ＭＳ 明朝" w:eastAsia="ＭＳ 明朝" w:hAnsi="ＭＳ 明朝" w:cs="ＭＳ 明朝"/>
    </w:rPr>
  </w:style>
  <w:style w:type="paragraph" w:customStyle="1" w:styleId="enff7">
    <w:name w:val="付記（en）"/>
    <w:basedOn w:val="jaff7"/>
    <w:rsid w:val="00F355CC"/>
    <w:rPr>
      <w:rFonts w:ascii="Century" w:eastAsia="Century" w:hAnsi="Century" w:cs="Century"/>
    </w:rPr>
  </w:style>
  <w:style w:type="paragraph" w:customStyle="1" w:styleId="jaff8">
    <w:name w:val="様式名（ja）"/>
    <w:basedOn w:val="a"/>
    <w:rsid w:val="00F355CC"/>
    <w:pPr>
      <w:widowControl w:val="0"/>
      <w:ind w:left="439" w:hanging="219"/>
    </w:pPr>
    <w:rPr>
      <w:rFonts w:ascii="ＭＳ 明朝" w:eastAsia="ＭＳ 明朝" w:hAnsi="ＭＳ 明朝" w:cs="ＭＳ 明朝"/>
    </w:rPr>
  </w:style>
  <w:style w:type="paragraph" w:customStyle="1" w:styleId="enff8">
    <w:name w:val="様式名（en）"/>
    <w:basedOn w:val="jaff8"/>
    <w:rsid w:val="00F355CC"/>
    <w:rPr>
      <w:rFonts w:ascii="Century" w:eastAsia="Century" w:hAnsi="Century" w:cs="Century"/>
    </w:rPr>
  </w:style>
  <w:style w:type="paragraph" w:customStyle="1" w:styleId="jaff9">
    <w:name w:val="様式項目（ja）"/>
    <w:basedOn w:val="a"/>
    <w:rsid w:val="00F355CC"/>
    <w:pPr>
      <w:widowControl w:val="0"/>
      <w:ind w:left="221" w:firstLine="221"/>
    </w:pPr>
    <w:rPr>
      <w:rFonts w:ascii="ＭＳ 明朝" w:eastAsia="ＭＳ 明朝" w:hAnsi="ＭＳ 明朝" w:cs="ＭＳ 明朝"/>
    </w:rPr>
  </w:style>
  <w:style w:type="paragraph" w:customStyle="1" w:styleId="enff9">
    <w:name w:val="様式項目（en）"/>
    <w:basedOn w:val="jaff9"/>
    <w:rsid w:val="00F355CC"/>
    <w:rPr>
      <w:rFonts w:ascii="Century" w:eastAsia="Century" w:hAnsi="Century" w:cs="Century"/>
    </w:rPr>
  </w:style>
  <w:style w:type="table" w:customStyle="1" w:styleId="1">
    <w:name w:val="表1"/>
    <w:rsid w:val="00F355CC"/>
    <w:tblPr>
      <w:tblInd w:w="340" w:type="dxa"/>
      <w:tblCellMar>
        <w:top w:w="0" w:type="dxa"/>
        <w:left w:w="0" w:type="dxa"/>
        <w:bottom w:w="0" w:type="dxa"/>
        <w:right w:w="0" w:type="dxa"/>
      </w:tblCellMar>
    </w:tblPr>
  </w:style>
  <w:style w:type="numbering" w:customStyle="1" w:styleId="WW8Num1">
    <w:name w:val="WW8Num1"/>
    <w:rsid w:val="00F355CC"/>
    <w:pPr>
      <w:numPr>
        <w:numId w:val="2"/>
      </w:numPr>
    </w:pPr>
  </w:style>
  <w:style w:type="numbering" w:customStyle="1" w:styleId="WW8Num2">
    <w:name w:val="WW8Num2"/>
    <w:rsid w:val="00F355CC"/>
    <w:pPr>
      <w:numPr>
        <w:numId w:val="3"/>
      </w:numPr>
    </w:pPr>
  </w:style>
  <w:style w:type="numbering" w:customStyle="1" w:styleId="WW8Num3">
    <w:name w:val="WW8Num3"/>
    <w:rsid w:val="00F355CC"/>
    <w:pPr>
      <w:numPr>
        <w:numId w:val="4"/>
      </w:numPr>
    </w:pPr>
  </w:style>
  <w:style w:type="numbering" w:customStyle="1" w:styleId="WW8Num4">
    <w:name w:val="WW8Num4"/>
    <w:rsid w:val="00F355CC"/>
    <w:pPr>
      <w:numPr>
        <w:numId w:val="5"/>
      </w:numPr>
    </w:pPr>
  </w:style>
  <w:style w:type="numbering" w:customStyle="1" w:styleId="WW8Num5">
    <w:name w:val="WW8Num5"/>
    <w:rsid w:val="00F355CC"/>
    <w:pPr>
      <w:numPr>
        <w:numId w:val="6"/>
      </w:numPr>
    </w:pPr>
  </w:style>
  <w:style w:type="numbering" w:customStyle="1" w:styleId="WW8Num6">
    <w:name w:val="WW8Num6"/>
    <w:rsid w:val="00F355CC"/>
    <w:pPr>
      <w:numPr>
        <w:numId w:val="7"/>
      </w:numPr>
    </w:pPr>
  </w:style>
  <w:style w:type="numbering" w:customStyle="1" w:styleId="WW8Num7">
    <w:name w:val="WW8Num7"/>
    <w:rsid w:val="00F355CC"/>
    <w:pPr>
      <w:numPr>
        <w:numId w:val="8"/>
      </w:numPr>
    </w:pPr>
  </w:style>
  <w:style w:type="numbering" w:customStyle="1" w:styleId="WW8Num8">
    <w:name w:val="WW8Num8"/>
    <w:rsid w:val="00F355CC"/>
    <w:pPr>
      <w:numPr>
        <w:numId w:val="9"/>
      </w:numPr>
    </w:pPr>
  </w:style>
  <w:style w:type="numbering" w:customStyle="1" w:styleId="WW8Num9">
    <w:name w:val="WW8Num9"/>
    <w:rsid w:val="00F355CC"/>
    <w:pPr>
      <w:numPr>
        <w:numId w:val="10"/>
      </w:numPr>
    </w:pPr>
  </w:style>
  <w:style w:type="numbering" w:customStyle="1" w:styleId="WW8Num10">
    <w:name w:val="WW8Num10"/>
    <w:rsid w:val="00F355CC"/>
    <w:pPr>
      <w:numPr>
        <w:numId w:val="11"/>
      </w:numPr>
    </w:pPr>
  </w:style>
  <w:style w:type="numbering" w:customStyle="1" w:styleId="WW8Num11">
    <w:name w:val="WW8Num11"/>
    <w:rsid w:val="00F355CC"/>
    <w:pPr>
      <w:numPr>
        <w:numId w:val="12"/>
      </w:numPr>
    </w:pPr>
  </w:style>
  <w:style w:type="numbering" w:customStyle="1" w:styleId="WW8Num12">
    <w:name w:val="WW8Num12"/>
    <w:rsid w:val="00F355CC"/>
    <w:pPr>
      <w:numPr>
        <w:numId w:val="13"/>
      </w:numPr>
    </w:pPr>
  </w:style>
  <w:style w:type="paragraph" w:styleId="a4">
    <w:name w:val="header"/>
    <w:basedOn w:val="a"/>
    <w:link w:val="a5"/>
    <w:uiPriority w:val="99"/>
    <w:unhideWhenUsed/>
    <w:rsid w:val="00B8555E"/>
    <w:pPr>
      <w:tabs>
        <w:tab w:val="center" w:pos="4252"/>
        <w:tab w:val="right" w:pos="8504"/>
      </w:tabs>
      <w:snapToGrid w:val="0"/>
    </w:pPr>
  </w:style>
  <w:style w:type="character" w:customStyle="1" w:styleId="a5">
    <w:name w:val="ヘッダー (文字)"/>
    <w:basedOn w:val="a0"/>
    <w:link w:val="a4"/>
    <w:uiPriority w:val="99"/>
    <w:rsid w:val="00B855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7687</Words>
  <Characters>43821</Characters>
  <Application>Microsoft Office Word</Application>
  <DocSecurity>0</DocSecurity>
  <Lines>365</Lines>
  <Paragraphs>102</Paragraphs>
  <ScaleCrop>false</ScaleCrop>
  <Company/>
  <LinksUpToDate>false</LinksUpToDate>
  <CharactersWithSpaces>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2022-01-04T11:12:00Z</dcterms:created>
  <dcterms:modified xsi:type="dcterms:W3CDTF">2022-01-04T11:12:00Z</dcterms:modified>
</cp:coreProperties>
</file>