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DDC" w:rsidRDefault="0065735E">
      <w:pPr>
        <w:pStyle w:val="ja"/>
      </w:pPr>
      <w:r>
        <w:t>不正競争防止法</w:t>
      </w:r>
    </w:p>
    <w:p w:rsidR="00280DDC" w:rsidRDefault="00280DDC"/>
    <w:p w:rsidR="00280DDC" w:rsidRDefault="0065735E">
      <w:pPr>
        <w:pStyle w:val="jaf"/>
      </w:pPr>
      <w:r>
        <w:t>（平成五年五月十九日法律第四十七号）</w:t>
      </w:r>
    </w:p>
    <w:p w:rsidR="00280DDC" w:rsidRDefault="00280DDC"/>
    <w:p w:rsidR="00280DDC" w:rsidRDefault="0065735E">
      <w:pPr>
        <w:pStyle w:val="jaf0"/>
      </w:pPr>
      <w:r>
        <w:t>目次</w:t>
      </w:r>
    </w:p>
    <w:p w:rsidR="00280DDC" w:rsidRDefault="0065735E">
      <w:pPr>
        <w:pStyle w:val="ja5"/>
      </w:pPr>
      <w:r>
        <w:t>第一章　総則（第一条・第二条）</w:t>
      </w:r>
    </w:p>
    <w:p w:rsidR="00280DDC" w:rsidRDefault="0065735E">
      <w:pPr>
        <w:pStyle w:val="ja5"/>
      </w:pPr>
      <w:r>
        <w:t>第二章　差止請求、損害賠償等（第三条</w:t>
      </w:r>
      <w:r>
        <w:t>―</w:t>
      </w:r>
      <w:r>
        <w:t>第十五条）</w:t>
      </w:r>
    </w:p>
    <w:p w:rsidR="00280DDC" w:rsidRDefault="0065735E">
      <w:pPr>
        <w:pStyle w:val="ja5"/>
      </w:pPr>
      <w:r>
        <w:t>第三章　国際約束に基づく禁止行為（第十六条</w:t>
      </w:r>
      <w:r>
        <w:t>―</w:t>
      </w:r>
      <w:r>
        <w:t>第十八条）</w:t>
      </w:r>
    </w:p>
    <w:p w:rsidR="00280DDC" w:rsidRDefault="0065735E">
      <w:pPr>
        <w:pStyle w:val="ja5"/>
      </w:pPr>
      <w:r>
        <w:t>第四章　雑則（第十九条</w:t>
      </w:r>
      <w:r>
        <w:t>―</w:t>
      </w:r>
      <w:r>
        <w:t>第二十条）</w:t>
      </w:r>
    </w:p>
    <w:p w:rsidR="00280DDC" w:rsidRDefault="0065735E">
      <w:pPr>
        <w:pStyle w:val="ja5"/>
      </w:pPr>
      <w:r>
        <w:t>第五章　罰則（第二十一条・第二十二条）</w:t>
      </w:r>
    </w:p>
    <w:p w:rsidR="00280DDC" w:rsidRDefault="0065735E">
      <w:pPr>
        <w:pStyle w:val="ja5"/>
      </w:pPr>
      <w:r>
        <w:t>第六章　刑事訴訟手続の特例（第二十三条</w:t>
      </w:r>
      <w:r>
        <w:t>―</w:t>
      </w:r>
      <w:r>
        <w:t>第三十一条）</w:t>
      </w:r>
    </w:p>
    <w:p w:rsidR="00280DDC" w:rsidRDefault="0065735E">
      <w:pPr>
        <w:pStyle w:val="ja5"/>
      </w:pPr>
      <w:r>
        <w:t>第七章　没収に関する手続等の特例（第三十二条</w:t>
      </w:r>
      <w:r>
        <w:t>―</w:t>
      </w:r>
      <w:r>
        <w:t>第三十四条）</w:t>
      </w:r>
    </w:p>
    <w:p w:rsidR="00280DDC" w:rsidRDefault="0065735E">
      <w:pPr>
        <w:pStyle w:val="ja5"/>
      </w:pPr>
      <w:r>
        <w:t>第八章　保全手続（第三十五条・第三十六条）</w:t>
      </w:r>
    </w:p>
    <w:p w:rsidR="00280DDC" w:rsidRDefault="0065735E">
      <w:pPr>
        <w:pStyle w:val="ja5"/>
      </w:pPr>
      <w:r>
        <w:t>第九章　没収及び追徴の裁判の執行及び保全についての国際共助手続等（第三十七条</w:t>
      </w:r>
      <w:r>
        <w:t>―</w:t>
      </w:r>
      <w:r>
        <w:t>第四十条）</w:t>
      </w:r>
    </w:p>
    <w:p w:rsidR="00280DDC" w:rsidRDefault="0065735E">
      <w:pPr>
        <w:pStyle w:val="jac"/>
      </w:pPr>
      <w:r>
        <w:t>附　則</w:t>
      </w:r>
    </w:p>
    <w:p w:rsidR="00280DDC" w:rsidRDefault="00280DDC"/>
    <w:p w:rsidR="00280DDC" w:rsidRDefault="0065735E">
      <w:pPr>
        <w:pStyle w:val="ja3"/>
      </w:pPr>
      <w:r>
        <w:t>第一章　総則</w:t>
      </w:r>
    </w:p>
    <w:p w:rsidR="00280DDC" w:rsidRDefault="00280DDC"/>
    <w:p w:rsidR="00280DDC" w:rsidRDefault="0065735E">
      <w:pPr>
        <w:pStyle w:val="jaa"/>
      </w:pPr>
      <w:r>
        <w:t>（目的）</w:t>
      </w:r>
    </w:p>
    <w:p w:rsidR="00280DDC" w:rsidRDefault="0065735E">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280DDC" w:rsidRDefault="00280DDC"/>
    <w:p w:rsidR="00280DDC" w:rsidRDefault="0065735E">
      <w:pPr>
        <w:pStyle w:val="jaa"/>
      </w:pPr>
      <w:r>
        <w:t>（定義）</w:t>
      </w:r>
    </w:p>
    <w:p w:rsidR="00280DDC" w:rsidRDefault="0065735E">
      <w:pPr>
        <w:pStyle w:val="jaf3"/>
      </w:pPr>
      <w:r>
        <w:t>第二条　この法律において「不正競争」とは、次に掲げるものをいう。</w:t>
      </w:r>
    </w:p>
    <w:p w:rsidR="00280DDC" w:rsidRDefault="0065735E">
      <w:pPr>
        <w:pStyle w:val="jaf6"/>
      </w:pPr>
      <w:r>
        <w:t>一　他人の商品等表示（人の業務に係る氏名、商号、商標、標章、商品の容器若しくは包装その他の商品又は</w:t>
      </w:r>
      <w:r>
        <w:t>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280DDC" w:rsidRDefault="0065735E">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w:t>
      </w:r>
      <w:r>
        <w:t>提供する行為</w:t>
      </w:r>
    </w:p>
    <w:p w:rsidR="00280DDC" w:rsidRDefault="0065735E">
      <w:pPr>
        <w:pStyle w:val="jaf6"/>
      </w:pPr>
      <w:r>
        <w:t>三　他人の商品の形態（当該商品の機能を確保するために不可欠な形態を除く。）を模倣した商品を譲渡し、貸し渡し、譲渡若しくは貸渡しのために展示し、輸出し、又は輸入する行為</w:t>
      </w:r>
    </w:p>
    <w:p w:rsidR="00280DDC" w:rsidRDefault="0065735E">
      <w:pPr>
        <w:pStyle w:val="jaf6"/>
      </w:pPr>
      <w:r>
        <w:t>四　窃取、詐欺、強迫その他の不正の手段により営業秘密を取得する行為（以下「営業秘密不正取得行為」という。）又は営業秘密不正取得行為により取得した営業秘</w:t>
      </w:r>
      <w:r>
        <w:lastRenderedPageBreak/>
        <w:t>密を使用し、若しくは開示する行為（秘密を保持しつつ特定の者に示すことを含む。次号から第九号まで、第十九条第一項第六号、第二十一条及び附則第四条第一号において同じ。）</w:t>
      </w:r>
    </w:p>
    <w:p w:rsidR="00280DDC" w:rsidRDefault="0065735E">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rsidR="00280DDC" w:rsidRDefault="0065735E">
      <w:pPr>
        <w:pStyle w:val="jaf6"/>
      </w:pPr>
      <w:r>
        <w:t>六　その取得した後にその営業秘密について営業秘密不正取得行為が介在したことを知って、又は重大な過失により知らないでその取得した営業秘密を使用し、又は開示する行為</w:t>
      </w:r>
    </w:p>
    <w:p w:rsidR="00280DDC" w:rsidRDefault="0065735E">
      <w:pPr>
        <w:pStyle w:val="jaf6"/>
      </w:pPr>
      <w:r>
        <w:t>七　営業秘密を保有する事業者（以下「営業秘密保有者」という。）からその営業秘密を示された場合において、不正の利益を得る目的で、又はその営業秘密保有者に損害を加える目的で、その</w:t>
      </w:r>
      <w:r>
        <w:t>営業秘密を使用し、又は開示する行為</w:t>
      </w:r>
    </w:p>
    <w:p w:rsidR="00280DDC" w:rsidRDefault="0065735E">
      <w:pPr>
        <w:pStyle w:val="jaf6"/>
      </w:pPr>
      <w:r>
        <w:t>八　その営業秘密について営業秘密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rsidR="00280DDC" w:rsidRDefault="0065735E">
      <w:pPr>
        <w:pStyle w:val="jaf6"/>
      </w:pPr>
      <w:r>
        <w:t>九　その取得した後にその営業秘密について営業秘密不正開示行為があったこと若しくはその営</w:t>
      </w:r>
      <w:r>
        <w:t>業秘密について営業秘密不正開示行為が介在したことを知って、又は重大な過失により知らないでその取得した営業秘密を使用し、又は開示する行為</w:t>
      </w:r>
    </w:p>
    <w:p w:rsidR="00280DDC" w:rsidRDefault="0065735E">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w:t>
      </w:r>
      <w:r>
        <w:t>ことを知らず、かつ、知らないことにつき重大な過失がない者に限る。）が当該物を譲渡し、引き渡し、譲渡若しくは引渡しのために展示し、輸出し、輸入し、又は電気通信回線を通じて提供する行為を除く。）</w:t>
      </w:r>
    </w:p>
    <w:p w:rsidR="00280DDC" w:rsidRDefault="0065735E">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rsidR="00280DDC" w:rsidRDefault="0065735E">
      <w:pPr>
        <w:pStyle w:val="jaf6"/>
      </w:pPr>
      <w:r>
        <w:t>十二　その限定提供データについて限定提供データ不正取得行為が介在したことを知って限定提供データを取得し、又はそ</w:t>
      </w:r>
      <w:r>
        <w:t>の取得した限定提供データを使用し、若しくは開示する行為</w:t>
      </w:r>
    </w:p>
    <w:p w:rsidR="00280DDC" w:rsidRDefault="0065735E">
      <w:pPr>
        <w:pStyle w:val="jaf6"/>
      </w:pPr>
      <w:r>
        <w:t>十三　その取得した後にその限定提供データについて限定提供データ不正取得行為が介在したことを知ってその取得した限定提供データを開示する行為</w:t>
      </w:r>
    </w:p>
    <w:p w:rsidR="00280DDC" w:rsidRDefault="0065735E">
      <w:pPr>
        <w:pStyle w:val="jaf6"/>
      </w:pPr>
      <w:r>
        <w:t>十四　限定提供データを保有する事業者（以下「限定提供データ保有者」という。）からその限定提供データを示された場合において、不正の利益を得る目的で、又はその限定提供データ保有者に損害を加える目的で、その限定提供データを使用する行為（その限定提供データの管理に係る任務に違反して行うものに限る。）又は開</w:t>
      </w:r>
      <w:r>
        <w:lastRenderedPageBreak/>
        <w:t>示する行為</w:t>
      </w:r>
    </w:p>
    <w:p w:rsidR="00280DDC" w:rsidRDefault="0065735E">
      <w:pPr>
        <w:pStyle w:val="jaf6"/>
      </w:pPr>
      <w:r>
        <w:t>十五　そ</w:t>
      </w:r>
      <w:r>
        <w:t>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為が介在したことを知って限定提供データを取得し、又はその取得した限定提供データを使用し、若しくは開示する行為</w:t>
      </w:r>
    </w:p>
    <w:p w:rsidR="00280DDC" w:rsidRDefault="0065735E">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w:t>
      </w:r>
      <w:r>
        <w:t>データを開示する行為</w:t>
      </w:r>
    </w:p>
    <w:p w:rsidR="00280DDC" w:rsidRDefault="0065735E">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に記録されたものに限る。以下この号、次号及び第八項において同じ。）の処理又は影像、音、プログラムその他の情報の記録をさせないために用いているものを除く。）により制限されている影像若しくは音の視聴、プログラムの実行</w:t>
      </w:r>
      <w:r>
        <w:t>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であって、当該指令のみによって一の結果を得ることができるものをいう。次号において同じ。）を記録した記録媒体若</w:t>
      </w:r>
      <w:r>
        <w:t>しくは記憶し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rsidR="00280DDC" w:rsidRDefault="0065735E">
      <w:pPr>
        <w:pStyle w:val="jaf6"/>
      </w:pPr>
      <w:r>
        <w:t>十八　他人が特定の者以外の者に影像若しくは音の視聴、プログラム</w:t>
      </w:r>
      <w:r>
        <w:t>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w:t>
      </w:r>
      <w:r>
        <w:t>わされたものを含む。）若しくは指令符号を記録した記録媒体若しくは記憶した機器を当該特定の者以外の者に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w:t>
      </w:r>
      <w:r>
        <w:t>務を提供する行為</w:t>
      </w:r>
    </w:p>
    <w:p w:rsidR="00280DDC" w:rsidRDefault="0065735E">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280DDC" w:rsidRDefault="0065735E">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w:t>
      </w:r>
      <w:r>
        <w:t>商品を譲渡し、引き渡し、譲渡若しくは引渡しのために展示し、輸出し、輸入し、若しくは電気通信回線を通じて提供し、若しくはその表示をして役務を提供する行為</w:t>
      </w:r>
    </w:p>
    <w:p w:rsidR="00280DDC" w:rsidRDefault="0065735E">
      <w:pPr>
        <w:pStyle w:val="jaf6"/>
      </w:pPr>
      <w:r>
        <w:t>二十一　競争関係にある他人の営業上の信用を害する虚偽の事実を告知し、又は流布する行為</w:t>
      </w:r>
    </w:p>
    <w:p w:rsidR="00280DDC" w:rsidRDefault="0065735E">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w:t>
      </w:r>
      <w:r>
        <w:t>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280DDC" w:rsidRDefault="0065735E">
      <w:pPr>
        <w:pStyle w:val="jaf4"/>
      </w:pPr>
      <w:r>
        <w:t>２　この法律に</w:t>
      </w:r>
      <w:r>
        <w:t>おいて「商標」とは、商標法第二条第一項に規定する商標をいう。</w:t>
      </w:r>
    </w:p>
    <w:p w:rsidR="00280DDC" w:rsidRDefault="0065735E">
      <w:pPr>
        <w:pStyle w:val="jaf4"/>
      </w:pPr>
      <w:r>
        <w:t>３　この法律において「標章」とは、商標法第二条第一項に規定する標章をいう。</w:t>
      </w:r>
    </w:p>
    <w:p w:rsidR="00280DDC" w:rsidRDefault="0065735E">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280DDC" w:rsidRDefault="0065735E">
      <w:pPr>
        <w:pStyle w:val="jaf4"/>
      </w:pPr>
      <w:r>
        <w:t>５　この法律において「模倣する」とは、他人の商品の形態に依拠して、これと実質的に同一の形態の商品を作り出すことをいう。</w:t>
      </w:r>
    </w:p>
    <w:p w:rsidR="00280DDC" w:rsidRDefault="0065735E">
      <w:pPr>
        <w:pStyle w:val="jaf4"/>
      </w:pPr>
      <w:r>
        <w:t>６　この法律において「営業秘密」とは、秘密として管理されている</w:t>
      </w:r>
      <w:r>
        <w:t>生産方法、販売方法その他の事業活動に有用な技術上又は営業上の情報であって、公然と知られていないものをいう。</w:t>
      </w:r>
    </w:p>
    <w:p w:rsidR="00280DDC" w:rsidRDefault="0065735E">
      <w:pPr>
        <w:pStyle w:val="jaf4"/>
      </w:pPr>
      <w:r>
        <w:t>７　この法律において「限定提供データ」とは、業として特定の者に提供する情報として電磁的方法（電子的方法、磁気的方法その他人の知覚によっては認識することができない方法をいう。次項において同じ。）により相当量蓄積され、及び管理されている技術上又は営業上の情報（秘密として管理されているものを除く。）をいう。</w:t>
      </w:r>
    </w:p>
    <w:p w:rsidR="00280DDC" w:rsidRDefault="0065735E">
      <w:pPr>
        <w:pStyle w:val="jaf4"/>
      </w:pPr>
      <w:r>
        <w:t>８　この法律において「技術的制限手段」とは、電磁的方法により影像若しくは音の視聴、プログラムの実行若</w:t>
      </w:r>
      <w:r>
        <w:t>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を記録媒体に記録し、若しくは送信する方式又は視聴等機器が特定の変換を必要とするよう影像、音、プログラムその他の情報を変換して記録媒体に記録し、若しくは送信する方式によるものをいう。</w:t>
      </w:r>
    </w:p>
    <w:p w:rsidR="00280DDC" w:rsidRDefault="0065735E">
      <w:pPr>
        <w:pStyle w:val="jaf4"/>
      </w:pPr>
      <w:r>
        <w:t>９　この法律において「プログラム」とは、電子計算機に対する指</w:t>
      </w:r>
      <w:r>
        <w:t>令であって、一の結果を得ることができるように組み合わされたものをいう。</w:t>
      </w:r>
    </w:p>
    <w:p w:rsidR="00280DDC" w:rsidRDefault="0065735E">
      <w:pPr>
        <w:pStyle w:val="jaf4"/>
      </w:pPr>
      <w:r>
        <w:t>１０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280DDC" w:rsidRDefault="0065735E">
      <w:pPr>
        <w:pStyle w:val="jaf4"/>
      </w:pPr>
      <w:r>
        <w:t>１１　この法律にいう「物」には、プログラムを含むものとする。</w:t>
      </w:r>
    </w:p>
    <w:p w:rsidR="00280DDC" w:rsidRDefault="00280DDC"/>
    <w:p w:rsidR="00280DDC" w:rsidRDefault="0065735E">
      <w:pPr>
        <w:pStyle w:val="ja3"/>
      </w:pPr>
      <w:r>
        <w:t>第二章　差止請求、損害賠償等</w:t>
      </w:r>
    </w:p>
    <w:p w:rsidR="00280DDC" w:rsidRDefault="00280DDC"/>
    <w:p w:rsidR="00280DDC" w:rsidRDefault="0065735E">
      <w:pPr>
        <w:pStyle w:val="jaa"/>
      </w:pPr>
      <w:r>
        <w:t>（差止請求権）</w:t>
      </w:r>
    </w:p>
    <w:p w:rsidR="00280DDC" w:rsidRDefault="0065735E">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280DDC" w:rsidRDefault="0065735E">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行為に供した設備の除却その他の侵害の停止又は予防に必要な行為を請求することができる。</w:t>
      </w:r>
    </w:p>
    <w:p w:rsidR="00280DDC" w:rsidRDefault="00280DDC"/>
    <w:p w:rsidR="00280DDC" w:rsidRDefault="0065735E">
      <w:pPr>
        <w:pStyle w:val="jaa"/>
      </w:pPr>
      <w:r>
        <w:t>（損害賠償）</w:t>
      </w:r>
    </w:p>
    <w:p w:rsidR="00280DDC" w:rsidRDefault="0065735E">
      <w:pPr>
        <w:pStyle w:val="jaf3"/>
      </w:pPr>
      <w:r>
        <w:t>第四条　故意</w:t>
      </w:r>
      <w:r>
        <w:t>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rsidR="00280DDC" w:rsidRDefault="00280DDC"/>
    <w:p w:rsidR="00280DDC" w:rsidRDefault="0065735E">
      <w:pPr>
        <w:pStyle w:val="jaa"/>
      </w:pPr>
      <w:r>
        <w:t>（損害の額の推定等）</w:t>
      </w:r>
    </w:p>
    <w:p w:rsidR="00280DDC" w:rsidRDefault="0065735E">
      <w:pPr>
        <w:pStyle w:val="jaf3"/>
      </w:pPr>
      <w:r>
        <w:t>第五条　第二条第一項第一号から第十六号まで又は第二十二号に掲げる不正競争（同項第四号から第九号までに掲げるものにあっては、技術上の秘密に関するものに限る。）によって営業上の利益を侵害された者（以下この項において「被侵害者」とい</w:t>
      </w:r>
      <w:r>
        <w:t>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w:t>
      </w:r>
      <w:r>
        <w:t>被侵害者が販売することができないとする事情があるときは、当該事情に相当する数量に応じた額を控除するものとする。</w:t>
      </w:r>
    </w:p>
    <w:p w:rsidR="00280DDC" w:rsidRDefault="0065735E">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280DDC" w:rsidRDefault="0065735E">
      <w:pPr>
        <w:pStyle w:val="jaf4"/>
      </w:pPr>
      <w:r>
        <w:t>３　第二条第一項第一号から第九号まで、第十一号から第十六号まで、第十九号又は第二十二号に掲げる不正競争によって</w:t>
      </w:r>
      <w:r>
        <w:t>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280DDC" w:rsidRDefault="0065735E">
      <w:pPr>
        <w:pStyle w:val="jaf6"/>
      </w:pPr>
      <w:r>
        <w:t>一　第二条第一項第一号又は第二号に掲げる不正競争　当該侵害に係る商品等表示の使用</w:t>
      </w:r>
    </w:p>
    <w:p w:rsidR="00280DDC" w:rsidRDefault="0065735E">
      <w:pPr>
        <w:pStyle w:val="jaf6"/>
      </w:pPr>
      <w:r>
        <w:t>二　第二条第一項第三号に掲げる不正競争　当該侵害に係る商品の形態の使用</w:t>
      </w:r>
    </w:p>
    <w:p w:rsidR="00280DDC" w:rsidRDefault="0065735E">
      <w:pPr>
        <w:pStyle w:val="jaf6"/>
      </w:pPr>
      <w:r>
        <w:t>三　第二条第一項第四号から第九号までに掲げる不正競争　当該侵害に係る営業秘密の使用</w:t>
      </w:r>
    </w:p>
    <w:p w:rsidR="00280DDC" w:rsidRDefault="0065735E">
      <w:pPr>
        <w:pStyle w:val="jaf6"/>
      </w:pPr>
      <w:r>
        <w:t>四　第二条第一項第十一号</w:t>
      </w:r>
      <w:r>
        <w:t>から第十六号までに掲げる不正競争　当該侵害に係る限定提供データの使用</w:t>
      </w:r>
    </w:p>
    <w:p w:rsidR="00280DDC" w:rsidRDefault="0065735E">
      <w:pPr>
        <w:pStyle w:val="jaf6"/>
      </w:pPr>
      <w:r>
        <w:t>五　第二条第一項第十九号に掲げる不正競争　当該侵害に係るドメイン名の使用</w:t>
      </w:r>
    </w:p>
    <w:p w:rsidR="00280DDC" w:rsidRDefault="0065735E">
      <w:pPr>
        <w:pStyle w:val="jaf6"/>
      </w:pPr>
      <w:r>
        <w:t>六　第二条第一項第二十二号に掲げる不正競争　当該侵害に係る商標の使用</w:t>
      </w:r>
    </w:p>
    <w:p w:rsidR="00280DDC" w:rsidRDefault="0065735E">
      <w:pPr>
        <w:pStyle w:val="jaf4"/>
      </w:pPr>
      <w:r>
        <w:t>４　前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280DDC" w:rsidRDefault="00280DDC"/>
    <w:p w:rsidR="00280DDC" w:rsidRDefault="0065735E">
      <w:pPr>
        <w:pStyle w:val="jaa"/>
      </w:pPr>
      <w:r>
        <w:t>（技術上の秘密を取得した者の当該技術上の秘密を使用する行為等の推定）</w:t>
      </w:r>
    </w:p>
    <w:p w:rsidR="00280DDC" w:rsidRDefault="0065735E">
      <w:pPr>
        <w:pStyle w:val="jaf3"/>
      </w:pPr>
      <w:r>
        <w:t>第五条の二　技術上の秘密（生産方法その他政令で定める情報に係るものに限る。以下この条において同じ。）について第二条第一項第四号、第五号又は第八号に規定する行為（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規定する行為（営業秘密を使用する行為に限る。）として生産等をしたものと推定する</w:t>
      </w:r>
      <w:r>
        <w:t>。</w:t>
      </w:r>
    </w:p>
    <w:p w:rsidR="00280DDC" w:rsidRDefault="00280DDC"/>
    <w:p w:rsidR="00280DDC" w:rsidRDefault="0065735E">
      <w:pPr>
        <w:pStyle w:val="jaa"/>
      </w:pPr>
      <w:r>
        <w:t>（具体的態様の明示義務）</w:t>
      </w:r>
    </w:p>
    <w:p w:rsidR="00280DDC" w:rsidRDefault="0065735E">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280DDC" w:rsidRDefault="00280DDC"/>
    <w:p w:rsidR="00280DDC" w:rsidRDefault="0065735E">
      <w:pPr>
        <w:pStyle w:val="jaa"/>
      </w:pPr>
      <w:r>
        <w:t>（書類の提出等）</w:t>
      </w:r>
    </w:p>
    <w:p w:rsidR="00280DDC" w:rsidRDefault="0065735E">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280DDC" w:rsidRDefault="0065735E">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w:t>
      </w:r>
      <w:r>
        <w:t>をさせることができる。この場合においては、何人も、その提示された書類の開示を求めることができない。</w:t>
      </w:r>
    </w:p>
    <w:p w:rsidR="00280DDC" w:rsidRDefault="0065735E">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w:t>
      </w:r>
      <w:r>
        <w:t>開示することができる。</w:t>
      </w:r>
    </w:p>
    <w:p w:rsidR="00280DDC" w:rsidRDefault="0065735E">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280DDC" w:rsidRDefault="0065735E">
      <w:pPr>
        <w:pStyle w:val="jaf4"/>
      </w:pPr>
      <w:r>
        <w:t>５　前各項の規定は、不正競争による営業上の利益の侵害に係る訴訟における当該侵害行為について立証するため必要な検証の目的の提示について準用する。</w:t>
      </w:r>
    </w:p>
    <w:p w:rsidR="00280DDC" w:rsidRDefault="00280DDC"/>
    <w:p w:rsidR="00280DDC" w:rsidRDefault="0065735E">
      <w:pPr>
        <w:pStyle w:val="jaa"/>
      </w:pPr>
      <w:r>
        <w:t>（損害計算のための鑑定）</w:t>
      </w:r>
    </w:p>
    <w:p w:rsidR="00280DDC" w:rsidRDefault="0065735E">
      <w:pPr>
        <w:pStyle w:val="jaf3"/>
      </w:pPr>
      <w:r>
        <w:t>第八条　不正競争による営業上の利益の侵害に係る訴訟におい</w:t>
      </w:r>
      <w:r>
        <w:t>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280DDC" w:rsidRDefault="00280DDC"/>
    <w:p w:rsidR="00280DDC" w:rsidRDefault="0065735E">
      <w:pPr>
        <w:pStyle w:val="jaa"/>
      </w:pPr>
      <w:r>
        <w:t>（相当な損害額の認定）</w:t>
      </w:r>
    </w:p>
    <w:p w:rsidR="00280DDC" w:rsidRDefault="0065735E">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280DDC" w:rsidRDefault="00280DDC"/>
    <w:p w:rsidR="00280DDC" w:rsidRDefault="0065735E">
      <w:pPr>
        <w:pStyle w:val="jaa"/>
      </w:pPr>
      <w:r>
        <w:t>（秘</w:t>
      </w:r>
      <w:r>
        <w:t>密保持命令）</w:t>
      </w:r>
    </w:p>
    <w:p w:rsidR="00280DDC" w:rsidRDefault="0065735E">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w:t>
      </w:r>
      <w:r>
        <w:t>号に規定する証拠の取調べ若しくは開示以外の方法により当該営業秘密を取得し、又は保有していた場合は、この限りでない。</w:t>
      </w:r>
    </w:p>
    <w:p w:rsidR="00280DDC" w:rsidRDefault="0065735E">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280DDC" w:rsidRDefault="0065735E">
      <w:pPr>
        <w:pStyle w:val="jaf6"/>
      </w:pPr>
      <w:r>
        <w:t>二　前号の営業秘密が当該訴訟の追行の目的以外の目的で使用され、又は当該営業秘密が開示されることにより、当該営業秘密に基</w:t>
      </w:r>
      <w:r>
        <w:t>づく当事者の事業活動に支障を生ずるおそれがあり、これを防止するため当該営業秘密の使用又は開示を制限する必要があること。</w:t>
      </w:r>
    </w:p>
    <w:p w:rsidR="00280DDC" w:rsidRDefault="0065735E">
      <w:pPr>
        <w:pStyle w:val="jaf4"/>
      </w:pPr>
      <w:r>
        <w:t>２　前項の規定による命令（以下「秘密保持命令」という。）の申立ては、次に掲げる事項を記載した書面でしなければならない。</w:t>
      </w:r>
    </w:p>
    <w:p w:rsidR="00280DDC" w:rsidRDefault="0065735E">
      <w:pPr>
        <w:pStyle w:val="jaf6"/>
      </w:pPr>
      <w:r>
        <w:t>一　秘密保持命令を受けるべき者</w:t>
      </w:r>
    </w:p>
    <w:p w:rsidR="00280DDC" w:rsidRDefault="0065735E">
      <w:pPr>
        <w:pStyle w:val="jaf6"/>
      </w:pPr>
      <w:r>
        <w:t>二　秘密保持命令の対象となるべき営業秘密を特定するに足りる事実</w:t>
      </w:r>
    </w:p>
    <w:p w:rsidR="00280DDC" w:rsidRDefault="0065735E">
      <w:pPr>
        <w:pStyle w:val="jaf6"/>
      </w:pPr>
      <w:r>
        <w:t>三　前項各号に掲げる事由に該当する事実</w:t>
      </w:r>
    </w:p>
    <w:p w:rsidR="00280DDC" w:rsidRDefault="0065735E">
      <w:pPr>
        <w:pStyle w:val="jaf4"/>
      </w:pPr>
      <w:r>
        <w:t>３　秘密保持命令が発せられた場合には、その決定書を秘密保持命令を受けた者に送達しなければならない。</w:t>
      </w:r>
    </w:p>
    <w:p w:rsidR="00280DDC" w:rsidRDefault="0065735E">
      <w:pPr>
        <w:pStyle w:val="jaf4"/>
      </w:pPr>
      <w:r>
        <w:t>４　秘密保持命令は、秘密保持命令を受</w:t>
      </w:r>
      <w:r>
        <w:t>けた者に対する決定書の送達がされた時から、効力を生ずる。</w:t>
      </w:r>
    </w:p>
    <w:p w:rsidR="00280DDC" w:rsidRDefault="0065735E">
      <w:pPr>
        <w:pStyle w:val="jaf4"/>
      </w:pPr>
      <w:r>
        <w:t>５　秘密保持命令の申立てを却下した裁判に対しては、即時抗告をすることができる。</w:t>
      </w:r>
    </w:p>
    <w:p w:rsidR="00280DDC" w:rsidRDefault="00280DDC"/>
    <w:p w:rsidR="00280DDC" w:rsidRDefault="0065735E">
      <w:pPr>
        <w:pStyle w:val="jaa"/>
      </w:pPr>
      <w:r>
        <w:t>（秘密保持命令の取消し）</w:t>
      </w:r>
    </w:p>
    <w:p w:rsidR="00280DDC" w:rsidRDefault="0065735E">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280DDC" w:rsidRDefault="0065735E">
      <w:pPr>
        <w:pStyle w:val="jaf4"/>
      </w:pPr>
      <w:r>
        <w:t>２　秘密保持命令の取消しの申立てについての裁判があ</w:t>
      </w:r>
      <w:r>
        <w:t>った場合には、その決定書をその申立てをした者及び相手方に送達しなければならない。</w:t>
      </w:r>
    </w:p>
    <w:p w:rsidR="00280DDC" w:rsidRDefault="0065735E">
      <w:pPr>
        <w:pStyle w:val="jaf4"/>
      </w:pPr>
      <w:r>
        <w:t>３　秘密保持命令の取消しの申立てについての裁判に対しては、即時抗告をすることができる。</w:t>
      </w:r>
    </w:p>
    <w:p w:rsidR="00280DDC" w:rsidRDefault="0065735E">
      <w:pPr>
        <w:pStyle w:val="jaf4"/>
      </w:pPr>
      <w:r>
        <w:t>４　秘密保持命令を取り消す裁判は、確定しなければその効力を生じない。</w:t>
      </w:r>
    </w:p>
    <w:p w:rsidR="00280DDC" w:rsidRDefault="0065735E">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280DDC" w:rsidRDefault="00280DDC"/>
    <w:p w:rsidR="00280DDC" w:rsidRDefault="0065735E">
      <w:pPr>
        <w:pStyle w:val="jaa"/>
      </w:pPr>
      <w:r>
        <w:t>（訴訟記録の閲覧等の請求の通知等）</w:t>
      </w:r>
    </w:p>
    <w:p w:rsidR="00280DDC" w:rsidRDefault="0065735E">
      <w:pPr>
        <w:pStyle w:val="jaf3"/>
      </w:pPr>
      <w:r>
        <w:t>第十二条　秘密保持命令が発せられた訴訟（全ての秘密保持命令が取り消された訴訟を除く。）に係る訴訟記録につき、民事訴訟法第九十二条第一項の決定があった場合において、当事者から同項に規</w:t>
      </w:r>
      <w:r>
        <w:t>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280DDC" w:rsidRDefault="0065735E">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280DDC" w:rsidRDefault="0065735E">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280DDC" w:rsidRDefault="00280DDC"/>
    <w:p w:rsidR="00280DDC" w:rsidRDefault="0065735E">
      <w:pPr>
        <w:pStyle w:val="jaa"/>
      </w:pPr>
      <w:r>
        <w:t>（当事者尋問等の公開停止）</w:t>
      </w:r>
    </w:p>
    <w:p w:rsidR="00280DDC" w:rsidRDefault="0065735E">
      <w:pPr>
        <w:pStyle w:val="jaf3"/>
      </w:pPr>
      <w:r>
        <w:t>第十三条</w:t>
      </w:r>
      <w:r>
        <w:t xml:space="preserve">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w:t>
      </w:r>
      <w:r>
        <w:t>該事項を判断の基礎とすべき不正競争による営業上の利益の侵害の有無についての適正な裁判をすることができないと認めるときは、決定で、当該事項の尋問を公開しないで行うことができる。</w:t>
      </w:r>
    </w:p>
    <w:p w:rsidR="00280DDC" w:rsidRDefault="0065735E">
      <w:pPr>
        <w:pStyle w:val="jaf4"/>
      </w:pPr>
      <w:r>
        <w:t>２　裁判所は、前項の決定をするに当たっては、あらかじめ、当事者等の意見を聴かなければならない。</w:t>
      </w:r>
    </w:p>
    <w:p w:rsidR="00280DDC" w:rsidRDefault="0065735E">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280DDC" w:rsidRDefault="0065735E">
      <w:pPr>
        <w:pStyle w:val="jaf4"/>
      </w:pPr>
      <w:r>
        <w:t>４　裁判所は、前項後段の書</w:t>
      </w:r>
      <w:r>
        <w:t>面を開示してその意見を聴くことが必要であると認めるときは、当事者等、訴訟代理人又は補佐人に対し、当該書面を開示することができる。</w:t>
      </w:r>
    </w:p>
    <w:p w:rsidR="00280DDC" w:rsidRDefault="0065735E">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280DDC" w:rsidRDefault="00280DDC"/>
    <w:p w:rsidR="00280DDC" w:rsidRDefault="0065735E">
      <w:pPr>
        <w:pStyle w:val="jaa"/>
      </w:pPr>
      <w:r>
        <w:t>（信用回復の措置）</w:t>
      </w:r>
    </w:p>
    <w:p w:rsidR="00280DDC" w:rsidRDefault="0065735E">
      <w:pPr>
        <w:pStyle w:val="jaf3"/>
      </w:pPr>
      <w:r>
        <w:t>第十四条　故意又は過失により不正競争を行って他人の営業上の信用を害した者に対しては、裁判所は、その営業上の信用を害された者の請求により、損害の賠償に代</w:t>
      </w:r>
      <w:r>
        <w:t>え、又は損害の賠償とともに、その者の営業上の信用を回復するのに必要な措置を命ずることができる。</w:t>
      </w:r>
    </w:p>
    <w:p w:rsidR="00280DDC" w:rsidRDefault="00280DDC"/>
    <w:p w:rsidR="00280DDC" w:rsidRDefault="0065735E">
      <w:pPr>
        <w:pStyle w:val="jaa"/>
      </w:pPr>
      <w:r>
        <w:t>（消滅時効）</w:t>
      </w:r>
    </w:p>
    <w:p w:rsidR="00280DDC" w:rsidRDefault="0065735E">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害されるおそれがある営業秘密保有者がその事実及びその行為を行う者を知った時から三年間行わないときは、時効によって消滅する。その行為の開始の時から二十年</w:t>
      </w:r>
      <w:r>
        <w:t>を経過したときも、同様とする。</w:t>
      </w:r>
    </w:p>
    <w:p w:rsidR="00280DDC" w:rsidRDefault="0065735E">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中「営業秘密保有者」とあるのは、「限定提供データ保有者」と読み替えるものとする。</w:t>
      </w:r>
    </w:p>
    <w:p w:rsidR="00280DDC" w:rsidRDefault="00280DDC"/>
    <w:p w:rsidR="00280DDC" w:rsidRDefault="0065735E">
      <w:pPr>
        <w:pStyle w:val="ja3"/>
      </w:pPr>
      <w:r>
        <w:t>第三章　国際約束に基づく禁止行為</w:t>
      </w:r>
    </w:p>
    <w:p w:rsidR="00280DDC" w:rsidRDefault="00280DDC"/>
    <w:p w:rsidR="00280DDC" w:rsidRDefault="0065735E">
      <w:pPr>
        <w:pStyle w:val="jaa"/>
      </w:pPr>
      <w:r>
        <w:t>（外国の国旗等の商業上の使用禁止）</w:t>
      </w:r>
    </w:p>
    <w:p w:rsidR="00280DDC" w:rsidRDefault="0065735E">
      <w:pPr>
        <w:pStyle w:val="jaf3"/>
      </w:pPr>
      <w:r>
        <w:t>第十六条　何人も、外国の国旗若しくは国の紋章その他の記章であって経済産業省令で定めるもの（以下「外国国旗等」という</w:t>
      </w:r>
      <w:r>
        <w:t>。）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280DDC" w:rsidRDefault="0065735E">
      <w:pPr>
        <w:pStyle w:val="jaf4"/>
      </w:pPr>
      <w:r>
        <w:t>２　前項に規定するもののほか、何人も、商品の原産地を誤認さ</w:t>
      </w:r>
      <w:r>
        <w:t>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280DDC" w:rsidRDefault="0065735E">
      <w:pPr>
        <w:pStyle w:val="jaf4"/>
      </w:pPr>
      <w:r>
        <w:t>３　何人も、外国の政府若しくは地方公共団体の監督用若しくは証明用の印章若しくは記号であって経済産業省令で定めるもの（以下「外国政府等</w:t>
      </w:r>
      <w:r>
        <w:t>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w:t>
      </w:r>
      <w:r>
        <w:t>りでない。</w:t>
      </w:r>
    </w:p>
    <w:p w:rsidR="00280DDC" w:rsidRDefault="00280DDC"/>
    <w:p w:rsidR="00280DDC" w:rsidRDefault="0065735E">
      <w:pPr>
        <w:pStyle w:val="jaa"/>
      </w:pPr>
      <w:r>
        <w:t>（国際機関の標章の商業上の使用禁止）</w:t>
      </w:r>
    </w:p>
    <w:p w:rsidR="00280DDC" w:rsidRDefault="0065735E">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w:t>
      </w:r>
      <w:r>
        <w:t>してはならない。ただし、この国際機関の許可を受けたときは、この限りでない。</w:t>
      </w:r>
    </w:p>
    <w:p w:rsidR="00280DDC" w:rsidRDefault="00280DDC"/>
    <w:p w:rsidR="00280DDC" w:rsidRDefault="0065735E">
      <w:pPr>
        <w:pStyle w:val="jaa"/>
      </w:pPr>
      <w:r>
        <w:t>（外国公務員等に対する不正の利益の供与等の禁止）</w:t>
      </w:r>
    </w:p>
    <w:p w:rsidR="00280DDC" w:rsidRDefault="0065735E">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280DDC" w:rsidRDefault="0065735E">
      <w:pPr>
        <w:pStyle w:val="jaf4"/>
      </w:pPr>
      <w:r>
        <w:t>２　前項において「外国公務員等</w:t>
      </w:r>
      <w:r>
        <w:t>」とは、次に掲げる者をいう。</w:t>
      </w:r>
    </w:p>
    <w:p w:rsidR="00280DDC" w:rsidRDefault="0065735E">
      <w:pPr>
        <w:pStyle w:val="jaf6"/>
      </w:pPr>
      <w:r>
        <w:t>一　外国の政府又は地方公共団体の公務に従事する者</w:t>
      </w:r>
    </w:p>
    <w:p w:rsidR="00280DDC" w:rsidRDefault="0065735E">
      <w:pPr>
        <w:pStyle w:val="jaf6"/>
      </w:pPr>
      <w:r>
        <w:t>二　公共の利益に関する特定の事務を行うために外国の特別の法令により設立されたものの事務に従事する者</w:t>
      </w:r>
    </w:p>
    <w:p w:rsidR="00280DDC" w:rsidRDefault="0065735E">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w:t>
      </w:r>
      <w:r>
        <w:t>者であって、その事業の遂行に当たり、外国の政府又は地方公共団体から特に権益を付与されているものの事務に従事する者その他これに準ずる者として政令で定める者</w:t>
      </w:r>
    </w:p>
    <w:p w:rsidR="00280DDC" w:rsidRDefault="0065735E">
      <w:pPr>
        <w:pStyle w:val="jaf6"/>
      </w:pPr>
      <w:r>
        <w:t>四　国際機関（政府又は政府間の国際機関によって構成される国際機関をいう。次号において同じ。）の公務に従事する者</w:t>
      </w:r>
    </w:p>
    <w:p w:rsidR="00280DDC" w:rsidRDefault="0065735E">
      <w:pPr>
        <w:pStyle w:val="jaf6"/>
      </w:pPr>
      <w:r>
        <w:t>五　外国の政府若しくは地方公共団体又は国際機関の権限に属する事務であって、これらの機関から委任されたものに従事する者</w:t>
      </w:r>
    </w:p>
    <w:p w:rsidR="00280DDC" w:rsidRDefault="00280DDC"/>
    <w:p w:rsidR="00280DDC" w:rsidRDefault="0065735E">
      <w:pPr>
        <w:pStyle w:val="ja3"/>
      </w:pPr>
      <w:r>
        <w:t>第四章　雑則</w:t>
      </w:r>
    </w:p>
    <w:p w:rsidR="00280DDC" w:rsidRDefault="00280DDC"/>
    <w:p w:rsidR="00280DDC" w:rsidRDefault="0065735E">
      <w:pPr>
        <w:pStyle w:val="jaa"/>
      </w:pPr>
      <w:r>
        <w:t>（適用除外等）</w:t>
      </w:r>
    </w:p>
    <w:p w:rsidR="00280DDC" w:rsidRDefault="0065735E">
      <w:pPr>
        <w:pStyle w:val="jaf3"/>
      </w:pPr>
      <w:r>
        <w:t>第十九条　第三条から第十五条まで、第二十一条（第二項第七号に係る部分を除く。）及び第二十二条の</w:t>
      </w:r>
      <w:r>
        <w:t>規定は、次の各号に掲げる不正競争の区分に応じて当該各号に定める行為については、適用しない。</w:t>
      </w:r>
    </w:p>
    <w:p w:rsidR="00280DDC" w:rsidRDefault="0065735E">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w:t>
      </w:r>
      <w:r>
        <w:t>き渡し、譲渡若しくは引渡しのために展示し、輸出し、輸入し、若しくは電気通信回線を通じて提供する行為（同項第二十号及び第二十二号に掲げる不正競争の場合にあっては、普通名称等を普通に用いられる方法で表示をし、又は使用して役務を提供する行為を含む。）</w:t>
      </w:r>
    </w:p>
    <w:p w:rsidR="00280DDC" w:rsidRDefault="0065735E">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w:t>
      </w:r>
      <w:r>
        <w:t>ために展示し、輸出し、輸入し、若しくは電気通信回線を通じて提供する行為（同号に掲げる不正競争の場合にあっては、自己の氏名を不正の目的でなく使用して役務を提供する行為を含む。）</w:t>
      </w:r>
    </w:p>
    <w:p w:rsidR="00280DDC" w:rsidRDefault="0065735E">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w:t>
      </w:r>
      <w:r>
        <w:t>、輸入し、若しくは電気通信回線を通じて提供する行為</w:t>
      </w:r>
    </w:p>
    <w:p w:rsidR="00280DDC" w:rsidRDefault="0065735E">
      <w:pPr>
        <w:pStyle w:val="jaf6"/>
      </w:pPr>
      <w:r>
        <w:t>四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280DDC" w:rsidRDefault="0065735E">
      <w:pPr>
        <w:pStyle w:val="jaf6"/>
      </w:pPr>
      <w:r>
        <w:t>五　第二条第一項第三号に掲げる不正競争　次のいずれかに掲げる行為</w:t>
      </w:r>
    </w:p>
    <w:p w:rsidR="00280DDC" w:rsidRDefault="0065735E">
      <w:pPr>
        <w:pStyle w:val="jaf9"/>
      </w:pPr>
      <w:r>
        <w:t>イ　日本国内において最</w:t>
      </w:r>
      <w:r>
        <w:t>初に販売された日から起算して三年を経過した商品について、その商品の形態を模倣した商品を譲渡し、貸し渡し、譲渡若しくは貸渡しのために展示し、輸出し、又は輸入する行為</w:t>
      </w:r>
    </w:p>
    <w:p w:rsidR="00280DDC" w:rsidRDefault="0065735E">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280DDC" w:rsidRDefault="0065735E">
      <w:pPr>
        <w:pStyle w:val="jaf6"/>
      </w:pPr>
      <w:r>
        <w:t>六　第二条第一項第四号から第九号までに掲げる不正競争　取引によって営業秘密を取</w:t>
      </w:r>
      <w:r>
        <w:t>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rsidR="00280DDC" w:rsidRDefault="0065735E">
      <w:pPr>
        <w:pStyle w:val="jaf6"/>
      </w:pPr>
      <w:r>
        <w:t>七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w:t>
      </w:r>
      <w:r>
        <w:t>入し、又は電気通信回線を通じて提供する行為</w:t>
      </w:r>
    </w:p>
    <w:p w:rsidR="00280DDC" w:rsidRDefault="0065735E">
      <w:pPr>
        <w:pStyle w:val="jaf6"/>
      </w:pPr>
      <w:r>
        <w:t>八　第二条第一項第十一号から第十六号までに掲げる不正競争　次のいずれかに掲げる行為</w:t>
      </w:r>
    </w:p>
    <w:p w:rsidR="00280DDC" w:rsidRDefault="0065735E">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rsidR="00280DDC" w:rsidRDefault="0065735E">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rsidR="00280DDC" w:rsidRDefault="0065735E">
      <w:pPr>
        <w:pStyle w:val="jaf6"/>
      </w:pPr>
      <w:r>
        <w:t>九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し、譲渡若しくは引渡しのために展示し、輸出し、若しくは輸入し、若しくは当該プログラム若しくは指令符号を電気通</w:t>
      </w:r>
      <w:r>
        <w:t>信回線を通じて提供する行為又は技術的制限手段の試験又は研究のために行われるこれらの号に規定する役務を提供する行為</w:t>
      </w:r>
    </w:p>
    <w:p w:rsidR="00280DDC" w:rsidRDefault="0065735E">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280DDC" w:rsidRDefault="0065735E">
      <w:pPr>
        <w:pStyle w:val="jaf6"/>
      </w:pPr>
      <w:r>
        <w:t>一　前項第二号に掲げる行為　自己の氏名を使用する者（自己の氏名を使用した商品を自ら譲渡し、引き渡し、譲渡若しくは引渡しのために展示し、輸出し、輸入し、又</w:t>
      </w:r>
      <w:r>
        <w:t>は電気通信回線を通じて提供する者を含む。）</w:t>
      </w:r>
    </w:p>
    <w:p w:rsidR="00280DDC" w:rsidRDefault="0065735E">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280DDC" w:rsidRDefault="00280DDC"/>
    <w:p w:rsidR="00280DDC" w:rsidRDefault="0065735E">
      <w:pPr>
        <w:pStyle w:val="jaa"/>
      </w:pPr>
      <w:r>
        <w:t>（政令等への委任）</w:t>
      </w:r>
    </w:p>
    <w:p w:rsidR="00280DDC" w:rsidRDefault="0065735E">
      <w:pPr>
        <w:pStyle w:val="jaf3"/>
      </w:pPr>
      <w:r>
        <w:t>第十九条の二　この法律に定めるもののほか、没収保全と滞納処分との手続の調整について必要な事項で、滞納処分に関するものは、政令で定める。</w:t>
      </w:r>
    </w:p>
    <w:p w:rsidR="00280DDC" w:rsidRDefault="0065735E">
      <w:pPr>
        <w:pStyle w:val="jaf4"/>
      </w:pPr>
      <w:r>
        <w:t>２　この法律に定めるもののほか、第三十</w:t>
      </w:r>
      <w:r>
        <w:t>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280DDC" w:rsidRDefault="00280DDC"/>
    <w:p w:rsidR="00280DDC" w:rsidRDefault="0065735E">
      <w:pPr>
        <w:pStyle w:val="jaa"/>
      </w:pPr>
      <w:r>
        <w:t>（経過措置）</w:t>
      </w:r>
    </w:p>
    <w:p w:rsidR="00280DDC" w:rsidRDefault="0065735E">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280DDC" w:rsidRDefault="00280DDC"/>
    <w:p w:rsidR="00280DDC" w:rsidRDefault="0065735E">
      <w:pPr>
        <w:pStyle w:val="ja3"/>
      </w:pPr>
      <w:r>
        <w:t>第五章　罰則</w:t>
      </w:r>
    </w:p>
    <w:p w:rsidR="00280DDC" w:rsidRDefault="00280DDC"/>
    <w:p w:rsidR="00280DDC" w:rsidRDefault="0065735E">
      <w:pPr>
        <w:pStyle w:val="jaa"/>
      </w:pPr>
      <w:r>
        <w:t>（罰則）</w:t>
      </w:r>
    </w:p>
    <w:p w:rsidR="00280DDC" w:rsidRDefault="0065735E">
      <w:pPr>
        <w:pStyle w:val="jaf3"/>
      </w:pPr>
      <w:r>
        <w:t>第二十一条　次の各号のいずれかに該当する者は、十年以下の懲役若しくは二千万円以下の罰金に処し、又はこれを併科する。</w:t>
      </w:r>
    </w:p>
    <w:p w:rsidR="00280DDC" w:rsidRDefault="0065735E">
      <w:pPr>
        <w:pStyle w:val="jaf6"/>
      </w:pPr>
      <w:r>
        <w:t>一　不正の利益を得る目的で、又はその営業秘密保有者に損害を加える目的で、詐欺等行為（人を欺き、人に暴行を加え、又は人を</w:t>
      </w:r>
      <w:r>
        <w:t>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じ。）により、営業秘密を取得した者</w:t>
      </w:r>
    </w:p>
    <w:p w:rsidR="00280DDC" w:rsidRDefault="0065735E">
      <w:pPr>
        <w:pStyle w:val="jaf6"/>
      </w:pPr>
      <w:r>
        <w:t>二　詐欺等行為又は管理侵害行為により取得した営業秘密を、不正の利益を得る目的で、又はその営業秘密保有者に損害を加える目的で、使用し、又は開示した者</w:t>
      </w:r>
    </w:p>
    <w:p w:rsidR="00280DDC" w:rsidRDefault="0065735E">
      <w:pPr>
        <w:pStyle w:val="jaf6"/>
      </w:pPr>
      <w:r>
        <w:t>三　営業秘密を営業秘密保有者から示された者であって</w:t>
      </w:r>
      <w:r>
        <w:t>、不正の利益を得る目的で、又はその営業秘密保有者に損害を加える目的で、その営業秘密の管理に係る任務に背き、次のいずれかに掲げる方法でその営業秘密を領得した者</w:t>
      </w:r>
    </w:p>
    <w:p w:rsidR="00280DDC" w:rsidRDefault="0065735E">
      <w:pPr>
        <w:pStyle w:val="jaf9"/>
      </w:pPr>
      <w:r>
        <w:t>イ　営業秘密記録媒体等（営業秘密が記載され、又は記録された文書、図画又は記録媒体をいう。以下この号において同じ。）又は営業秘密が化体された物件を横領すること。</w:t>
      </w:r>
    </w:p>
    <w:p w:rsidR="00280DDC" w:rsidRDefault="0065735E">
      <w:pPr>
        <w:pStyle w:val="jaf9"/>
      </w:pPr>
      <w:r>
        <w:t>ロ　営業秘密記録媒体等の記載若しくは記録について、又は営業秘密が化体された物件について、その複製を作成すること。</w:t>
      </w:r>
    </w:p>
    <w:p w:rsidR="00280DDC" w:rsidRDefault="0065735E">
      <w:pPr>
        <w:pStyle w:val="jaf9"/>
      </w:pPr>
      <w:r>
        <w:t>ハ　営業秘密記録媒体等の記載又は記録であって、消去すべきものを消去せず、かつ、当</w:t>
      </w:r>
      <w:r>
        <w:t>該記載又は記録を消去したように仮装すること。</w:t>
      </w:r>
    </w:p>
    <w:p w:rsidR="00280DDC" w:rsidRDefault="0065735E">
      <w:pPr>
        <w:pStyle w:val="jaf6"/>
      </w:pPr>
      <w:r>
        <w:t>四　営業秘密を営業秘密保有者から示された者であって、その営業秘密の管理に係る任務に背いて前号イからハまでに掲げる方法により領得した営業秘密を、不正の利益を得る目的で、又はその営業秘密保有者に損害を加える目的で、その営業秘密の管理に係る任務に背き、使用し、又は開示した者</w:t>
      </w:r>
    </w:p>
    <w:p w:rsidR="00280DDC" w:rsidRDefault="0065735E">
      <w:pPr>
        <w:pStyle w:val="jaf6"/>
      </w:pPr>
      <w:r>
        <w:t>五　営業秘密を営業秘密保有者から示されたその役員（理事、取締役、執行役、業務を執行する社員、監事若しくは監査役又はこれらに準ずる者をいう。次号において同じ。）又は従業者であって、不正の利益を得る目</w:t>
      </w:r>
      <w:r>
        <w:t>的で、又はその営業秘密保有者に損害を加える目的で、その営業秘密の管理に係る任務に背き、その営業秘密を使用し、又は開示した者（前号に掲げる者を除く。）</w:t>
      </w:r>
    </w:p>
    <w:p w:rsidR="00280DDC" w:rsidRDefault="0065735E">
      <w:pPr>
        <w:pStyle w:val="jaf6"/>
      </w:pPr>
      <w:r>
        <w:t>六　営業秘密を営業秘密保有者から示されたその役員又は従業者であった者であって、不正の利益を得る目的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r>
        <w:t>。）</w:t>
      </w:r>
    </w:p>
    <w:p w:rsidR="00280DDC" w:rsidRDefault="0065735E">
      <w:pPr>
        <w:pStyle w:val="jaf6"/>
      </w:pPr>
      <w:r>
        <w:t>七　不正の利益を得る目的で、又はその営業秘密保有者に損害を加える目的で、第二号若しくは前三号の罪又は第三項第二号の罪（第二号及び前三号の罪に当たる開示に係る部分に限る。）に当たる開示によって営業秘密を取得して、その営業秘密を使用し、又は開示した者</w:t>
      </w:r>
    </w:p>
    <w:p w:rsidR="00280DDC" w:rsidRDefault="0065735E">
      <w:pPr>
        <w:pStyle w:val="jaf6"/>
      </w:pPr>
      <w:r>
        <w:t>八　不正の利益を得る目的で、又はその営業秘密保有者に損害を加える目的で、第二号若しくは第四号から前号までの罪又は第三項第二号の罪（第二号及び第四号から前号までの罪に当たる開示に係る部分に限る。）に当たる開示が介在したことを知って営業秘密を取得して、その営業秘</w:t>
      </w:r>
      <w:r>
        <w:t>密を使用し、又は開示した者</w:t>
      </w:r>
    </w:p>
    <w:p w:rsidR="00280DDC" w:rsidRDefault="0065735E">
      <w:pPr>
        <w:pStyle w:val="jaf6"/>
      </w:pPr>
      <w:r>
        <w:t>九　不正の利益を得る目的で、又はその営業秘密保有者に損害を加える目的で、自己又は他人の第二号若しくは第四号から前号まで又は第三項第三号の罪に当たる行為（技術上の秘密を使用する行為に限る。以下この号及び次条第一項第二号において「違法使用行為」という。）により生じた物を譲渡し、引き渡し、譲渡若しくは引渡しのために展示し、輸出し、輸入し、又は電気通信回線を通じて提供した者（当該物が違法使用行為により生じた物であることの情を知らないで譲り受け、当該物を譲渡し、引き渡し、譲渡若しくは引渡しのために展示し、輸出し、輸入</w:t>
      </w:r>
      <w:r>
        <w:t>し、又は電気通信回線を通じて提供した者を除く。）</w:t>
      </w:r>
    </w:p>
    <w:p w:rsidR="00280DDC" w:rsidRDefault="0065735E">
      <w:pPr>
        <w:pStyle w:val="jaf4"/>
      </w:pPr>
      <w:r>
        <w:t>２　次の各号のいずれかに該当する者は、五年以下の懲役若しくは五百万円以下の罰金に処し、又はこれを併科する。</w:t>
      </w:r>
    </w:p>
    <w:p w:rsidR="00280DDC" w:rsidRDefault="0065735E">
      <w:pPr>
        <w:pStyle w:val="jaf6"/>
      </w:pPr>
      <w:r>
        <w:t>一　不正の目的をもって第二条第一項第一号又は第二十号に掲げる不正競争を行った者</w:t>
      </w:r>
    </w:p>
    <w:p w:rsidR="00280DDC" w:rsidRDefault="0065735E">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280DDC" w:rsidRDefault="0065735E">
      <w:pPr>
        <w:pStyle w:val="jaf6"/>
      </w:pPr>
      <w:r>
        <w:t>三　不正の利益を得る目的で第二条第一項第三号に掲げる不正競争を行った者</w:t>
      </w:r>
    </w:p>
    <w:p w:rsidR="00280DDC" w:rsidRDefault="0065735E">
      <w:pPr>
        <w:pStyle w:val="jaf6"/>
      </w:pPr>
      <w:r>
        <w:t>四　不正の利益を得る目的で、又は営業</w:t>
      </w:r>
      <w:r>
        <w:t>上技術的制限手段を用いている者に損害を加える目的で、第二条第一項第十七号又は第十八号に掲げる不正競争を行った者</w:t>
      </w:r>
    </w:p>
    <w:p w:rsidR="00280DDC" w:rsidRDefault="0065735E">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280DDC" w:rsidRDefault="0065735E">
      <w:pPr>
        <w:pStyle w:val="jaf6"/>
      </w:pPr>
      <w:r>
        <w:t>六　秘密保持命令に違反した者</w:t>
      </w:r>
    </w:p>
    <w:p w:rsidR="00280DDC" w:rsidRDefault="0065735E">
      <w:pPr>
        <w:pStyle w:val="jaf6"/>
      </w:pPr>
      <w:r>
        <w:t>七　第十六条、第十七条又は第十八条第一項の規定に違反した者</w:t>
      </w:r>
    </w:p>
    <w:p w:rsidR="00280DDC" w:rsidRDefault="0065735E">
      <w:pPr>
        <w:pStyle w:val="jaf4"/>
      </w:pPr>
      <w:r>
        <w:t>３　次の各号のいずれかに該当する者は、十年以下の懲役若しくは三千万円</w:t>
      </w:r>
      <w:r>
        <w:t>以下の罰金に処し、又はこれを併科する。</w:t>
      </w:r>
    </w:p>
    <w:p w:rsidR="00280DDC" w:rsidRDefault="0065735E">
      <w:pPr>
        <w:pStyle w:val="jaf6"/>
      </w:pPr>
      <w:r>
        <w:t>一　日本国外において使用する目的で、第一項第一号又は第三号の罪を犯した者</w:t>
      </w:r>
    </w:p>
    <w:p w:rsidR="00280DDC" w:rsidRDefault="0065735E">
      <w:pPr>
        <w:pStyle w:val="jaf6"/>
      </w:pPr>
      <w:r>
        <w:t>二　相手方に日本国外において第一項第二号又は第四号から第八号までの罪に当たる使用をする目的があることの情を知って、これらの罪に当たる開示をした者</w:t>
      </w:r>
    </w:p>
    <w:p w:rsidR="00280DDC" w:rsidRDefault="0065735E">
      <w:pPr>
        <w:pStyle w:val="jaf6"/>
      </w:pPr>
      <w:r>
        <w:t>三　日本国内において事業を行う営業秘密保有者の営業秘密について、日本国外において第一項第二号又は第四号から第八号までの罪に当たる使用をした者</w:t>
      </w:r>
    </w:p>
    <w:p w:rsidR="00280DDC" w:rsidRDefault="0065735E">
      <w:pPr>
        <w:pStyle w:val="jaf4"/>
      </w:pPr>
      <w:r>
        <w:t>４　第一項（第三号を除く。）並びに前項第一号（第一項第三号に係る部分を除く。）、第二号及び第三号の罪の未遂は、</w:t>
      </w:r>
      <w:r>
        <w:t>罰する。</w:t>
      </w:r>
    </w:p>
    <w:p w:rsidR="00280DDC" w:rsidRDefault="0065735E">
      <w:pPr>
        <w:pStyle w:val="jaf4"/>
      </w:pPr>
      <w:r>
        <w:t>５　第二項第六号の罪は、告訴がなければ公訴を提起することができない。</w:t>
      </w:r>
    </w:p>
    <w:p w:rsidR="00280DDC" w:rsidRDefault="0065735E">
      <w:pPr>
        <w:pStyle w:val="jaf4"/>
      </w:pPr>
      <w:r>
        <w:t>６　第一項各号（第九号を除く。）、第三項第一号若しくは第二号又は第四項（第一項第九号に係る部分を除く。）の罪は、日本国内において事業を行う営業秘密保有者の営業秘密について、日本国外においてこれらの罪を犯した者にも適用する。</w:t>
      </w:r>
    </w:p>
    <w:p w:rsidR="00280DDC" w:rsidRDefault="0065735E">
      <w:pPr>
        <w:pStyle w:val="jaf4"/>
      </w:pPr>
      <w:r>
        <w:t>７　第二項第六号の罪は、日本国外において同号の罪を犯した者にも適用する。</w:t>
      </w:r>
    </w:p>
    <w:p w:rsidR="00280DDC" w:rsidRDefault="0065735E">
      <w:pPr>
        <w:pStyle w:val="jaf4"/>
      </w:pPr>
      <w:r>
        <w:t>８　第二項第七号（第十八条第一項に係る部分に限る。）の罪は、刑法（明治四十年法律第四十五号）第三条の例に従う。</w:t>
      </w:r>
    </w:p>
    <w:p w:rsidR="00280DDC" w:rsidRDefault="0065735E">
      <w:pPr>
        <w:pStyle w:val="jaf4"/>
      </w:pPr>
      <w:r>
        <w:t>９　第一項から第四項ま</w:t>
      </w:r>
      <w:r>
        <w:t>での規定は、刑法その他の罰則の適用を妨げない。</w:t>
      </w:r>
    </w:p>
    <w:p w:rsidR="00280DDC" w:rsidRDefault="0065735E">
      <w:pPr>
        <w:pStyle w:val="jaf4"/>
      </w:pPr>
      <w:r>
        <w:t>１０　次に掲げる財産は、これを没収することができる。</w:t>
      </w:r>
    </w:p>
    <w:p w:rsidR="00280DDC" w:rsidRDefault="0065735E">
      <w:pPr>
        <w:pStyle w:val="jaf6"/>
      </w:pPr>
      <w:r>
        <w:t>一　第一項、第三項及び第四項の罪の犯罪行為により生じ、若しくは当該犯罪行為により得た財産又は当該犯罪行為の報酬として得た財産</w:t>
      </w:r>
    </w:p>
    <w:p w:rsidR="00280DDC" w:rsidRDefault="0065735E">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280DDC" w:rsidRDefault="0065735E">
      <w:pPr>
        <w:pStyle w:val="jaf4"/>
      </w:pPr>
      <w:r>
        <w:t>１１　組織的な犯罪の処罰及び犯罪収益の規制等に関する法律（平成十一年法律第百三十六号。以下「組織的犯罪処罰法」という。</w:t>
      </w:r>
      <w:r>
        <w:t>）第十四条及び第十五条の規定は、前項の規定による没収について準用する。この場合において、組織的犯罪処罰法第十四条中「前条第一項各号又は第四項各号」とあるのは、「不正競争防止法第二十一条第十項各号」と読み替えるものとする。</w:t>
      </w:r>
    </w:p>
    <w:p w:rsidR="00280DDC" w:rsidRDefault="0065735E">
      <w:pPr>
        <w:pStyle w:val="jaf4"/>
      </w:pPr>
      <w:r>
        <w:t>１２　第十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280DDC" w:rsidRDefault="00280DDC"/>
    <w:p w:rsidR="00280DDC" w:rsidRDefault="0065735E">
      <w:pPr>
        <w:pStyle w:val="jaf3"/>
      </w:pPr>
      <w:r>
        <w:t>第二十二条　法人の代表者又は法人若しくは人の代</w:t>
      </w:r>
      <w:r>
        <w:t>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280DDC" w:rsidRDefault="0065735E">
      <w:pPr>
        <w:pStyle w:val="jaf6"/>
      </w:pPr>
      <w:r>
        <w:t>一　前条第三項第一号（同条第一項第一号に係る部分に限る。）、第二号（同条第一項第二号、第七号及び第八号に係る部分に限る。）若しくは第三号（同条第一項第二号、第七号及び第八号に係る部分に限る。）又は第四項（同条第三項第一号（同条第一項第一号に係る部分に限る。）、第二号（同条第一項第二号、第七号及び第八号に係る</w:t>
      </w:r>
      <w:r>
        <w:t>部分に限る。）及び第三号（同条第一項第二号、第七号及び第八号に係る部分に限る。）に係る部分に限る。）　十億円以下の罰金刑</w:t>
      </w:r>
    </w:p>
    <w:p w:rsidR="00280DDC" w:rsidRDefault="0065735E">
      <w:pPr>
        <w:pStyle w:val="jaf6"/>
      </w:pPr>
      <w:r>
        <w:t>二　前条第一項第一号、第二号、第七号、第八号若しくは第九号（同項第四号から第六号まで又は同条第三項第三号（同条第一項第四号から第六号までに係る部分に限る。）の罪に係る違法使用行為（以下この号及び第三項において「特定違法使用行為」という。）をした者が該当する場合を除く。）又は第四項（同条第一項第一号、第二号、第七号、第八号及び第九号（特定違法使用行為をした者が該当する場合を除く。）に係る部</w:t>
      </w:r>
      <w:r>
        <w:t>分に限る。）　五億円以下の罰金刑</w:t>
      </w:r>
    </w:p>
    <w:p w:rsidR="00280DDC" w:rsidRDefault="0065735E">
      <w:pPr>
        <w:pStyle w:val="jaf6"/>
      </w:pPr>
      <w:r>
        <w:t>三　前条第二項　三億円以下の罰金刑</w:t>
      </w:r>
    </w:p>
    <w:p w:rsidR="00280DDC" w:rsidRDefault="0065735E">
      <w:pPr>
        <w:pStyle w:val="jaf4"/>
      </w:pPr>
      <w:r>
        <w:t>２　前項の場合において、当該行為者に対してした前条第二項第六号の罪に係る同条第五項の告訴は、その法人又は人に対しても効力を生じ、その法人又は人に対してした告訴は、当該行為者に対しても効力を生ずるものとする。</w:t>
      </w:r>
    </w:p>
    <w:p w:rsidR="00280DDC" w:rsidRDefault="0065735E">
      <w:pPr>
        <w:pStyle w:val="jaf4"/>
      </w:pPr>
      <w:r>
        <w:t>３　第一項の規定により前条第一項第一号、第二号、第七号、第八号若しくは第九号（特定違法使用行為をした者が該当する場合を除く。）、第二項、第三項第一号（同条第一項第一号に係る部分に限る。）、第二号（同条第一項第二号、第七号及び第八号に係る部分に限る。）若しくは第三号（同条第一項第二号、第七号及び第八号に係る部分に限る。）又は第四項（同条第一項第一号、第二号、第七号、第八号及び第九号（特定違法使用行為をした者が該当する場合を除く。）並びに同条第三項第一号（同条第一項第一号に係る部分に限る。）、第二号（同条第一項</w:t>
      </w:r>
      <w:r>
        <w:t>第二号、第七号及び第八号に係る部分に限る。）及び第三号（同条第一項第二号、第七号及び第八号に係る部分に限る。）に係る部分に限る。）の違反行為につき法人又は人に罰金刑を科する場合における時効の期間は、これらの規定の罪についての時効の期間による。</w:t>
      </w:r>
    </w:p>
    <w:p w:rsidR="00280DDC" w:rsidRDefault="00280DDC"/>
    <w:p w:rsidR="00280DDC" w:rsidRDefault="0065735E">
      <w:pPr>
        <w:pStyle w:val="ja3"/>
      </w:pPr>
      <w:r>
        <w:t>第六章　刑事訴訟手続の特例</w:t>
      </w:r>
    </w:p>
    <w:p w:rsidR="00280DDC" w:rsidRDefault="00280DDC"/>
    <w:p w:rsidR="00280DDC" w:rsidRDefault="0065735E">
      <w:pPr>
        <w:pStyle w:val="jaa"/>
      </w:pPr>
      <w:r>
        <w:t>（営業秘密の秘匿決定等）</w:t>
      </w:r>
    </w:p>
    <w:p w:rsidR="00280DDC" w:rsidRDefault="0065735E">
      <w:pPr>
        <w:pStyle w:val="jaf3"/>
      </w:pPr>
      <w:r>
        <w:t>第二十三条　裁判所は、第二十一条第一項、第三項若しくは第四項の罪又は前条第一項（第三号を除く。）の罪に係る事件を取り扱う場合において、当該事件の被害者若しくは当該被害者の法定代理人又はこれらの者から委託を受けた</w:t>
      </w:r>
      <w:r>
        <w:t>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280DDC" w:rsidRDefault="0065735E">
      <w:pPr>
        <w:pStyle w:val="jaf4"/>
      </w:pPr>
      <w:r>
        <w:t>２　前項の申出は、あらかじめ、検察官にしなければならない。この場合において、検察官は、意見を付して、これを裁判所に通知するものとする。</w:t>
      </w:r>
    </w:p>
    <w:p w:rsidR="00280DDC" w:rsidRDefault="0065735E">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w:t>
      </w:r>
      <w:r>
        <w:t>項を公開の法廷で明らかにしない旨の決定をすることができる。</w:t>
      </w:r>
    </w:p>
    <w:p w:rsidR="00280DDC" w:rsidRDefault="0065735E">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280DDC" w:rsidRDefault="0065735E">
      <w:pPr>
        <w:pStyle w:val="jaf4"/>
      </w:pPr>
      <w:r>
        <w:t>５　裁判所は、秘匿決定をした事件について、営業秘密構成情報特定事項</w:t>
      </w:r>
      <w:r>
        <w:t>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280DDC" w:rsidRDefault="00280DDC"/>
    <w:p w:rsidR="00280DDC" w:rsidRDefault="0065735E">
      <w:pPr>
        <w:pStyle w:val="jaa"/>
      </w:pPr>
      <w:r>
        <w:t>（起訴状の朗読方法の特例）</w:t>
      </w:r>
    </w:p>
    <w:p w:rsidR="00280DDC" w:rsidRDefault="0065735E">
      <w:pPr>
        <w:pStyle w:val="jaf3"/>
      </w:pPr>
      <w:r>
        <w:t>第二十四条　秘匿決定があったときは、刑事訴訟法第二百九十一条第一項の起訴状の朗読は、営業秘密構成情報特定事項を明らかにしない方法で</w:t>
      </w:r>
      <w:r>
        <w:t>これを行うものとする。この場合においては、検察官は、被告人に起訴状を示さなければならない。</w:t>
      </w:r>
    </w:p>
    <w:p w:rsidR="00280DDC" w:rsidRDefault="00280DDC"/>
    <w:p w:rsidR="00280DDC" w:rsidRDefault="0065735E">
      <w:pPr>
        <w:pStyle w:val="jaa"/>
      </w:pPr>
      <w:r>
        <w:t>（尋問等の制限）</w:t>
      </w:r>
    </w:p>
    <w:p w:rsidR="00280DDC" w:rsidRDefault="0065735E">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280DDC" w:rsidRDefault="0065735E">
      <w:pPr>
        <w:pStyle w:val="jaf4"/>
      </w:pPr>
      <w:r>
        <w:t>２　刑事訴訟法第二百九十五条第五項</w:t>
      </w:r>
      <w:r>
        <w:t>及び第六項の規定は、前項の規定による命令を受けた検察官又は弁護士である弁護人がこれに従わなかった場合について準用する。</w:t>
      </w:r>
    </w:p>
    <w:p w:rsidR="00280DDC" w:rsidRDefault="00280DDC"/>
    <w:p w:rsidR="00280DDC" w:rsidRDefault="0065735E">
      <w:pPr>
        <w:pStyle w:val="jaa"/>
      </w:pPr>
      <w:r>
        <w:t>（公判期日外の証人尋問等）</w:t>
      </w:r>
    </w:p>
    <w:p w:rsidR="00280DDC" w:rsidRDefault="0065735E">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w:t>
      </w:r>
      <w:r>
        <w:t>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280DDC" w:rsidRDefault="0065735E">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w:t>
      </w:r>
      <w:r>
        <w:t>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w:t>
      </w:r>
      <w:r>
        <w:t>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280DDC" w:rsidRDefault="00280DDC"/>
    <w:p w:rsidR="00280DDC" w:rsidRDefault="0065735E">
      <w:pPr>
        <w:pStyle w:val="jaa"/>
      </w:pPr>
      <w:r>
        <w:t>（尋問等に係る事項の要領を記載した書面の提示命令）</w:t>
      </w:r>
    </w:p>
    <w:p w:rsidR="00280DDC" w:rsidRDefault="0065735E">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w:t>
      </w:r>
      <w:r>
        <w:t>しくは陳述又は被告人に対する供述を求める行為に係る事項の要領を記載した書面の提示を命ずることができる。</w:t>
      </w:r>
    </w:p>
    <w:p w:rsidR="00280DDC" w:rsidRDefault="00280DDC"/>
    <w:p w:rsidR="00280DDC" w:rsidRDefault="0065735E">
      <w:pPr>
        <w:pStyle w:val="jaa"/>
      </w:pPr>
      <w:r>
        <w:t>（証拠書類の朗読方法の特例）</w:t>
      </w:r>
    </w:p>
    <w:p w:rsidR="00280DDC" w:rsidRDefault="0065735E">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280DDC" w:rsidRDefault="00280DDC"/>
    <w:p w:rsidR="00280DDC" w:rsidRDefault="0065735E">
      <w:pPr>
        <w:pStyle w:val="jaa"/>
      </w:pPr>
      <w:r>
        <w:t>（公判前整理手続等における決定）</w:t>
      </w:r>
    </w:p>
    <w:p w:rsidR="00280DDC" w:rsidRDefault="0065735E">
      <w:pPr>
        <w:pStyle w:val="jaf3"/>
      </w:pPr>
      <w:r>
        <w:t>第二十九条　次に掲げる事項は、公判前整理手続及び期日間整理手続において行うことができる。</w:t>
      </w:r>
    </w:p>
    <w:p w:rsidR="00280DDC" w:rsidRDefault="0065735E">
      <w:pPr>
        <w:pStyle w:val="jaf6"/>
      </w:pPr>
      <w:r>
        <w:t>一　秘匿決定若しくは呼称等の決定又はこれらの決定を取り消す決定をすること。</w:t>
      </w:r>
    </w:p>
    <w:p w:rsidR="00280DDC" w:rsidRDefault="0065735E">
      <w:pPr>
        <w:pStyle w:val="jaf6"/>
      </w:pPr>
      <w:r>
        <w:t>二　第二十六条第一項の規定により尋問又は被告人の供述を求める手続を公判期日外においてする旨を定めること。</w:t>
      </w:r>
    </w:p>
    <w:p w:rsidR="00280DDC" w:rsidRDefault="00280DDC"/>
    <w:p w:rsidR="00280DDC" w:rsidRDefault="0065735E">
      <w:pPr>
        <w:pStyle w:val="jaa"/>
      </w:pPr>
      <w:r>
        <w:t>（証拠開示の際の営業秘密の秘匿要請）</w:t>
      </w:r>
    </w:p>
    <w:p w:rsidR="00280DDC" w:rsidRDefault="0065735E">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w:t>
      </w:r>
      <w:r>
        <w:t>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280DDC" w:rsidRDefault="0065735E">
      <w:pPr>
        <w:pStyle w:val="jaf4"/>
      </w:pPr>
      <w:r>
        <w:t>２　前項の規定は、検</w:t>
      </w:r>
      <w:r>
        <w:t>察官又は弁護人が刑事訴訟法第二編第三章第二節第一款第二目（同法第三百十六条の二十八第二項において準用する場合を含む。）の規定による証拠の開示をする場合について準用する。</w:t>
      </w:r>
    </w:p>
    <w:p w:rsidR="00280DDC" w:rsidRDefault="00280DDC"/>
    <w:p w:rsidR="00280DDC" w:rsidRDefault="0065735E">
      <w:pPr>
        <w:pStyle w:val="jaa"/>
      </w:pPr>
      <w:r>
        <w:t>（最高裁判所規則への委任）</w:t>
      </w:r>
    </w:p>
    <w:p w:rsidR="00280DDC" w:rsidRDefault="0065735E">
      <w:pPr>
        <w:pStyle w:val="jaf3"/>
      </w:pPr>
      <w:r>
        <w:t>第三十一条　この法律に定めるもののほか、第二十三条から前条までの規定の実施に関し必要な事項は、最高裁判所規則で定める。</w:t>
      </w:r>
    </w:p>
    <w:p w:rsidR="00280DDC" w:rsidRDefault="00280DDC"/>
    <w:p w:rsidR="00280DDC" w:rsidRDefault="0065735E">
      <w:pPr>
        <w:pStyle w:val="ja3"/>
      </w:pPr>
      <w:r>
        <w:t>第七章　没収に関する手続等の特例</w:t>
      </w:r>
    </w:p>
    <w:p w:rsidR="00280DDC" w:rsidRDefault="00280DDC"/>
    <w:p w:rsidR="00280DDC" w:rsidRDefault="0065735E">
      <w:pPr>
        <w:pStyle w:val="jaa"/>
      </w:pPr>
      <w:r>
        <w:t>（第三者の財産の没収手続等）</w:t>
      </w:r>
    </w:p>
    <w:p w:rsidR="00280DDC" w:rsidRDefault="0065735E">
      <w:pPr>
        <w:pStyle w:val="jaf3"/>
      </w:pPr>
      <w:r>
        <w:t>第三十二条　第二十一条第十項各号に掲げる財産である債権等（不動産及び動産以外の財産をいう。第三十四条において同じ。）が被告人</w:t>
      </w:r>
      <w:r>
        <w:t>以外の者（以下この条において「第三者」という。）に帰属する場合において、当該第三者が被告事件の手続への参加を許されていないときは、没収の裁判をすることができない。</w:t>
      </w:r>
    </w:p>
    <w:p w:rsidR="00280DDC" w:rsidRDefault="0065735E">
      <w:pPr>
        <w:pStyle w:val="jaf4"/>
      </w:pPr>
      <w:r>
        <w:t>２　第二十一条第十項の規定により、地上権、抵当権その他の第三者の権利がその上に存在する財産を没収しようとする場合において、当該第三者が被告事件の手続への参加を許されていないときも、前項と同様とする。</w:t>
      </w:r>
    </w:p>
    <w:p w:rsidR="00280DDC" w:rsidRDefault="0065735E">
      <w:pPr>
        <w:pStyle w:val="jaf4"/>
      </w:pPr>
      <w:r>
        <w:t>３　組織的犯罪処罰法第十八条第三項から第五項までの規定は、地上権、抵当権その他の第三者の権利がその上に存在する財産を没収する場合において、第二十一条</w:t>
      </w:r>
      <w:r>
        <w:t>第十一項において準用する組織的犯罪処罰法第十五条第二項の規定により当該権利を存続させるべきときについて準用する。</w:t>
      </w:r>
    </w:p>
    <w:p w:rsidR="00280DDC" w:rsidRDefault="0065735E">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280DDC" w:rsidRDefault="00280DDC"/>
    <w:p w:rsidR="00280DDC" w:rsidRDefault="0065735E">
      <w:pPr>
        <w:pStyle w:val="jaa"/>
      </w:pPr>
      <w:r>
        <w:t>（没収された債権等の処分等）</w:t>
      </w:r>
    </w:p>
    <w:p w:rsidR="00280DDC" w:rsidRDefault="0065735E">
      <w:pPr>
        <w:pStyle w:val="jaf3"/>
      </w:pPr>
      <w:r>
        <w:t>第三十三条　組織的犯罪処罰法第十九条の規定は第二十一条第十項の規定による没収について、組織的犯罪処罰法第二十条の規定は権利の移転について登記又は登録を要する</w:t>
      </w:r>
      <w:r>
        <w:t>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280DDC" w:rsidRDefault="00280DDC"/>
    <w:p w:rsidR="00280DDC" w:rsidRDefault="0065735E">
      <w:pPr>
        <w:pStyle w:val="jaa"/>
      </w:pPr>
      <w:r>
        <w:t>（刑事補償の特例）</w:t>
      </w:r>
    </w:p>
    <w:p w:rsidR="00280DDC" w:rsidRDefault="0065735E">
      <w:pPr>
        <w:pStyle w:val="jaf3"/>
      </w:pPr>
      <w:r>
        <w:t>第三十四条　債権等の没収の執行に対する刑事補償法（昭和二十五年法律第一号）による補償の内容については、同法第四条第六項の規定を準用する。</w:t>
      </w:r>
    </w:p>
    <w:p w:rsidR="00280DDC" w:rsidRDefault="00280DDC"/>
    <w:p w:rsidR="00280DDC" w:rsidRDefault="0065735E">
      <w:pPr>
        <w:pStyle w:val="ja3"/>
      </w:pPr>
      <w:r>
        <w:t>第八章　保全手続</w:t>
      </w:r>
    </w:p>
    <w:p w:rsidR="00280DDC" w:rsidRDefault="00280DDC"/>
    <w:p w:rsidR="00280DDC" w:rsidRDefault="0065735E">
      <w:pPr>
        <w:pStyle w:val="jaa"/>
      </w:pPr>
      <w:r>
        <w:t>（没収保全命令）</w:t>
      </w:r>
    </w:p>
    <w:p w:rsidR="00280DDC" w:rsidRDefault="0065735E">
      <w:pPr>
        <w:pStyle w:val="jaf3"/>
      </w:pPr>
      <w:r>
        <w:t>第三十五条　裁判所は、第二十一条第一項、第三項及び第四項の罪に係る被告事件に関し、同条第十項の規定により没収することができる財産（以下「没収対象財産」という。）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280DDC" w:rsidRDefault="0065735E">
      <w:pPr>
        <w:pStyle w:val="jaf4"/>
      </w:pPr>
      <w:r>
        <w:t>２　裁判所は、地上権、抵当権その他の権利がその上に存在する財産について没収保全命令を発した場合又は発しようとする場合において、当該権利が没収により消滅</w:t>
      </w:r>
      <w:r>
        <w:t>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280DDC" w:rsidRDefault="0065735E">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w:t>
      </w:r>
      <w:r>
        <w:t>規定する処分をすることができる。</w:t>
      </w:r>
    </w:p>
    <w:p w:rsidR="00280DDC" w:rsidRDefault="0065735E">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280DDC" w:rsidRDefault="00280DDC"/>
    <w:p w:rsidR="00280DDC" w:rsidRDefault="0065735E">
      <w:pPr>
        <w:pStyle w:val="jaa"/>
      </w:pPr>
      <w:r>
        <w:t>（追徴保全命令）</w:t>
      </w:r>
    </w:p>
    <w:p w:rsidR="00280DDC" w:rsidRDefault="0065735E">
      <w:pPr>
        <w:pStyle w:val="jaf3"/>
      </w:pPr>
      <w:r>
        <w:t>第三十六条　裁判所は、第二十一条第一項、第三項及び第四項の罪に係る被告事件に関し、同条第十二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w:t>
      </w:r>
      <w:r>
        <w:t>めるときは、検察官の請求により、又は職権で、追徴保全命令を発して、被告人に対し、その財産の処分を禁止することができる。</w:t>
      </w:r>
    </w:p>
    <w:p w:rsidR="00280DDC" w:rsidRDefault="0065735E">
      <w:pPr>
        <w:pStyle w:val="jaf4"/>
      </w:pPr>
      <w:r>
        <w:t>２　裁判官は、前項に規定する理由及び必要があると認めるときは、公訴が提起される前であっても、検察官の請求により、同項に規定する処分をすることができる。</w:t>
      </w:r>
    </w:p>
    <w:p w:rsidR="00280DDC" w:rsidRDefault="0065735E">
      <w:pPr>
        <w:pStyle w:val="jaf4"/>
      </w:pPr>
      <w:r>
        <w:t>３　前二項に定めるもののほか、これらの規定による処分については、組織的犯罪処罰法第四章第二節及び第三節の規定による追徴保全命令による処分の禁止の例による。</w:t>
      </w:r>
    </w:p>
    <w:p w:rsidR="00280DDC" w:rsidRDefault="00280DDC"/>
    <w:p w:rsidR="00280DDC" w:rsidRDefault="0065735E">
      <w:pPr>
        <w:pStyle w:val="ja3"/>
      </w:pPr>
      <w:r>
        <w:t>第九章　没収及び追徴の裁判の執行及び保全についての国際共助手続等</w:t>
      </w:r>
    </w:p>
    <w:p w:rsidR="00280DDC" w:rsidRDefault="00280DDC"/>
    <w:p w:rsidR="00280DDC" w:rsidRDefault="0065735E">
      <w:pPr>
        <w:pStyle w:val="jaa"/>
      </w:pPr>
      <w:r>
        <w:t>（共助の実施）</w:t>
      </w:r>
    </w:p>
    <w:p w:rsidR="00280DDC" w:rsidRDefault="0065735E">
      <w:pPr>
        <w:pStyle w:val="jaf3"/>
      </w:pPr>
      <w:r>
        <w:t>第三十七条　外国の刑事事件（当該事件において犯されたとされている犯罪に係る行為が日本国内において行われたとした場合において、当該行為が第二十一条第一項、第三項又は第四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280DDC" w:rsidRDefault="0065735E">
      <w:pPr>
        <w:pStyle w:val="jaf6"/>
      </w:pPr>
      <w:r>
        <w:t>一　共助犯罪（共助の要請において犯されたとされている犯罪をいう。以下この項において同じ。）に係る行為が日本国内にお</w:t>
      </w:r>
      <w:r>
        <w:t>いて行われたとした場合において、日本国の法令によればこれについて刑罰を科すことができないと認められるとき。</w:t>
      </w:r>
    </w:p>
    <w:p w:rsidR="00280DDC" w:rsidRDefault="0065735E">
      <w:pPr>
        <w:pStyle w:val="jaf6"/>
      </w:pPr>
      <w:r>
        <w:t>二　共助犯罪に係る事件が日本国の裁判所に係属するとき、又はその事件について日本国の裁判所において確定判決を経たとき。</w:t>
      </w:r>
    </w:p>
    <w:p w:rsidR="00280DDC" w:rsidRDefault="0065735E">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280DDC" w:rsidRDefault="0065735E">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280DDC" w:rsidRDefault="0065735E">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w:t>
      </w:r>
      <w:r>
        <w:t>手続において自己の権利を主張することができなかったと認められるとき。</w:t>
      </w:r>
    </w:p>
    <w:p w:rsidR="00280DDC" w:rsidRDefault="0065735E">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280DDC" w:rsidRDefault="0065735E">
      <w:pPr>
        <w:pStyle w:val="jaf4"/>
      </w:pPr>
      <w:r>
        <w:t>２　地上権、抵当権その他の権利がその上に存在する財産に係る没収の</w:t>
      </w:r>
      <w:r>
        <w:t>確定裁判の執行の共助をするに際し、日本国の法令により当該財産を没収するとすれば当該権利を存続させるべき場合に当たるときは、これを存続させるものとする。</w:t>
      </w:r>
    </w:p>
    <w:p w:rsidR="00280DDC" w:rsidRDefault="00280DDC"/>
    <w:p w:rsidR="00280DDC" w:rsidRDefault="0065735E">
      <w:pPr>
        <w:pStyle w:val="jaa"/>
      </w:pPr>
      <w:r>
        <w:t>（追徴とみなす没収）</w:t>
      </w:r>
    </w:p>
    <w:p w:rsidR="00280DDC" w:rsidRDefault="0065735E">
      <w:pPr>
        <w:pStyle w:val="jaf3"/>
      </w:pPr>
      <w:r>
        <w:t>第三十八条　第二十一条第十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280DDC" w:rsidRDefault="0065735E">
      <w:pPr>
        <w:pStyle w:val="jaf4"/>
      </w:pPr>
      <w:r>
        <w:t>２　前項の規定は、第二十一条第十項各号に掲げる財</w:t>
      </w:r>
      <w:r>
        <w:t>産に代えて、その価額が当該財産の価額に相当する財産を没収するための保全に係る共助の要請について準用する。</w:t>
      </w:r>
    </w:p>
    <w:p w:rsidR="00280DDC" w:rsidRDefault="00280DDC"/>
    <w:p w:rsidR="00280DDC" w:rsidRDefault="0065735E">
      <w:pPr>
        <w:pStyle w:val="jaa"/>
      </w:pPr>
      <w:r>
        <w:t>（要請国への共助の実施に係る財産等の譲与）</w:t>
      </w:r>
    </w:p>
    <w:p w:rsidR="00280DDC" w:rsidRDefault="0065735E">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280DDC" w:rsidRDefault="00280DDC"/>
    <w:p w:rsidR="00280DDC" w:rsidRDefault="0065735E">
      <w:pPr>
        <w:pStyle w:val="jaa"/>
      </w:pPr>
      <w:r>
        <w:t>（組織的犯罪処罰法による共助等の例）</w:t>
      </w:r>
    </w:p>
    <w:p w:rsidR="00280DDC" w:rsidRDefault="0065735E">
      <w:pPr>
        <w:pStyle w:val="jaf3"/>
      </w:pPr>
      <w:r>
        <w:t>第四十条　前三条に定めるもののほか、第三十七条の規定による共助及び前条の規定による譲与については、組織的犯罪処罰法第六章の規定による共助及び譲与の例による。</w:t>
      </w:r>
    </w:p>
    <w:p w:rsidR="00280DDC" w:rsidRDefault="00280DDC"/>
    <w:p w:rsidR="00280DDC" w:rsidRDefault="0065735E">
      <w:pPr>
        <w:pStyle w:val="ja2"/>
      </w:pPr>
      <w:r>
        <w:t>附　則　〔抄〕</w:t>
      </w:r>
    </w:p>
    <w:p w:rsidR="00280DDC" w:rsidRDefault="00280DDC"/>
    <w:p w:rsidR="00280DDC" w:rsidRDefault="0065735E">
      <w:pPr>
        <w:pStyle w:val="jaa"/>
      </w:pPr>
      <w:r>
        <w:t>（施行期日）</w:t>
      </w:r>
    </w:p>
    <w:p w:rsidR="00280DDC" w:rsidRDefault="0065735E">
      <w:pPr>
        <w:pStyle w:val="jaf3"/>
      </w:pPr>
      <w:r>
        <w:t>第一条　この法律は、公布の日から起算して一年を超えない範囲内におい</w:t>
      </w:r>
      <w:r>
        <w:t>て政令で定める日から施行する。</w:t>
      </w:r>
    </w:p>
    <w:p w:rsidR="00280DDC" w:rsidRDefault="00280DDC"/>
    <w:p w:rsidR="00280DDC" w:rsidRDefault="0065735E">
      <w:pPr>
        <w:pStyle w:val="jaa"/>
      </w:pPr>
      <w:r>
        <w:t>（経過措置）</w:t>
      </w:r>
    </w:p>
    <w:p w:rsidR="00280DDC" w:rsidRDefault="0065735E">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280DDC" w:rsidRDefault="00280DDC"/>
    <w:p w:rsidR="00280DDC" w:rsidRDefault="0065735E">
      <w:pPr>
        <w:pStyle w:val="jaf3"/>
      </w:pPr>
      <w:r>
        <w:t>第三条　第三条、第四条本文及び第五条の規定は、この法律の施行前に開始した次に掲げる行為を継続する行為については、適用しない。</w:t>
      </w:r>
    </w:p>
    <w:p w:rsidR="00280DDC" w:rsidRDefault="0065735E">
      <w:pPr>
        <w:pStyle w:val="jaf6"/>
      </w:pPr>
      <w:r>
        <w:t>一　第二条第一項第二号に掲げる行為に該当するもの（同項第一号に掲げる行為に該当するものを除く。）</w:t>
      </w:r>
    </w:p>
    <w:p w:rsidR="00280DDC" w:rsidRDefault="0065735E">
      <w:pPr>
        <w:pStyle w:val="jaf6"/>
      </w:pPr>
      <w:r>
        <w:t>二　第二条第一</w:t>
      </w:r>
      <w:r>
        <w:t>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280DDC" w:rsidRDefault="00280DDC"/>
    <w:p w:rsidR="00280DDC" w:rsidRDefault="0065735E">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w:t>
      </w:r>
      <w:r>
        <w:t>行為に該当するものを除く。）及び同日前に開始した同項第七号に規定する営業秘密を使用する行為を継続する行為については、適用しない。</w:t>
      </w:r>
    </w:p>
    <w:p w:rsidR="00280DDC" w:rsidRDefault="0065735E">
      <w:pPr>
        <w:pStyle w:val="jaf6"/>
      </w:pPr>
      <w:r>
        <w:t>一　第二条第一項第四号から第六号まで、第八号及び第九号に規定する営業秘密を開示する行為</w:t>
      </w:r>
    </w:p>
    <w:p w:rsidR="00280DDC" w:rsidRDefault="0065735E">
      <w:pPr>
        <w:pStyle w:val="jaf6"/>
      </w:pPr>
      <w:r>
        <w:t>二　第二条第一項第五号及び第八号に規定する営業秘密を取得する行為並びにこれらの行為により取得した営業秘密を使用する行為</w:t>
      </w:r>
    </w:p>
    <w:p w:rsidR="00280DDC" w:rsidRDefault="00280DDC"/>
    <w:p w:rsidR="00280DDC" w:rsidRDefault="0065735E">
      <w:pPr>
        <w:pStyle w:val="jaf3"/>
      </w:pPr>
      <w:r>
        <w:t>第五条　新法第七条の規定は、この法律の施行後に提起された訴えについて適用し、この法律の施行前に提起された訴えについては、なお従前の例による。</w:t>
      </w:r>
    </w:p>
    <w:p w:rsidR="00280DDC" w:rsidRDefault="00280DDC"/>
    <w:p w:rsidR="00280DDC" w:rsidRDefault="0065735E">
      <w:pPr>
        <w:pStyle w:val="jaf3"/>
      </w:pPr>
      <w:r>
        <w:t>第六条　第十四条の規定は、こ</w:t>
      </w:r>
      <w:r>
        <w:t>の法律の施行前に開始した第二条第一項第二号又は第二十号に掲げる行為に該当するもの（同項第一号に掲げる行為に該当するものを除く。）を継続する行為については、適用しない。</w:t>
      </w:r>
    </w:p>
    <w:p w:rsidR="00280DDC" w:rsidRDefault="00280DDC"/>
    <w:p w:rsidR="00280DDC" w:rsidRDefault="0065735E">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280DDC" w:rsidRDefault="00280DDC"/>
    <w:p w:rsidR="00280DDC" w:rsidRDefault="0065735E">
      <w:pPr>
        <w:pStyle w:val="jaf3"/>
      </w:pPr>
      <w:r>
        <w:t>第八条　新法第十六条の規定は、この法律の施行の際現に旧法第四条第四項に規定する許可を受けている者については、適用しない。</w:t>
      </w:r>
    </w:p>
    <w:p w:rsidR="00280DDC" w:rsidRDefault="00280DDC"/>
    <w:p w:rsidR="00280DDC" w:rsidRDefault="0065735E">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w:t>
      </w:r>
      <w:r>
        <w:t>輸入し、若しくは電気通信回線を通じて提供し、若しくは民間国際機関類似標章を商標として使用して役務を提供する行為に該当するものを継続する行為については、適用しない。</w:t>
      </w:r>
    </w:p>
    <w:p w:rsidR="00280DDC" w:rsidRDefault="00280DDC"/>
    <w:p w:rsidR="00280DDC" w:rsidRDefault="0065735E">
      <w:pPr>
        <w:pStyle w:val="jaf3"/>
      </w:pPr>
      <w:r>
        <w:t>第十条　第二十一条（第二項第七号に係る部分を除く。）及び第二十二条の規定は、この法律の施行前に開始した附則第三条第二号に掲げる行為に該当するものを継続する行為については、適用しない。</w:t>
      </w:r>
    </w:p>
    <w:p w:rsidR="00280DDC" w:rsidRDefault="00280DDC"/>
    <w:p w:rsidR="00280DDC" w:rsidRDefault="0065735E">
      <w:pPr>
        <w:pStyle w:val="jaf3"/>
      </w:pPr>
      <w:r>
        <w:t>第十一条　この法律の施行前にした行為に関する旧法第三条に規定する外国人が行う同条に規定する請求については、なお従前の例による。</w:t>
      </w:r>
    </w:p>
    <w:p w:rsidR="00280DDC" w:rsidRDefault="00280DDC"/>
    <w:p w:rsidR="00280DDC" w:rsidRDefault="0065735E">
      <w:pPr>
        <w:pStyle w:val="jaa"/>
      </w:pPr>
      <w:r>
        <w:t>（罰則の適用に関する経過措置）</w:t>
      </w:r>
    </w:p>
    <w:p w:rsidR="00280DDC" w:rsidRDefault="0065735E">
      <w:pPr>
        <w:pStyle w:val="jaf3"/>
      </w:pPr>
      <w:r>
        <w:t>第十三条　この法律の施行前にした行為に対する罰則の適用については、なお従前の例による。</w:t>
      </w:r>
    </w:p>
    <w:p w:rsidR="00280DDC" w:rsidRDefault="00280DDC"/>
    <w:p w:rsidR="00280DDC" w:rsidRDefault="0065735E">
      <w:pPr>
        <w:pStyle w:val="jaa"/>
      </w:pPr>
      <w:r>
        <w:t>（政令への委任）</w:t>
      </w:r>
    </w:p>
    <w:p w:rsidR="00280DDC" w:rsidRDefault="0065735E">
      <w:pPr>
        <w:pStyle w:val="jaf3"/>
      </w:pPr>
      <w:r>
        <w:t>第十四条　附則第二条から第十一条まで及び前条に定めるもののほか、この法律の施行に関し必要な経過措置は、政令で定める。</w:t>
      </w:r>
    </w:p>
    <w:sectPr w:rsidR="00280DDC" w:rsidSect="00280D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DDC" w:rsidRDefault="00280DDC" w:rsidP="00280DDC">
      <w:r>
        <w:separator/>
      </w:r>
    </w:p>
  </w:endnote>
  <w:endnote w:type="continuationSeparator" w:id="0">
    <w:p w:rsidR="00280DDC" w:rsidRDefault="00280DDC" w:rsidP="0028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DDC" w:rsidRDefault="00280DDC">
    <w:pPr>
      <w:pStyle w:val="a3"/>
    </w:pPr>
    <w:r>
      <w:fldChar w:fldCharType="begin"/>
    </w:r>
    <w:r>
      <w:instrText xml:space="preserve"> PAGE  \* MERGEFORMAT </w:instrText>
    </w:r>
    <w:r>
      <w:fldChar w:fldCharType="separate"/>
    </w:r>
    <w:r w:rsidR="006573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DDC" w:rsidRDefault="00280DDC" w:rsidP="00280DDC">
      <w:r>
        <w:separator/>
      </w:r>
    </w:p>
  </w:footnote>
  <w:footnote w:type="continuationSeparator" w:id="0">
    <w:p w:rsidR="00280DDC" w:rsidRDefault="00280DDC" w:rsidP="0028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F0"/>
    <w:multiLevelType w:val="multilevel"/>
    <w:tmpl w:val="A574C5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D5703"/>
    <w:multiLevelType w:val="multilevel"/>
    <w:tmpl w:val="AC14FE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F4A05"/>
    <w:multiLevelType w:val="multilevel"/>
    <w:tmpl w:val="BF5CC8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86F7D"/>
    <w:multiLevelType w:val="multilevel"/>
    <w:tmpl w:val="D33AFD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F31283"/>
    <w:multiLevelType w:val="multilevel"/>
    <w:tmpl w:val="A810E1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833141"/>
    <w:multiLevelType w:val="multilevel"/>
    <w:tmpl w:val="8A64A0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FC3909"/>
    <w:multiLevelType w:val="multilevel"/>
    <w:tmpl w:val="78CA6E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730385"/>
    <w:multiLevelType w:val="multilevel"/>
    <w:tmpl w:val="7C9CD4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651282"/>
    <w:multiLevelType w:val="multilevel"/>
    <w:tmpl w:val="88129A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F06727"/>
    <w:multiLevelType w:val="multilevel"/>
    <w:tmpl w:val="39C829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97C6D"/>
    <w:multiLevelType w:val="multilevel"/>
    <w:tmpl w:val="8C7E5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030AD"/>
    <w:multiLevelType w:val="multilevel"/>
    <w:tmpl w:val="522E1E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672E92"/>
    <w:multiLevelType w:val="multilevel"/>
    <w:tmpl w:val="932EF4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3"/>
  </w:num>
  <w:num w:numId="4">
    <w:abstractNumId w:val="6"/>
  </w:num>
  <w:num w:numId="5">
    <w:abstractNumId w:val="0"/>
  </w:num>
  <w:num w:numId="6">
    <w:abstractNumId w:val="4"/>
  </w:num>
  <w:num w:numId="7">
    <w:abstractNumId w:val="9"/>
  </w:num>
  <w:num w:numId="8">
    <w:abstractNumId w:val="5"/>
  </w:num>
  <w:num w:numId="9">
    <w:abstractNumId w:val="8"/>
  </w:num>
  <w:num w:numId="10">
    <w:abstractNumId w:val="1"/>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0DDC"/>
    <w:rsid w:val="00280DDC"/>
    <w:rsid w:val="006573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D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0D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0DDC"/>
    <w:rPr>
      <w:rFonts w:ascii="Century" w:eastAsia="Century" w:hAnsi="Century"/>
    </w:rPr>
  </w:style>
  <w:style w:type="paragraph" w:customStyle="1" w:styleId="ja0">
    <w:name w:val="款（ja）"/>
    <w:basedOn w:val="a"/>
    <w:rsid w:val="00280DDC"/>
    <w:pPr>
      <w:widowControl w:val="0"/>
      <w:ind w:left="1321" w:hanging="221"/>
    </w:pPr>
    <w:rPr>
      <w:rFonts w:ascii="ＭＳ 明朝" w:eastAsia="ＭＳ 明朝" w:hAnsi="ＭＳ 明朝" w:cs="ＭＳ 明朝"/>
      <w:b/>
    </w:rPr>
  </w:style>
  <w:style w:type="paragraph" w:customStyle="1" w:styleId="en0">
    <w:name w:val="款（en）"/>
    <w:basedOn w:val="ja0"/>
    <w:rsid w:val="00280DDC"/>
    <w:rPr>
      <w:rFonts w:ascii="Century" w:eastAsia="Century" w:hAnsi="Century" w:cs="Century"/>
    </w:rPr>
  </w:style>
  <w:style w:type="paragraph" w:customStyle="1" w:styleId="ja1">
    <w:name w:val="前文（ja）"/>
    <w:basedOn w:val="a"/>
    <w:rsid w:val="00280DDC"/>
    <w:pPr>
      <w:widowControl w:val="0"/>
      <w:ind w:firstLine="219"/>
    </w:pPr>
    <w:rPr>
      <w:rFonts w:ascii="ＭＳ 明朝" w:eastAsia="ＭＳ 明朝" w:hAnsi="ＭＳ 明朝" w:cs="ＭＳ 明朝"/>
    </w:rPr>
  </w:style>
  <w:style w:type="paragraph" w:customStyle="1" w:styleId="en1">
    <w:name w:val="前文（en）"/>
    <w:basedOn w:val="ja1"/>
    <w:rsid w:val="00280DDC"/>
    <w:rPr>
      <w:rFonts w:ascii="Century" w:eastAsia="Century" w:hAnsi="Century" w:cs="Century"/>
    </w:rPr>
  </w:style>
  <w:style w:type="paragraph" w:customStyle="1" w:styleId="ja2">
    <w:name w:val="附則（ja）"/>
    <w:basedOn w:val="a"/>
    <w:rsid w:val="00280DDC"/>
    <w:pPr>
      <w:widowControl w:val="0"/>
      <w:ind w:left="881" w:hanging="221"/>
    </w:pPr>
    <w:rPr>
      <w:rFonts w:ascii="ＭＳ 明朝" w:eastAsia="ＭＳ 明朝" w:hAnsi="ＭＳ 明朝" w:cs="ＭＳ 明朝"/>
      <w:b/>
    </w:rPr>
  </w:style>
  <w:style w:type="paragraph" w:customStyle="1" w:styleId="en2">
    <w:name w:val="附則（en）"/>
    <w:basedOn w:val="ja2"/>
    <w:rsid w:val="00280DDC"/>
    <w:rPr>
      <w:rFonts w:ascii="Century" w:hAnsi="Century" w:cs="Century"/>
    </w:rPr>
  </w:style>
  <w:style w:type="paragraph" w:customStyle="1" w:styleId="ja3">
    <w:name w:val="章（ja）"/>
    <w:basedOn w:val="a"/>
    <w:rsid w:val="00280DDC"/>
    <w:pPr>
      <w:widowControl w:val="0"/>
      <w:ind w:left="881" w:hanging="221"/>
    </w:pPr>
    <w:rPr>
      <w:rFonts w:ascii="ＭＳ 明朝" w:eastAsia="ＭＳ 明朝" w:hAnsi="ＭＳ 明朝" w:cs="ＭＳ 明朝"/>
      <w:b/>
    </w:rPr>
  </w:style>
  <w:style w:type="paragraph" w:customStyle="1" w:styleId="en3">
    <w:name w:val="章（en）"/>
    <w:basedOn w:val="ja3"/>
    <w:rsid w:val="00280DDC"/>
    <w:rPr>
      <w:rFonts w:ascii="Century" w:eastAsia="Century" w:hAnsi="Century" w:cs="Century"/>
    </w:rPr>
  </w:style>
  <w:style w:type="paragraph" w:customStyle="1" w:styleId="ja4">
    <w:name w:val="目次編（ja）"/>
    <w:basedOn w:val="a"/>
    <w:rsid w:val="00280DDC"/>
    <w:pPr>
      <w:widowControl w:val="0"/>
      <w:ind w:left="219" w:hanging="219"/>
    </w:pPr>
    <w:rPr>
      <w:rFonts w:ascii="ＭＳ 明朝" w:eastAsia="ＭＳ 明朝" w:hAnsi="ＭＳ 明朝"/>
    </w:rPr>
  </w:style>
  <w:style w:type="paragraph" w:customStyle="1" w:styleId="en4">
    <w:name w:val="目次編（en）"/>
    <w:basedOn w:val="ja4"/>
    <w:rsid w:val="00280DDC"/>
    <w:rPr>
      <w:rFonts w:ascii="Century" w:eastAsia="Century" w:hAnsi="Century"/>
    </w:rPr>
  </w:style>
  <w:style w:type="paragraph" w:customStyle="1" w:styleId="ja5">
    <w:name w:val="目次章（ja）"/>
    <w:basedOn w:val="a"/>
    <w:rsid w:val="00280DDC"/>
    <w:pPr>
      <w:widowControl w:val="0"/>
      <w:ind w:left="439" w:hanging="219"/>
    </w:pPr>
    <w:rPr>
      <w:rFonts w:ascii="ＭＳ 明朝" w:eastAsia="ＭＳ 明朝" w:hAnsi="ＭＳ 明朝"/>
    </w:rPr>
  </w:style>
  <w:style w:type="paragraph" w:customStyle="1" w:styleId="en5">
    <w:name w:val="目次章（en）"/>
    <w:basedOn w:val="ja5"/>
    <w:rsid w:val="00280DDC"/>
    <w:rPr>
      <w:rFonts w:ascii="Century" w:eastAsia="Century" w:hAnsi="Century"/>
    </w:rPr>
  </w:style>
  <w:style w:type="paragraph" w:customStyle="1" w:styleId="ja6">
    <w:name w:val="目次節（ja）"/>
    <w:basedOn w:val="a"/>
    <w:rsid w:val="00280DDC"/>
    <w:pPr>
      <w:widowControl w:val="0"/>
      <w:ind w:left="659" w:hanging="219"/>
    </w:pPr>
    <w:rPr>
      <w:rFonts w:ascii="ＭＳ 明朝" w:eastAsia="ＭＳ 明朝" w:hAnsi="ＭＳ 明朝"/>
    </w:rPr>
  </w:style>
  <w:style w:type="paragraph" w:customStyle="1" w:styleId="en6">
    <w:name w:val="目次節（en）"/>
    <w:basedOn w:val="ja6"/>
    <w:rsid w:val="00280DDC"/>
    <w:rPr>
      <w:rFonts w:ascii="Century" w:eastAsia="Century" w:hAnsi="Century"/>
    </w:rPr>
  </w:style>
  <w:style w:type="paragraph" w:customStyle="1" w:styleId="ja7">
    <w:name w:val="目次款（ja）"/>
    <w:basedOn w:val="a"/>
    <w:rsid w:val="00280DDC"/>
    <w:pPr>
      <w:widowControl w:val="0"/>
      <w:ind w:left="879" w:hanging="219"/>
    </w:pPr>
    <w:rPr>
      <w:rFonts w:ascii="ＭＳ 明朝" w:eastAsia="ＭＳ 明朝" w:hAnsi="ＭＳ 明朝" w:cs="Kochi Mincho"/>
    </w:rPr>
  </w:style>
  <w:style w:type="paragraph" w:customStyle="1" w:styleId="en7">
    <w:name w:val="目次款（en）"/>
    <w:basedOn w:val="ja7"/>
    <w:rsid w:val="00280DDC"/>
    <w:rPr>
      <w:rFonts w:ascii="Century" w:eastAsia="Century" w:hAnsi="Century"/>
    </w:rPr>
  </w:style>
  <w:style w:type="paragraph" w:customStyle="1" w:styleId="ja8">
    <w:name w:val="別表名（ja）"/>
    <w:basedOn w:val="a"/>
    <w:rsid w:val="00280D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0DDC"/>
    <w:rPr>
      <w:rFonts w:ascii="Century" w:eastAsia="Century" w:hAnsi="Century" w:cs="Century"/>
    </w:rPr>
  </w:style>
  <w:style w:type="paragraph" w:customStyle="1" w:styleId="ja9">
    <w:name w:val="目（ja）"/>
    <w:basedOn w:val="a"/>
    <w:rsid w:val="00280DDC"/>
    <w:pPr>
      <w:widowControl w:val="0"/>
      <w:ind w:left="1541" w:hanging="221"/>
    </w:pPr>
    <w:rPr>
      <w:rFonts w:ascii="ＭＳ 明朝" w:eastAsia="ＭＳ 明朝" w:hAnsi="ＭＳ 明朝" w:cs="ＭＳ 明朝"/>
      <w:b/>
    </w:rPr>
  </w:style>
  <w:style w:type="paragraph" w:customStyle="1" w:styleId="en9">
    <w:name w:val="目（en）"/>
    <w:basedOn w:val="ja9"/>
    <w:rsid w:val="00280DDC"/>
    <w:rPr>
      <w:rFonts w:ascii="Century" w:eastAsia="Century" w:hAnsi="Century" w:cs="Century"/>
    </w:rPr>
  </w:style>
  <w:style w:type="paragraph" w:customStyle="1" w:styleId="jaa">
    <w:name w:val="見出し（ja）"/>
    <w:basedOn w:val="a"/>
    <w:rsid w:val="00280DDC"/>
    <w:pPr>
      <w:widowControl w:val="0"/>
      <w:ind w:left="439" w:hanging="219"/>
    </w:pPr>
    <w:rPr>
      <w:rFonts w:ascii="ＭＳ 明朝" w:eastAsia="ＭＳ 明朝" w:hAnsi="ＭＳ 明朝" w:cs="ＭＳ 明朝"/>
    </w:rPr>
  </w:style>
  <w:style w:type="paragraph" w:customStyle="1" w:styleId="ena">
    <w:name w:val="見出し（en）"/>
    <w:basedOn w:val="jaa"/>
    <w:rsid w:val="00280DDC"/>
    <w:rPr>
      <w:rFonts w:ascii="Century" w:eastAsia="Century" w:hAnsi="Century" w:cs="Century"/>
    </w:rPr>
  </w:style>
  <w:style w:type="paragraph" w:styleId="a3">
    <w:name w:val="footer"/>
    <w:basedOn w:val="a"/>
    <w:rsid w:val="00280D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0DDC"/>
    <w:pPr>
      <w:widowControl w:val="0"/>
      <w:ind w:left="1099" w:hanging="219"/>
    </w:pPr>
    <w:rPr>
      <w:rFonts w:ascii="ＭＳ 明朝" w:eastAsia="ＭＳ 明朝" w:hAnsi="ＭＳ 明朝" w:cs="Kochi Mincho"/>
    </w:rPr>
  </w:style>
  <w:style w:type="paragraph" w:customStyle="1" w:styleId="enb">
    <w:name w:val="目次目（en）"/>
    <w:basedOn w:val="jab"/>
    <w:rsid w:val="00280DDC"/>
    <w:rPr>
      <w:rFonts w:ascii="Century" w:eastAsia="Century" w:hAnsi="Century"/>
    </w:rPr>
  </w:style>
  <w:style w:type="paragraph" w:customStyle="1" w:styleId="jac">
    <w:name w:val="目次附則（ja）"/>
    <w:basedOn w:val="a"/>
    <w:rsid w:val="00280DDC"/>
    <w:pPr>
      <w:widowControl w:val="0"/>
      <w:ind w:left="439" w:hanging="219"/>
    </w:pPr>
    <w:rPr>
      <w:rFonts w:ascii="ＭＳ 明朝" w:eastAsia="ＭＳ 明朝" w:hAnsi="ＭＳ 明朝" w:cs="Kochi Mincho"/>
    </w:rPr>
  </w:style>
  <w:style w:type="paragraph" w:customStyle="1" w:styleId="enc">
    <w:name w:val="目次附則（en）"/>
    <w:basedOn w:val="jac"/>
    <w:rsid w:val="00280DDC"/>
    <w:rPr>
      <w:rFonts w:ascii="Century" w:eastAsia="Century" w:hAnsi="Century" w:cs="Century"/>
    </w:rPr>
  </w:style>
  <w:style w:type="paragraph" w:customStyle="1" w:styleId="jad">
    <w:name w:val="目次前文（ja）"/>
    <w:basedOn w:val="jac"/>
    <w:rsid w:val="00280DDC"/>
  </w:style>
  <w:style w:type="paragraph" w:customStyle="1" w:styleId="end">
    <w:name w:val="目次前文（en）"/>
    <w:basedOn w:val="enc"/>
    <w:rsid w:val="00280DDC"/>
  </w:style>
  <w:style w:type="paragraph" w:customStyle="1" w:styleId="jae">
    <w:name w:val="制定文（ja）"/>
    <w:basedOn w:val="a"/>
    <w:rsid w:val="00280DDC"/>
    <w:pPr>
      <w:widowControl w:val="0"/>
      <w:ind w:firstLine="219"/>
    </w:pPr>
    <w:rPr>
      <w:rFonts w:ascii="ＭＳ 明朝" w:eastAsia="ＭＳ 明朝" w:hAnsi="ＭＳ 明朝" w:cs="ＭＳ 明朝"/>
    </w:rPr>
  </w:style>
  <w:style w:type="paragraph" w:customStyle="1" w:styleId="ene">
    <w:name w:val="制定文（en）"/>
    <w:basedOn w:val="jae"/>
    <w:rsid w:val="00280DDC"/>
    <w:rPr>
      <w:rFonts w:ascii="Century" w:eastAsia="Century" w:hAnsi="Century" w:cs="Century"/>
    </w:rPr>
  </w:style>
  <w:style w:type="paragraph" w:customStyle="1" w:styleId="jaf">
    <w:name w:val="法令番号（ja）"/>
    <w:basedOn w:val="a"/>
    <w:rsid w:val="00280DDC"/>
    <w:pPr>
      <w:widowControl w:val="0"/>
      <w:jc w:val="right"/>
    </w:pPr>
    <w:rPr>
      <w:rFonts w:ascii="ＭＳ 明朝" w:eastAsia="ＭＳ 明朝" w:hAnsi="ＭＳ 明朝" w:cs="Kochi Mincho"/>
    </w:rPr>
  </w:style>
  <w:style w:type="paragraph" w:customStyle="1" w:styleId="enf">
    <w:name w:val="法令番号（en）"/>
    <w:basedOn w:val="jaf"/>
    <w:rsid w:val="00280DDC"/>
    <w:rPr>
      <w:rFonts w:ascii="Century" w:eastAsia="Century" w:hAnsi="Century" w:cs="Century"/>
    </w:rPr>
  </w:style>
  <w:style w:type="paragraph" w:customStyle="1" w:styleId="jaf0">
    <w:name w:val="目次（ja）"/>
    <w:basedOn w:val="a"/>
    <w:rsid w:val="00280DDC"/>
    <w:rPr>
      <w:rFonts w:ascii="ＭＳ 明朝" w:eastAsia="ＭＳ 明朝" w:hAnsi="ＭＳ 明朝"/>
    </w:rPr>
  </w:style>
  <w:style w:type="paragraph" w:customStyle="1" w:styleId="enf0">
    <w:name w:val="目次（en）"/>
    <w:basedOn w:val="jaf0"/>
    <w:rsid w:val="00280DDC"/>
    <w:rPr>
      <w:rFonts w:ascii="Century" w:eastAsia="Century" w:hAnsi="Century"/>
    </w:rPr>
  </w:style>
  <w:style w:type="paragraph" w:customStyle="1" w:styleId="jaf1">
    <w:name w:val="編（ja）"/>
    <w:basedOn w:val="a"/>
    <w:rsid w:val="00280DDC"/>
    <w:pPr>
      <w:widowControl w:val="0"/>
      <w:ind w:left="661" w:hanging="221"/>
    </w:pPr>
    <w:rPr>
      <w:rFonts w:ascii="ＭＳ 明朝" w:eastAsia="ＭＳ 明朝" w:hAnsi="ＭＳ 明朝" w:cs="ＭＳ 明朝"/>
      <w:b/>
    </w:rPr>
  </w:style>
  <w:style w:type="paragraph" w:customStyle="1" w:styleId="enf1">
    <w:name w:val="編（en）"/>
    <w:basedOn w:val="jaf1"/>
    <w:rsid w:val="00280DDC"/>
    <w:rPr>
      <w:rFonts w:ascii="Century" w:eastAsia="Century" w:hAnsi="Century" w:cs="Century"/>
    </w:rPr>
  </w:style>
  <w:style w:type="paragraph" w:customStyle="1" w:styleId="jaf2">
    <w:name w:val="節（ja）"/>
    <w:basedOn w:val="a"/>
    <w:rsid w:val="00280DDC"/>
    <w:pPr>
      <w:widowControl w:val="0"/>
      <w:ind w:left="1101" w:hanging="221"/>
    </w:pPr>
    <w:rPr>
      <w:rFonts w:ascii="ＭＳ 明朝" w:eastAsia="ＭＳ 明朝" w:hAnsi="ＭＳ 明朝" w:cs="ＭＳ 明朝"/>
      <w:b/>
    </w:rPr>
  </w:style>
  <w:style w:type="paragraph" w:customStyle="1" w:styleId="enf2">
    <w:name w:val="節（en）"/>
    <w:basedOn w:val="jaf2"/>
    <w:rsid w:val="00280DDC"/>
    <w:rPr>
      <w:rFonts w:ascii="Century" w:eastAsia="Century" w:hAnsi="Century" w:cs="Century"/>
    </w:rPr>
  </w:style>
  <w:style w:type="paragraph" w:customStyle="1" w:styleId="jaf3">
    <w:name w:val="条（ja）"/>
    <w:basedOn w:val="a"/>
    <w:rsid w:val="00280DDC"/>
    <w:pPr>
      <w:widowControl w:val="0"/>
      <w:ind w:left="219" w:hanging="219"/>
    </w:pPr>
    <w:rPr>
      <w:rFonts w:ascii="ＭＳ 明朝" w:eastAsia="ＭＳ 明朝" w:hAnsi="ＭＳ 明朝" w:cs="ＭＳ 明朝"/>
    </w:rPr>
  </w:style>
  <w:style w:type="paragraph" w:customStyle="1" w:styleId="enf3">
    <w:name w:val="条（en）"/>
    <w:basedOn w:val="jaf3"/>
    <w:rsid w:val="00280DDC"/>
    <w:rPr>
      <w:rFonts w:ascii="Century" w:eastAsia="Century" w:hAnsi="Century" w:cs="Century"/>
    </w:rPr>
  </w:style>
  <w:style w:type="paragraph" w:customStyle="1" w:styleId="jaf4">
    <w:name w:val="項（ja）"/>
    <w:basedOn w:val="a"/>
    <w:rsid w:val="00280DDC"/>
    <w:pPr>
      <w:widowControl w:val="0"/>
      <w:ind w:left="219" w:hanging="219"/>
    </w:pPr>
    <w:rPr>
      <w:rFonts w:ascii="ＭＳ 明朝" w:eastAsia="ＭＳ 明朝" w:hAnsi="ＭＳ 明朝" w:cs="ＭＳ 明朝"/>
    </w:rPr>
  </w:style>
  <w:style w:type="paragraph" w:customStyle="1" w:styleId="enf4">
    <w:name w:val="項（en）"/>
    <w:basedOn w:val="jaf4"/>
    <w:rsid w:val="00280DDC"/>
    <w:rPr>
      <w:rFonts w:ascii="Century" w:eastAsia="Century" w:hAnsi="Century" w:cs="Century"/>
    </w:rPr>
  </w:style>
  <w:style w:type="paragraph" w:customStyle="1" w:styleId="jaf5">
    <w:name w:val="項　番号なし（ja）"/>
    <w:basedOn w:val="a"/>
    <w:rsid w:val="00280DDC"/>
    <w:pPr>
      <w:widowControl w:val="0"/>
      <w:ind w:firstLine="221"/>
    </w:pPr>
    <w:rPr>
      <w:rFonts w:ascii="ＭＳ 明朝" w:eastAsia="ＭＳ 明朝" w:hAnsi="ＭＳ 明朝" w:cs="ＭＳ 明朝"/>
    </w:rPr>
  </w:style>
  <w:style w:type="paragraph" w:customStyle="1" w:styleId="enf5">
    <w:name w:val="項　番号なし（en）"/>
    <w:basedOn w:val="jaf5"/>
    <w:rsid w:val="00280DDC"/>
    <w:rPr>
      <w:rFonts w:ascii="Century" w:eastAsia="Century" w:hAnsi="Century" w:cs="Century"/>
    </w:rPr>
  </w:style>
  <w:style w:type="paragraph" w:customStyle="1" w:styleId="jaf6">
    <w:name w:val="号（ja）"/>
    <w:basedOn w:val="a"/>
    <w:rsid w:val="00280DDC"/>
    <w:pPr>
      <w:widowControl w:val="0"/>
      <w:ind w:left="439" w:hanging="219"/>
    </w:pPr>
    <w:rPr>
      <w:rFonts w:ascii="ＭＳ 明朝" w:eastAsia="ＭＳ 明朝" w:hAnsi="ＭＳ 明朝" w:cs="ＭＳ 明朝"/>
    </w:rPr>
  </w:style>
  <w:style w:type="paragraph" w:customStyle="1" w:styleId="enf6">
    <w:name w:val="号（en）"/>
    <w:basedOn w:val="jaf6"/>
    <w:rsid w:val="00280DDC"/>
    <w:rPr>
      <w:rFonts w:ascii="Century" w:eastAsia="Century" w:hAnsi="Century" w:cs="Century"/>
    </w:rPr>
  </w:style>
  <w:style w:type="paragraph" w:customStyle="1" w:styleId="jaf7">
    <w:name w:val="号　番号なし（ja）"/>
    <w:basedOn w:val="a"/>
    <w:rsid w:val="00280DDC"/>
    <w:pPr>
      <w:widowControl w:val="0"/>
      <w:ind w:left="221" w:firstLine="221"/>
    </w:pPr>
    <w:rPr>
      <w:rFonts w:ascii="ＭＳ 明朝" w:eastAsia="ＭＳ 明朝" w:hAnsi="ＭＳ 明朝" w:cs="ＭＳ 明朝"/>
    </w:rPr>
  </w:style>
  <w:style w:type="paragraph" w:customStyle="1" w:styleId="enf7">
    <w:name w:val="号　番号なし（en）"/>
    <w:basedOn w:val="jaf7"/>
    <w:rsid w:val="00280DDC"/>
    <w:rPr>
      <w:rFonts w:ascii="Century" w:eastAsia="Century" w:hAnsi="Century" w:cs="Century"/>
    </w:rPr>
  </w:style>
  <w:style w:type="paragraph" w:customStyle="1" w:styleId="jaf8">
    <w:name w:val="備考号（ja）"/>
    <w:basedOn w:val="a"/>
    <w:rsid w:val="00280DDC"/>
    <w:pPr>
      <w:widowControl w:val="0"/>
      <w:ind w:left="659" w:hanging="219"/>
    </w:pPr>
    <w:rPr>
      <w:rFonts w:ascii="ＭＳ 明朝" w:eastAsia="ＭＳ 明朝" w:hAnsi="ＭＳ 明朝" w:cs="ＭＳ 明朝"/>
    </w:rPr>
  </w:style>
  <w:style w:type="paragraph" w:customStyle="1" w:styleId="enf8">
    <w:name w:val="備考号（en）"/>
    <w:basedOn w:val="jaf8"/>
    <w:rsid w:val="00280DDC"/>
    <w:rPr>
      <w:rFonts w:ascii="Century" w:eastAsia="Century" w:hAnsi="Century" w:cs="Century"/>
    </w:rPr>
  </w:style>
  <w:style w:type="paragraph" w:customStyle="1" w:styleId="jaf9">
    <w:name w:val="号細分（ja）"/>
    <w:basedOn w:val="a"/>
    <w:rsid w:val="00280DDC"/>
    <w:pPr>
      <w:widowControl w:val="0"/>
      <w:ind w:left="659" w:hanging="219"/>
    </w:pPr>
    <w:rPr>
      <w:rFonts w:ascii="ＭＳ 明朝" w:eastAsia="ＭＳ 明朝" w:hAnsi="ＭＳ 明朝" w:cs="ＭＳ 明朝"/>
    </w:rPr>
  </w:style>
  <w:style w:type="paragraph" w:customStyle="1" w:styleId="enf9">
    <w:name w:val="号細分（en）"/>
    <w:basedOn w:val="jaf9"/>
    <w:rsid w:val="00280DDC"/>
    <w:rPr>
      <w:rFonts w:ascii="Century" w:eastAsia="Century" w:hAnsi="Century" w:cs="Century"/>
    </w:rPr>
  </w:style>
  <w:style w:type="paragraph" w:customStyle="1" w:styleId="jafa">
    <w:name w:val="号細分　番号なし（ja）"/>
    <w:basedOn w:val="a"/>
    <w:rsid w:val="00280DDC"/>
    <w:pPr>
      <w:widowControl w:val="0"/>
      <w:ind w:left="439"/>
    </w:pPr>
    <w:rPr>
      <w:rFonts w:ascii="ＭＳ 明朝" w:eastAsia="ＭＳ 明朝" w:hAnsi="ＭＳ 明朝" w:cs="ＭＳ 明朝"/>
    </w:rPr>
  </w:style>
  <w:style w:type="paragraph" w:customStyle="1" w:styleId="enfa">
    <w:name w:val="号細分　番号なし（en）"/>
    <w:basedOn w:val="jafa"/>
    <w:rsid w:val="00280DDC"/>
    <w:rPr>
      <w:rFonts w:ascii="Century" w:eastAsia="Century" w:hAnsi="Century" w:cs="Century"/>
    </w:rPr>
  </w:style>
  <w:style w:type="paragraph" w:customStyle="1" w:styleId="jafb">
    <w:name w:val="備考号細分（ja）"/>
    <w:basedOn w:val="a"/>
    <w:rsid w:val="00280DDC"/>
    <w:pPr>
      <w:widowControl w:val="0"/>
      <w:ind w:left="1099" w:hanging="439"/>
    </w:pPr>
    <w:rPr>
      <w:rFonts w:ascii="ＭＳ 明朝" w:eastAsia="ＭＳ 明朝" w:hAnsi="ＭＳ 明朝" w:cs="ＭＳ 明朝"/>
    </w:rPr>
  </w:style>
  <w:style w:type="paragraph" w:customStyle="1" w:styleId="enfb">
    <w:name w:val="備考号細分（en）"/>
    <w:basedOn w:val="jafb"/>
    <w:rsid w:val="00280DDC"/>
    <w:rPr>
      <w:rFonts w:ascii="Century" w:eastAsia="Century" w:hAnsi="Century" w:cs="Century"/>
    </w:rPr>
  </w:style>
  <w:style w:type="paragraph" w:customStyle="1" w:styleId="jafc">
    <w:name w:val="号細細分（ja）"/>
    <w:basedOn w:val="a"/>
    <w:rsid w:val="00280DDC"/>
    <w:pPr>
      <w:widowControl w:val="0"/>
      <w:ind w:left="1099" w:hanging="439"/>
    </w:pPr>
    <w:rPr>
      <w:rFonts w:ascii="ＭＳ 明朝" w:eastAsia="ＭＳ 明朝" w:hAnsi="ＭＳ 明朝" w:cs="ＭＳ 明朝"/>
    </w:rPr>
  </w:style>
  <w:style w:type="paragraph" w:customStyle="1" w:styleId="enfc">
    <w:name w:val="号細細分（en）"/>
    <w:basedOn w:val="jafc"/>
    <w:rsid w:val="00280DDC"/>
    <w:rPr>
      <w:rFonts w:ascii="Century" w:eastAsia="Century" w:hAnsi="Century" w:cs="Century"/>
    </w:rPr>
  </w:style>
  <w:style w:type="paragraph" w:customStyle="1" w:styleId="jafd">
    <w:name w:val="号細細分　番号なし（ja）"/>
    <w:basedOn w:val="a"/>
    <w:rsid w:val="00280DDC"/>
    <w:pPr>
      <w:widowControl w:val="0"/>
      <w:ind w:left="659"/>
    </w:pPr>
    <w:rPr>
      <w:rFonts w:ascii="ＭＳ 明朝" w:eastAsia="ＭＳ 明朝" w:hAnsi="ＭＳ 明朝" w:cs="ＭＳ 明朝"/>
    </w:rPr>
  </w:style>
  <w:style w:type="paragraph" w:customStyle="1" w:styleId="enfd">
    <w:name w:val="号細細分　番号なし（en）"/>
    <w:basedOn w:val="jafd"/>
    <w:rsid w:val="00280DDC"/>
    <w:rPr>
      <w:rFonts w:ascii="Century" w:eastAsia="Century" w:hAnsi="Century" w:cs="Century"/>
    </w:rPr>
  </w:style>
  <w:style w:type="paragraph" w:customStyle="1" w:styleId="jafe">
    <w:name w:val="備考号細細分（ja）"/>
    <w:basedOn w:val="a"/>
    <w:rsid w:val="00280DDC"/>
    <w:pPr>
      <w:widowControl w:val="0"/>
      <w:ind w:left="1319" w:hanging="439"/>
    </w:pPr>
    <w:rPr>
      <w:rFonts w:ascii="ＭＳ 明朝" w:eastAsia="ＭＳ 明朝" w:hAnsi="ＭＳ 明朝" w:cs="ＭＳ 明朝"/>
    </w:rPr>
  </w:style>
  <w:style w:type="paragraph" w:customStyle="1" w:styleId="enfe">
    <w:name w:val="備考号細細分（en）"/>
    <w:basedOn w:val="jafe"/>
    <w:rsid w:val="00280DDC"/>
    <w:rPr>
      <w:rFonts w:ascii="Century" w:eastAsia="Century" w:hAnsi="Century" w:cs="Century"/>
    </w:rPr>
  </w:style>
  <w:style w:type="paragraph" w:customStyle="1" w:styleId="jaff">
    <w:name w:val="号細細細分（ja）"/>
    <w:basedOn w:val="a"/>
    <w:rsid w:val="00280DDC"/>
    <w:pPr>
      <w:widowControl w:val="0"/>
      <w:ind w:left="1319" w:hanging="439"/>
    </w:pPr>
    <w:rPr>
      <w:rFonts w:ascii="ＭＳ 明朝" w:eastAsia="ＭＳ 明朝" w:hAnsi="ＭＳ 明朝" w:cs="ＭＳ 明朝"/>
    </w:rPr>
  </w:style>
  <w:style w:type="paragraph" w:customStyle="1" w:styleId="enff">
    <w:name w:val="号細細細分（en）"/>
    <w:basedOn w:val="jaff"/>
    <w:rsid w:val="00280DDC"/>
    <w:rPr>
      <w:rFonts w:ascii="Century" w:eastAsia="Century" w:hAnsi="Century" w:cs="Century"/>
    </w:rPr>
  </w:style>
  <w:style w:type="paragraph" w:customStyle="1" w:styleId="jaff0">
    <w:name w:val="号細細細分　番号なし（ja）"/>
    <w:basedOn w:val="a"/>
    <w:rsid w:val="00280DDC"/>
    <w:pPr>
      <w:widowControl w:val="0"/>
      <w:ind w:left="879"/>
    </w:pPr>
    <w:rPr>
      <w:rFonts w:ascii="ＭＳ 明朝" w:eastAsia="ＭＳ 明朝" w:hAnsi="ＭＳ 明朝" w:cs="ＭＳ 明朝"/>
    </w:rPr>
  </w:style>
  <w:style w:type="paragraph" w:customStyle="1" w:styleId="enff0">
    <w:name w:val="号細細細分　番号なし（en）"/>
    <w:basedOn w:val="jaff0"/>
    <w:rsid w:val="00280DDC"/>
    <w:rPr>
      <w:rFonts w:ascii="Century" w:eastAsia="Century" w:hAnsi="Century" w:cs="Century"/>
    </w:rPr>
  </w:style>
  <w:style w:type="paragraph" w:customStyle="1" w:styleId="jaff1">
    <w:name w:val="備考号細細細分（ja）"/>
    <w:basedOn w:val="a"/>
    <w:rsid w:val="00280D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0DDC"/>
    <w:rPr>
      <w:rFonts w:ascii="Century" w:eastAsia="Century" w:hAnsi="Century" w:cs="Century"/>
    </w:rPr>
  </w:style>
  <w:style w:type="paragraph" w:customStyle="1" w:styleId="jaff2">
    <w:name w:val="類（ja）"/>
    <w:basedOn w:val="a"/>
    <w:rsid w:val="00280DDC"/>
    <w:pPr>
      <w:widowControl w:val="0"/>
      <w:ind w:left="439" w:hanging="219"/>
    </w:pPr>
    <w:rPr>
      <w:rFonts w:ascii="ＭＳ 明朝" w:eastAsia="ＭＳ 明朝" w:hAnsi="ＭＳ 明朝" w:cs="ＭＳ 明朝"/>
    </w:rPr>
  </w:style>
  <w:style w:type="paragraph" w:customStyle="1" w:styleId="enff2">
    <w:name w:val="類（en）"/>
    <w:basedOn w:val="jaff2"/>
    <w:rsid w:val="00280DDC"/>
    <w:rPr>
      <w:rFonts w:ascii="Century" w:eastAsia="Century" w:hAnsi="Century" w:cs="Century"/>
    </w:rPr>
  </w:style>
  <w:style w:type="paragraph" w:customStyle="1" w:styleId="jaff3">
    <w:name w:val="公布文（ja）"/>
    <w:basedOn w:val="a"/>
    <w:rsid w:val="00280DDC"/>
    <w:pPr>
      <w:widowControl w:val="0"/>
      <w:ind w:firstLine="219"/>
    </w:pPr>
    <w:rPr>
      <w:rFonts w:ascii="ＭＳ 明朝" w:eastAsia="ＭＳ 明朝" w:hAnsi="ＭＳ 明朝" w:cs="ＭＳ 明朝"/>
    </w:rPr>
  </w:style>
  <w:style w:type="paragraph" w:customStyle="1" w:styleId="enff3">
    <w:name w:val="公布文（en）"/>
    <w:basedOn w:val="jaff3"/>
    <w:rsid w:val="00280DDC"/>
    <w:rPr>
      <w:rFonts w:ascii="Century" w:eastAsia="Century" w:hAnsi="Century" w:cs="Century"/>
    </w:rPr>
  </w:style>
  <w:style w:type="paragraph" w:customStyle="1" w:styleId="jaen">
    <w:name w:val="表（ja：en）"/>
    <w:basedOn w:val="a"/>
    <w:rsid w:val="00280DDC"/>
    <w:pPr>
      <w:widowControl w:val="0"/>
      <w:snapToGrid w:val="0"/>
    </w:pPr>
    <w:rPr>
      <w:rFonts w:ascii="Century" w:eastAsia="ＭＳ 明朝" w:hAnsi="Century"/>
    </w:rPr>
  </w:style>
  <w:style w:type="paragraph" w:customStyle="1" w:styleId="jaff4">
    <w:name w:val="備考（ja）"/>
    <w:basedOn w:val="a"/>
    <w:rsid w:val="00280DDC"/>
    <w:pPr>
      <w:widowControl w:val="0"/>
      <w:ind w:left="439" w:hanging="219"/>
    </w:pPr>
    <w:rPr>
      <w:rFonts w:ascii="ＭＳ 明朝" w:eastAsia="ＭＳ 明朝" w:hAnsi="ＭＳ 明朝" w:cs="ＭＳ 明朝"/>
    </w:rPr>
  </w:style>
  <w:style w:type="paragraph" w:customStyle="1" w:styleId="enff4">
    <w:name w:val="備考（en）"/>
    <w:basedOn w:val="jaff4"/>
    <w:rsid w:val="00280DDC"/>
    <w:rPr>
      <w:rFonts w:ascii="Century" w:eastAsia="Century" w:hAnsi="Century" w:cs="Century"/>
    </w:rPr>
  </w:style>
  <w:style w:type="paragraph" w:customStyle="1" w:styleId="jaff5">
    <w:name w:val="表タイトル（ja）"/>
    <w:basedOn w:val="a"/>
    <w:rsid w:val="00280DDC"/>
    <w:pPr>
      <w:widowControl w:val="0"/>
      <w:ind w:left="219"/>
    </w:pPr>
    <w:rPr>
      <w:rFonts w:ascii="ＭＳ 明朝" w:eastAsia="ＭＳ 明朝" w:hAnsi="ＭＳ 明朝" w:cs="ＭＳ 明朝"/>
    </w:rPr>
  </w:style>
  <w:style w:type="paragraph" w:customStyle="1" w:styleId="enff5">
    <w:name w:val="表タイトル（en）"/>
    <w:basedOn w:val="jaff5"/>
    <w:rsid w:val="00280DDC"/>
    <w:rPr>
      <w:rFonts w:ascii="Century" w:eastAsia="Century" w:hAnsi="Century" w:cs="Century"/>
    </w:rPr>
  </w:style>
  <w:style w:type="paragraph" w:customStyle="1" w:styleId="jaff6">
    <w:name w:val="改正規定文（ja）"/>
    <w:basedOn w:val="a"/>
    <w:rsid w:val="00280DDC"/>
    <w:pPr>
      <w:widowControl w:val="0"/>
      <w:ind w:left="219" w:firstLine="219"/>
    </w:pPr>
    <w:rPr>
      <w:rFonts w:ascii="ＭＳ 明朝" w:eastAsia="ＭＳ 明朝" w:hAnsi="ＭＳ 明朝" w:cs="ＭＳ 明朝"/>
    </w:rPr>
  </w:style>
  <w:style w:type="paragraph" w:customStyle="1" w:styleId="enff6">
    <w:name w:val="改正規定文（en）"/>
    <w:basedOn w:val="jaff6"/>
    <w:rsid w:val="00280DDC"/>
    <w:rPr>
      <w:rFonts w:ascii="Century" w:eastAsia="Century" w:hAnsi="Century" w:cs="Century"/>
    </w:rPr>
  </w:style>
  <w:style w:type="paragraph" w:customStyle="1" w:styleId="jaff7">
    <w:name w:val="付記（ja）"/>
    <w:basedOn w:val="a"/>
    <w:rsid w:val="00280DDC"/>
    <w:pPr>
      <w:widowControl w:val="0"/>
      <w:ind w:left="219" w:firstLine="219"/>
    </w:pPr>
    <w:rPr>
      <w:rFonts w:ascii="ＭＳ 明朝" w:eastAsia="ＭＳ 明朝" w:hAnsi="ＭＳ 明朝" w:cs="ＭＳ 明朝"/>
    </w:rPr>
  </w:style>
  <w:style w:type="paragraph" w:customStyle="1" w:styleId="enff7">
    <w:name w:val="付記（en）"/>
    <w:basedOn w:val="jaff7"/>
    <w:rsid w:val="00280DDC"/>
    <w:rPr>
      <w:rFonts w:ascii="Century" w:eastAsia="Century" w:hAnsi="Century" w:cs="Century"/>
    </w:rPr>
  </w:style>
  <w:style w:type="paragraph" w:customStyle="1" w:styleId="jaff8">
    <w:name w:val="様式名（ja）"/>
    <w:basedOn w:val="a"/>
    <w:rsid w:val="00280DDC"/>
    <w:pPr>
      <w:widowControl w:val="0"/>
      <w:ind w:left="439" w:hanging="219"/>
    </w:pPr>
    <w:rPr>
      <w:rFonts w:ascii="ＭＳ 明朝" w:eastAsia="ＭＳ 明朝" w:hAnsi="ＭＳ 明朝" w:cs="ＭＳ 明朝"/>
    </w:rPr>
  </w:style>
  <w:style w:type="paragraph" w:customStyle="1" w:styleId="enff8">
    <w:name w:val="様式名（en）"/>
    <w:basedOn w:val="jaff8"/>
    <w:rsid w:val="00280DDC"/>
    <w:rPr>
      <w:rFonts w:ascii="Century" w:eastAsia="Century" w:hAnsi="Century" w:cs="Century"/>
    </w:rPr>
  </w:style>
  <w:style w:type="paragraph" w:customStyle="1" w:styleId="jaff9">
    <w:name w:val="様式項目（ja）"/>
    <w:basedOn w:val="a"/>
    <w:rsid w:val="00280DDC"/>
    <w:pPr>
      <w:widowControl w:val="0"/>
      <w:ind w:left="221" w:firstLine="221"/>
    </w:pPr>
    <w:rPr>
      <w:rFonts w:ascii="ＭＳ 明朝" w:eastAsia="ＭＳ 明朝" w:hAnsi="ＭＳ 明朝" w:cs="ＭＳ 明朝"/>
    </w:rPr>
  </w:style>
  <w:style w:type="paragraph" w:customStyle="1" w:styleId="enff9">
    <w:name w:val="様式項目（en）"/>
    <w:basedOn w:val="jaff9"/>
    <w:rsid w:val="00280DDC"/>
    <w:rPr>
      <w:rFonts w:ascii="Century" w:eastAsia="Century" w:hAnsi="Century" w:cs="Century"/>
    </w:rPr>
  </w:style>
  <w:style w:type="table" w:customStyle="1" w:styleId="1">
    <w:name w:val="表1"/>
    <w:rsid w:val="00280DDC"/>
    <w:tblPr>
      <w:tblInd w:w="340" w:type="dxa"/>
      <w:tblCellMar>
        <w:top w:w="0" w:type="dxa"/>
        <w:left w:w="0" w:type="dxa"/>
        <w:bottom w:w="0" w:type="dxa"/>
        <w:right w:w="0" w:type="dxa"/>
      </w:tblCellMar>
    </w:tblPr>
  </w:style>
  <w:style w:type="numbering" w:customStyle="1" w:styleId="WW8Num1">
    <w:name w:val="WW8Num1"/>
    <w:rsid w:val="00280DDC"/>
    <w:pPr>
      <w:numPr>
        <w:numId w:val="2"/>
      </w:numPr>
    </w:pPr>
  </w:style>
  <w:style w:type="numbering" w:customStyle="1" w:styleId="WW8Num2">
    <w:name w:val="WW8Num2"/>
    <w:rsid w:val="00280DDC"/>
    <w:pPr>
      <w:numPr>
        <w:numId w:val="3"/>
      </w:numPr>
    </w:pPr>
  </w:style>
  <w:style w:type="numbering" w:customStyle="1" w:styleId="WW8Num3">
    <w:name w:val="WW8Num3"/>
    <w:rsid w:val="00280DDC"/>
    <w:pPr>
      <w:numPr>
        <w:numId w:val="4"/>
      </w:numPr>
    </w:pPr>
  </w:style>
  <w:style w:type="numbering" w:customStyle="1" w:styleId="WW8Num4">
    <w:name w:val="WW8Num4"/>
    <w:rsid w:val="00280DDC"/>
    <w:pPr>
      <w:numPr>
        <w:numId w:val="5"/>
      </w:numPr>
    </w:pPr>
  </w:style>
  <w:style w:type="numbering" w:customStyle="1" w:styleId="WW8Num5">
    <w:name w:val="WW8Num5"/>
    <w:rsid w:val="00280DDC"/>
    <w:pPr>
      <w:numPr>
        <w:numId w:val="6"/>
      </w:numPr>
    </w:pPr>
  </w:style>
  <w:style w:type="numbering" w:customStyle="1" w:styleId="WW8Num6">
    <w:name w:val="WW8Num6"/>
    <w:rsid w:val="00280DDC"/>
    <w:pPr>
      <w:numPr>
        <w:numId w:val="7"/>
      </w:numPr>
    </w:pPr>
  </w:style>
  <w:style w:type="numbering" w:customStyle="1" w:styleId="WW8Num7">
    <w:name w:val="WW8Num7"/>
    <w:rsid w:val="00280DDC"/>
    <w:pPr>
      <w:numPr>
        <w:numId w:val="8"/>
      </w:numPr>
    </w:pPr>
  </w:style>
  <w:style w:type="numbering" w:customStyle="1" w:styleId="WW8Num8">
    <w:name w:val="WW8Num8"/>
    <w:rsid w:val="00280DDC"/>
    <w:pPr>
      <w:numPr>
        <w:numId w:val="9"/>
      </w:numPr>
    </w:pPr>
  </w:style>
  <w:style w:type="numbering" w:customStyle="1" w:styleId="WW8Num9">
    <w:name w:val="WW8Num9"/>
    <w:rsid w:val="00280DDC"/>
    <w:pPr>
      <w:numPr>
        <w:numId w:val="10"/>
      </w:numPr>
    </w:pPr>
  </w:style>
  <w:style w:type="numbering" w:customStyle="1" w:styleId="WW8Num10">
    <w:name w:val="WW8Num10"/>
    <w:rsid w:val="00280DDC"/>
    <w:pPr>
      <w:numPr>
        <w:numId w:val="11"/>
      </w:numPr>
    </w:pPr>
  </w:style>
  <w:style w:type="numbering" w:customStyle="1" w:styleId="WW8Num11">
    <w:name w:val="WW8Num11"/>
    <w:rsid w:val="00280DDC"/>
    <w:pPr>
      <w:numPr>
        <w:numId w:val="12"/>
      </w:numPr>
    </w:pPr>
  </w:style>
  <w:style w:type="numbering" w:customStyle="1" w:styleId="WW8Num12">
    <w:name w:val="WW8Num12"/>
    <w:rsid w:val="00280DDC"/>
    <w:pPr>
      <w:numPr>
        <w:numId w:val="13"/>
      </w:numPr>
    </w:pPr>
  </w:style>
  <w:style w:type="paragraph" w:styleId="a4">
    <w:name w:val="header"/>
    <w:basedOn w:val="a"/>
    <w:link w:val="a5"/>
    <w:uiPriority w:val="99"/>
    <w:unhideWhenUsed/>
    <w:rsid w:val="0065735E"/>
    <w:pPr>
      <w:tabs>
        <w:tab w:val="center" w:pos="4252"/>
        <w:tab w:val="right" w:pos="8504"/>
      </w:tabs>
      <w:snapToGrid w:val="0"/>
    </w:pPr>
  </w:style>
  <w:style w:type="character" w:customStyle="1" w:styleId="a5">
    <w:name w:val="ヘッダー (文字)"/>
    <w:basedOn w:val="a0"/>
    <w:link w:val="a4"/>
    <w:uiPriority w:val="99"/>
    <w:rsid w:val="006573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4287</Words>
  <Characters>24437</Characters>
  <Application>Microsoft Office Word</Application>
  <DocSecurity>0</DocSecurity>
  <Lines>203</Lines>
  <Paragraphs>57</Paragraphs>
  <ScaleCrop>false</ScaleCrop>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2022-01-04T12:01:00Z</dcterms:created>
  <dcterms:modified xsi:type="dcterms:W3CDTF">2022-01-04T12:01:00Z</dcterms:modified>
</cp:coreProperties>
</file>