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723" w:rsidRDefault="00267BDE">
      <w:pPr>
        <w:pStyle w:val="en"/>
      </w:pPr>
      <w:r>
        <w:t>Ministerial Order for Defining the Criteria in the Right-Hand Column of the Entry for Highly Skilled Professional in the Appended Table I(2) of the Immigration Control and Refugee Recognition Act</w:t>
      </w:r>
    </w:p>
    <w:p w:rsidR="00BD7723" w:rsidRDefault="00BD7723"/>
    <w:p w:rsidR="00BD7723" w:rsidRDefault="00267BDE">
      <w:pPr>
        <w:pStyle w:val="enf"/>
      </w:pPr>
      <w:r>
        <w:t xml:space="preserve">(Ministry of Justice Order No. 37 of December 26, </w:t>
      </w:r>
      <w:r>
        <w:t>2014)</w:t>
      </w:r>
    </w:p>
    <w:p w:rsidR="00BD7723" w:rsidRDefault="00BD7723"/>
    <w:p w:rsidR="00BD7723" w:rsidRDefault="00267BDE">
      <w:pPr>
        <w:pStyle w:val="enf3"/>
      </w:pPr>
      <w:r>
        <w:t>Article 1  (1) The criteria in item (i) in the right-hand column of the entry for Highly Skilled Professional in the Appended Table I(2) of the Immigration Control and Refugee Recognition Act (hereinafter referred to as "the Act") is that the foreig</w:t>
      </w:r>
      <w:r>
        <w:t xml:space="preserve">n national who engages in the activity listed in the same item, at the time that person is granted one of the following: a seal of verification or permission for landing pursuant to the provisions of Chapter III, Section 1 or Section 2 of the Act (limited </w:t>
      </w:r>
      <w:r>
        <w:t>to those that accompany the determination of status of residence), a permission pursuant to the provisions of Chapter IV, Section 2 of the Act, a permission pursuant to the provisions of Article 50, paragraph (1) of the Act or Article 61-2-2, paragraph (2)</w:t>
      </w:r>
      <w:r>
        <w:t xml:space="preserve"> of the Act (hereinafter referred to as "Type I Permission, etc."); that person conforms to any of the following items:</w:t>
      </w:r>
    </w:p>
    <w:p w:rsidR="00BD7723" w:rsidRDefault="00267BDE">
      <w:r>
        <w:t>(i) that the foreign national engages in the activity listed in item (i), (a) in the right-hand column of the entry for Highly Skilled P</w:t>
      </w:r>
      <w:r>
        <w:t xml:space="preserve">rofessional in the Appended Table I(2) of the Act and who, in relation to the items shown in the left-hand column of the that table and in accordance with the criteria shown in the middle column of the same table (with respect to annual income, if, at the </w:t>
      </w:r>
      <w:r>
        <w:t xml:space="preserve">relevant point in time, the foreign national is: aged under 30, the criteria in (a) through (g); aged 30 or over but under 35, the criteria in (a) through (f); aged 35 or over but under 40, the criteria in (a) through (e); aged 40 or over, the criteria in </w:t>
      </w:r>
      <w:r>
        <w:t>(a) through (c)), scores 70 points or more when the points in the right-hand column of the same table are added up;</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D77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Points</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Educational Background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holds a doctorate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lastRenderedPageBreak/>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foreign national holds a </w:t>
            </w:r>
            <w:r>
              <w:t>master's degree, or a professional degree (referring to the "professional degree" specified in Article 5-2 of the Degree Regulations (Order of the Ministry of Education, Science and Culture No. 9 of 1953) and including equivalent degrees awarded in foreign</w:t>
            </w:r>
            <w:r>
              <w:t xml:space="preserve"> countries; the same applies hereinafter)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has graduated from a university or has received equivalent or higher education (excluding cases where sub-item (a) or (b)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w:t>
            </w:r>
            <w:r>
              <w:t>d) the foreign national holds doctorates, master's degrees, or professional degrees in multiple fields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Career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the foreign national has 7 years or more of work experience in the research, instruction in research, or education the foreign </w:t>
            </w:r>
            <w:r>
              <w:t>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foreign national has 5 years or more but less than 7 years of work experience in the research, instruction in research, or education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lastRenderedPageBreak/>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has 3 years or more but le</w:t>
            </w:r>
            <w:r>
              <w:t>ss than 5 years of work experience in the research, instruction in research, or education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Annual Income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the total annual remuneration the foreign national receives from the contracting organization </w:t>
            </w:r>
            <w:r>
              <w:t>(referring to the public or private organization in Japan that acts as the contractual counterparty; the same applies hereinafter) and the foreign affiliated organization (where the staff member of a public or private organization overseas transfers and is</w:t>
            </w:r>
            <w:r>
              <w:t xml:space="preserve"> accepted by the organization for activities, refers to the relevant public or private organization overseas; hereinafter the same applies in the following item and paragraph (1), item (i), (b) of the following Article) is 10,000,000 yen or more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40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w:t>
            </w:r>
            <w:r>
              <w:t>the total annual remuneration the foreign national receives from the contracting organization and the foreign affiliated organization is 9,000,000 yen or more, but less than 10,000,000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total annual remuneration the foreign national receiv</w:t>
            </w:r>
            <w:r>
              <w:t>es from the contracting organization and the foreign affiliated organization is 8,000,000 yen or more, but less than 9,000,000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(d) the total annual remuneration the foreign national receives from the contracting organization and the </w:t>
            </w:r>
            <w:r>
              <w:t>foreign affiliated organization is 7,000,000 yen or more, but less than 8,000,000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(e) the total annual remuneration the foreign national receives from the contracting organization and the foreign affiliated organization is 6,000,000 yen or more, </w:t>
            </w:r>
            <w:r>
              <w:t>but less than 7,000,000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(f) the total annual remuneration the foreign national receives from the contracting organization and the foreign affiliated organization is 5,000,000 yen or more, but less than 6,000,000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(g) the total annual rem</w:t>
            </w:r>
            <w:r>
              <w:t>uneration the foreign national receives from the contracting organization and the foreign affiliated organization is 4,000,000 yen or more, but less than 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is aged under 30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foreign national is </w:t>
            </w:r>
            <w:r>
              <w:t>aged over 30 but under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is aged over 35 but under 40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Research Achievement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satisfies at least two of the following sub-items (1) through (4)</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BD7723" w:rsidRDefault="00267BDE">
            <w:pPr>
              <w:pStyle w:val="jaen"/>
            </w:pPr>
            <w:r>
              <w:t>25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(1) there is one or more inventions in </w:t>
            </w:r>
            <w:r>
              <w:t>respect of which the foreign national was granted patent as the inventor</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(2) the foreign national has engaged, three times or more, in a research which received subsidy, competitive funding, or other forms of funding from a foreign </w:t>
            </w:r>
            <w:r>
              <w:t>government</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BD7723" w:rsidRDefault="00267BDE">
            <w:pPr>
              <w:pStyle w:val="jaen"/>
            </w:pPr>
            <w:r>
              <w:t>(3) the foreign national has published three or more papers (limited to those papers in respect of which the foreign national is the author responsible for responding to queries concerning the paper (hereinafter referred to as the "responsi</w:t>
            </w:r>
            <w:r>
              <w:t>ble author") ) in academic journals which are registered on the database of academic papers (an assembly of information concerning academic research papers, which is systematically structured so as enable those information to be searched by using a compute</w:t>
            </w:r>
            <w:r>
              <w:t>r; the same applies hereinafer) used by national institutions of Japan</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(4) the foreign national has submitted a research achievement which does not correspond to (1) through (3), but which, having consulted the head of the relevant administrative orga</w:t>
            </w:r>
            <w:r>
              <w:t>n, the Minister of Justice has recognized as being equivalent to them</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foreign national satisfies any of (1) to (4) in (a)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Special Additions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the contracting organization is a small and </w:t>
            </w:r>
            <w:r>
              <w:t>medium-sized enterprise (referring to the "small and medium-sized enterprise" as defined in Article 2, paragraph (1) of the Small and Medium-sized Enterprise Basic Act (Act No. 154 of 1963); the same applies hereinafter), and additionally, has either recei</w:t>
            </w:r>
            <w:r>
              <w:t>ved approval etc. as being conducive to the promotion of the creation of innovation (referring to the "creation of innovation" as defined in Article 2, paragraph (5) of the Act on Vitalizing the Creation of Science, Technology, and Innovation (Act No. 63 o</w:t>
            </w:r>
            <w:r>
              <w:t>f 2008); the same applies hereinafter) in accordance with the provisions of laws specified by the Minister of Justice through public notice, or received the grant of subsidy and other measures of assistance which the Minister of Justice has declared as bei</w:t>
            </w:r>
            <w:r>
              <w:t>ng conducive to the creation of innovation through public notice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contracting organization has either received approval etc. as being conducive to the promotion of the creation of innovation in accordance with the provisions of laws specified </w:t>
            </w:r>
            <w:r>
              <w:t>by the Minister of Justice through public notice, or received the grant of subsidy and other measures of assistance which the Minister of Justice has declared as being conducive to the creation of innovation through public notice (excluding cases where sub</w:t>
            </w:r>
            <w:r>
              <w:t>-item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(c) in the financial year preceding the financial year to which the date on which application is made pursuant to the provisions of Article 7-2, paragraph (1), Article 20, paragraph (2), Article 21, paragraph (2), or </w:t>
            </w:r>
            <w:r>
              <w:t>Article 22-2, paragraph (2) (including as applied mutatis mutandis pursuant to Article 22-3) of the Act, determination is made pursuant to the provisions of Article 11, paragraph (3) or Article 49, paragraph (3) of the Act, or permission is granted pursuan</w:t>
            </w:r>
            <w:r>
              <w:t>t to the provisions of the Article 61-2-2, paragraph (2) of the Act belongs (hereinafter referred to as the "date of application etc.") belongs (where the date of application etc. falls within 2 months of the end of the preceding financial year, the financ</w:t>
            </w:r>
            <w:r>
              <w:t>ial year prior to the preceding financial year; the same applies hereinafer), the ratio of test and research expenses etc. (referring to the ratio of the total of testing, research, and development expenses (referring to the "development expenses" as defin</w:t>
            </w:r>
            <w:r>
              <w:t xml:space="preserve">ed in Article 14, paragraph (1), item (iii) of the Order for the Enforcement of the Corporation Tax Act (Cabinet Order No. 97 of 1965) and the cost specifically incurred in launching a new business) to the amount of income (the amount derived by deducting </w:t>
            </w:r>
            <w:r>
              <w:t>from gross revenue the income from: fixed assets, or negotiation of "securities" as defined in Article 2, item (xxi) of the Corporation Tax Act (Act No. 34 of 1965) ) in a given financial year; the same applies hereinafer) of the contracting organization (</w:t>
            </w:r>
            <w:r>
              <w:t>limited to small and medium-sized enterprises) exceeds three one-hundredth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foreign national holds foreign qualification, has received awards, or has other proof of high level of expert knowledge, ability, or experience which relates to the wor</w:t>
            </w:r>
            <w:r>
              <w:t>k the foreign national engages in and which, having consulted the head of the relevant administrative organization, the Minister of Justice has recognized as being conducive to the promotion of the creation of innovation (excluding those that correspond to</w:t>
            </w:r>
            <w:r>
              <w:t xml:space="preserve"> the items for research achievement in this table)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(e) the foreign national has graduated from a university in Japan or has been awarded a master's degree after completing a postgraduate course in Japan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(f) the foreign national has graduated fro</w:t>
            </w:r>
            <w:r>
              <w:t>m a foreign university majoring in Japanese language, or it has been proven by examination that the foreign national possesses the ability to comprehend the Japanese language as used not just in everyday situations, but also in a broader range of situation</w:t>
            </w:r>
            <w:r>
              <w:t>s, including those that involve the use of somewhat logically complicated Japanese language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(g) it has been proven by examination that the foreign national not only can comprehend the Japanese language as used in everyday situations, but also possess</w:t>
            </w:r>
            <w:r>
              <w:t>es the ability to understand to some extent the Japanese language used in a broader range of situations, including those that involve the use of somewhat logically complicated Japanese language (excluding cases where sub-item (e) or (f)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(h) the foreign national is in charge of a business which, having consulted the head of the relevant administrative organ, the Minister of Justice recognizes as a leading business in a field that is expected to grow and develop in the future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(i) </w:t>
            </w:r>
            <w:r>
              <w:t>the foreign national either has graduated from a university which, having consulted the head of the relevant administrative organ, the Minister of Justice has designated through a public notice, was awarded a master's degree after completing a postgraduate</w:t>
            </w:r>
            <w:r>
              <w:t xml:space="preserve"> course of such university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(j) the foreign national has completed a training course which is implemented by the Japanese government or an organization commissioned by the Japanese government, and the Minister of Justice has designated through public </w:t>
            </w:r>
            <w:r>
              <w:t>notice (with respect to training courses which are conducted through the use of lectures at universities or graduate schools in Japan, excluding cases where sub-item (e)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bl>
    <w:p w:rsidR="00BD7723" w:rsidRDefault="00BD7723"/>
    <w:p w:rsidR="00BD7723" w:rsidRDefault="00BD7723">
      <w:pPr>
        <w:pStyle w:val="enf6"/>
      </w:pPr>
    </w:p>
    <w:p w:rsidR="00BD7723" w:rsidRDefault="00267BDE">
      <w:r>
        <w:t>(ii) that the foreign national engages in the activity listed in item (i)</w:t>
      </w:r>
      <w:r>
        <w:t>, (b) in the right-hand column of the entry for Highly Skilled Professional in the Appended Table I(2) of the Act and who, in relation to the items shown in the left-hand column of the that table and in accordance with the criteria shown in the middle colu</w:t>
      </w:r>
      <w:r>
        <w:t>mn of the same table (with respect to annual income, if, at the relevant point in time, the foreign national is: aged under 30, the criteria in (a) through (g); aged 30 or over but under 35, the criteria in (a) through (f); aged 35 or over but under 40, th</w:t>
      </w:r>
      <w:r>
        <w:t>e criteria in (a) through (e); aged 40 or over, the criteria in (a) through (c)), scores 70 points or more when the points in the right-hand column of the same table are added up, and additionally, whose total annual remuneration from the contracting organ</w:t>
      </w:r>
      <w:r>
        <w:t>ization and the foreign affiliated organization is 3,000,000 yen or more;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D77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Points</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Educational Background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holds a doctorate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foreign national holds a professional degree relating to business </w:t>
            </w:r>
            <w:r>
              <w:t>administration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has graduated from a university or has received equivalent or higher education (excluding cases where sub-items (a) through (c)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(d) the foreign </w:t>
            </w:r>
            <w:r>
              <w:t>national has graduated from a university or has received equivalent or higher education (excluding cases where sub-items (a) through (c)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(e) the foreign national holds doctorates, master's degrees, or professional degrees in multiple fields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Career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has 10 years or more of work experience in 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foreign national has 7 years or more but less than 10 years of work experience in the business the foreign </w:t>
            </w:r>
            <w:r>
              <w:t>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has 5 years or more but less than 7 years of work experience in 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foreign national has 3 years or more but less than 5 years of work experience in t</w:t>
            </w:r>
            <w:r>
              <w: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Annual Income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total annual remuneration the foreign national receives from the contracting organization and the foreign affiliated organization is more than 10,000,000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40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total </w:t>
            </w:r>
            <w:r>
              <w:t>annual remuneration the foreign national receives from the contracting organization and the foreign affiliated organization is 9,000,000 yen or more, but less than 10,000,000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total annual remuneration the foreign national receives from th</w:t>
            </w:r>
            <w:r>
              <w:t>e contracting organization and the foreign affiliated organization is 8,000,000 yen or more, but less than 9,000,000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(d) the total annual remuneration the foreign national receives from the contracting organization and the foreign </w:t>
            </w:r>
            <w:r>
              <w:t>affiliated organization is 7,000,000 yen or more, but less than 8,000,000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(e) the total annual remuneration the foreign national receives from the contracting organization and the foreign affiliated organization is 6,000,000 yen or more, but </w:t>
            </w:r>
            <w:r>
              <w:t>less than 7,000,000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(f) the total annual remuneration the foreign national receives from the contracting organization and the foreign affiliated organization is 5,000,000 yen or more, but less than 6,000,000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(g) the total annual remuner</w:t>
            </w:r>
            <w:r>
              <w:t>ation the foreign national receives from the contracting organization and the foreign affiliated organization is 4,000,000 yen or more, but less than 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is aged under 30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foreign national is aged </w:t>
            </w:r>
            <w:r>
              <w:t>over 30 but under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is aged over 35 but under 40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BD7723" w:rsidRDefault="00267BDE">
            <w:pPr>
              <w:pStyle w:val="jaen"/>
            </w:pPr>
            <w:r>
              <w:t>Research Achievement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the foreign national satisfies at least two of the following sub-items (a) through (d)</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there is one or more inventions in respect of </w:t>
            </w:r>
            <w:r>
              <w:t>which the foreign national was granted patent as the inventor</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BD7723" w:rsidRDefault="00267BDE">
            <w:pPr>
              <w:pStyle w:val="jaen"/>
            </w:pPr>
            <w:r>
              <w:t>(b) the foreign national has engaged, three times or more, in a research which received subsidy, competitive funding, or other forms of funding from a foreign government</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(c) the </w:t>
            </w:r>
            <w:r>
              <w:t>foreign national has published three or more papers (limited to those papers in respect of which the foreign national is the responsible author) in academic journals which are registered on database of academic papers used by national institutions of Japan</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foreign national has submitted a research achievement which does not correspond to sub-items (a) through (c), but which, having consulted the head of the relevant administrative organ, the Minister of Justice has recognized as being equivalen</w:t>
            </w:r>
            <w:r>
              <w:t>t to them</w:t>
            </w:r>
          </w:p>
        </w:tc>
        <w:tc>
          <w:tcPr>
            <w:tcW w:w="2897" w:type="dxa"/>
            <w:vMerge/>
            <w:tcBorders>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Qualification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 satisfies at least one of the following sub-items (1) through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(1) the foreign national holds two or more national qualifications of Japan (referring to those qualifications which, by law, </w:t>
            </w:r>
            <w:r>
              <w:t>those who do not hold the qualification are not allowed to engage in the relevant business or activity, or use any title relating to the qualification; the same applies hereinafter) which are relevant to the work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BD7723">
            <w:pPr>
              <w:pStyle w:val="jaen"/>
            </w:pP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(2) </w:t>
            </w:r>
            <w:r>
              <w:t>the foreign national has passed two or more examinations which relate to information processing and are specified by the Minister of Justice through public notice in accordance with the proviso to item (i) in the right-hand column of the entry for Engineer</w:t>
            </w:r>
            <w:r>
              <w:t xml:space="preserve">/Specialist in Humanities/International Services in the Ministerial Order to Provide for Criteria Pursuant to Article 7, paragraph (1), item (ii) of the Immigration Control and Refugee Recognition Act (Ministry of Justice Order No. 16 of 1990; hereinafter </w:t>
            </w:r>
            <w:r>
              <w:t>referred to as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BD7723">
            <w:pPr>
              <w:pStyle w:val="jaen"/>
            </w:pP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 the foreign national holds two or more qualifications which relate to information processing and which are specified by the Minister of Justice through public notice in accordance with the provis</w:t>
            </w:r>
            <w:r>
              <w:t>o to item (i) in the right-hand column of the entry for Engineer/ Specialist in Humanities/International Services in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BD7723">
            <w:pPr>
              <w:pStyle w:val="jaen"/>
            </w:pP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foreign national satisfies two or more of the following requirements (1) through (3) (exclud</w:t>
            </w:r>
            <w:r>
              <w:t>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 the foreign national holds a national qualification of Japan which is relevant to 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BD7723">
            <w:pPr>
              <w:pStyle w:val="jaen"/>
            </w:pP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(2) the foreign national has passed an examination which relates to </w:t>
            </w:r>
            <w:r>
              <w:t xml:space="preserve">information processing and which is specified by the Minister of Justice through public notice in accordance with the proviso to item (i) in the right-hand column of the entry for Engineer/Specialist in Humanities/International Services in the Ministerial </w:t>
            </w:r>
            <w:r>
              <w:t>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BD7723">
            <w:pPr>
              <w:pStyle w:val="jaen"/>
            </w:pP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(3) the foreign national holds a qualification which relates to information processing and which is specified by the Minister of Justice through public notice in accordance with the proviso to item (i) in the right-hand column of </w:t>
            </w:r>
            <w:r>
              <w:t>the entry for Engineer/Specialist in Humanities/International Services in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BD7723">
            <w:pPr>
              <w:pStyle w:val="jaen"/>
            </w:pP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 satisfies any of the following (1) to (3) in sub-item (b) (excluding cases where sub-item (a) or (b)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Speci</w:t>
            </w:r>
            <w:r>
              <w:t>al Additions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contracting organization is a small and medium-sized enterprise and additionally, has either received approval etc. as being conducive to the promotion of the creation of innovation in accordance with the provisions of laws specified b</w:t>
            </w:r>
            <w:r>
              <w:t>y the Minister of Justice through public notice, or received the grant of subsidy and other measures of assistance which the Minister of Justice has declared as being conducive to the creation of innovation through public notice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w:t>
            </w:r>
            <w:r>
              <w:t xml:space="preserve">contracting organization has either received approval etc. as being conducive to the promotion of the creation of innovation in accordance with provisions of laws specified by the Minister of Justice through public notice, or received the grant of subsidy </w:t>
            </w:r>
            <w:r>
              <w:t>and other measures of assistance which the Minister of Justice has declared as being conducive to the creation of innovation through public notice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(c) in the financial year preceding the financial year to </w:t>
            </w:r>
            <w:r>
              <w:t>which the date of application etc. belongs, the ratio of test and research expenses etc. of the contracting organization (limited to small and medium-sized enterprises) exceeds three one-hundredth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(d) the foreign national holds foreign qualification, </w:t>
            </w:r>
            <w:r>
              <w:t xml:space="preserve">has received awards, or has other proof of high level of expertise, ability, or experience which relates to the business the foreign national engages in and which, having consulted the head of the relevant administrative organ, the Minister of Justice has </w:t>
            </w:r>
            <w:r>
              <w:t>recognized as being conducive to the promotion of the creation of innovation (excluding those that correspond to the items for research achievement and qualifications in this table)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(e) the foreign national has graduated from a university in </w:t>
            </w:r>
            <w:r>
              <w:t>Japan or has been awarded a master's degree after completing a postgraduate course in Japan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(f) the foreign national has graduated from a foreign university majoring in Japanese language, or it has been proven by examination that the foreign national</w:t>
            </w:r>
            <w:r>
              <w:t xml:space="preserve"> possesses the ability to comprehend the Japanese language as used not just in everyday situations, but also in a broader range of situations, including those that involve the use of somewhat logically complicated Japanese language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(g) it has been pr</w:t>
            </w:r>
            <w:r>
              <w:t>oven by examination that the foreign national not only can comprehend the Japanese language as used in everyday situations, but also possesses the ability to understand to some extent the Japanese language used in a broader range of situations, including t</w:t>
            </w:r>
            <w:r>
              <w:t>hose that involve the use of somewhat logically complicated Japanese language (excluding cases where sub-item (e) or (f)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(h) the foreign national is in charge of a business which, having consulted the head of the relevant administrative orga</w:t>
            </w:r>
            <w:r>
              <w:t>n, the Minister of Justice has recognized as a leading business in a field that is expected to grow and develop in the future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(i) the foreign national either has graduated from a university which, having consulted the head of the relevant administrat</w:t>
            </w:r>
            <w:r>
              <w:t>ive organ, the Minister of Justice has designated through public notice, or was awarded a master's degree after completing a postgraduate course of such university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(j) the foreign national has completed a training course which is </w:t>
            </w:r>
            <w:r>
              <w:t>implemented by the Japanese government or an organization commissioned by the Japanese government, and the Minister of Justice has designated through public notice (with respect to training courses which are conducted through the use of lectures at univers</w:t>
            </w:r>
            <w:r>
              <w:t>ities or graduate schools in Japan, excluding cases where sub-item (e)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bl>
    <w:p w:rsidR="00BD7723" w:rsidRDefault="00BD7723"/>
    <w:p w:rsidR="00BD7723" w:rsidRDefault="00BD7723">
      <w:pPr>
        <w:pStyle w:val="enf6"/>
      </w:pPr>
    </w:p>
    <w:p w:rsidR="00BD7723" w:rsidRDefault="00267BDE">
      <w:r>
        <w:t xml:space="preserve">(iii) that the foreign national engages in the activity listed in item (i), (c) in the right-hand column of the entry for Highly Skilled Professional in the Appended Table </w:t>
      </w:r>
      <w:r>
        <w:t>I(2) of the Act and who, in relation to the items shown in the left-hand column of the that table, and in accordance with the criteria shown in the middle column of the same table, scores 70 points or more when the points in the right-hand column of the sa</w:t>
      </w:r>
      <w:r>
        <w:t>me table are added up, and additionally, whose total annual remuneration from the organization for activities (meaning public or private organization in Japan that engages in the activity listed in item (i), (c) in the right-hand column of the entry for Hi</w:t>
      </w:r>
      <w:r>
        <w:t>ghly Skilled Professional in the Appended Table I(2) of the Act; the same applies hereinafter) and the foreign affiliated organization (where the staff member of a public or private organization overseas transfers and is accepted by the organization for ac</w:t>
      </w:r>
      <w:r>
        <w:t>tivities, meaning the relevant public or private organization overseas; hereinafter the same applies in this item and in paragraph (1), item (i), (c) of the following Article) is 3,000,000 yen or more.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D77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Points</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Educational Background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the </w:t>
            </w:r>
            <w:r>
              <w:t>foreign national holds a professional degree relating to business administration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foreign national holds a master's degree or a professional degree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(c) the foreign national has </w:t>
            </w:r>
            <w:r>
              <w:t>graduated from a university or has received equivalent or higher education (excluding cases where sub-item (a) or (b)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foreign national holds doctorates, master's degrees, or professional degrees in multiple fields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Career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w:t>
            </w:r>
            <w:r>
              <w:t>the foreign national has 10 years or more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foreign national has 7 years or more but less than 10 years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(c) the foreign national</w:t>
            </w:r>
            <w:r>
              <w:t xml:space="preserve"> has 5 years or more but less than 7 years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foreign national has 3 years or more but less than 5 years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Annual income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(a) the </w:t>
            </w:r>
            <w:r>
              <w:t>total annual remuneration the foreign national receives from the organization for activities and the foreign affiliated organization is more than 30,000,000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total annual remuneration the foreign national receives from the organization for</w:t>
            </w:r>
            <w:r>
              <w:t xml:space="preserve"> activities and the foreign affiliated organization is 25,000,000 yen or more, but less than 30,000,000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40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(c) the total annual remuneration the foreign national receives from the organization for activities and the foreign affiliated </w:t>
            </w:r>
            <w:r>
              <w:t>organization is 20,000,000 yen or more, but less than 25,000,000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30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total annual remuneration the foreign national receives from the organization for activities and the foreign affiliated organization is 15,000,000 yen or more, but less than</w:t>
            </w:r>
            <w:r>
              <w:t xml:space="preserve"> 20,000,000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(e) the total annual remuneration the foreign national receives from the organization for activities and the foreign affiliated organization is 10,000,000 yen or more, but less than 15,000,000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foreign national</w:t>
            </w:r>
            <w:r>
              <w:t xml:space="preserve"> engages in the operation or management of the organization for activities as its representative director, representative executive officer, or a member executing business (limited to those who possess the right to represent)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(b) the foreign </w:t>
            </w:r>
            <w:r>
              <w:t>national engages in the operation or management of the organization for activities as its representative director, representative executive officer, or a member executing business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723" w:rsidRDefault="00267BDE">
            <w:pPr>
              <w:pStyle w:val="jaen"/>
            </w:pPr>
            <w:r>
              <w:t>Special Additions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(a) the or</w:t>
            </w:r>
            <w:r>
              <w:t>ganization for activities is a small and medium-sized enterprise and additionally, has either received approval etc. as being conducive to the promotion of the creation of innovation in accordance with the provisions of laws specified by the Minister of Ju</w:t>
            </w:r>
            <w:r>
              <w:t>stice through public notice, or received the grant of subsidy and other measures of assistance which the Minister of Justice has declared as being conducive to the creation of innovation through public notice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20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(b) the organization for activities has e</w:t>
            </w:r>
            <w:r>
              <w:t>ither received approval etc. as being conducive to the promotion of the creation of innovation in accordance with provisions of laws specified by the Minister of Justice through public notice, or received the grant of subsidy and other measures of assistan</w:t>
            </w:r>
            <w:r>
              <w:t>ce which the Minister of Justice has declared as being conducive to the creation of innovation through public notice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(c) in the financial year preceding the financial year to which the date of </w:t>
            </w:r>
            <w:r>
              <w:t>application etc. belongs, the ratio of test and research expenses etc. of the organization for activities (limited to small and medium-sized enterprises) exceeds three one-hundredth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(d) the foreign national holds foreign qualification, has received aw</w:t>
            </w:r>
            <w:r>
              <w:t>ards, or has other proof of high level of expertise, ability, or experience which relates to the business the foreign national engages in and which, having consulted the head of the relevant administrative organ, the Minister of Justice has recognized as b</w:t>
            </w:r>
            <w:r>
              <w:t>eing conducive to the promotion of the creation of innovation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(e) the foreign national has graduated from a university in Japan or has been awarded a master's degree after completing a postgraduate course in Japan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(f) the foreign </w:t>
            </w:r>
            <w:r>
              <w:t xml:space="preserve">national has graduated from a foreign university majoring in Japanese language, or it has been proven by examination that the foreign national possesses the ability to comprehend the Japanese language as used not just in everyday situations, but also in a </w:t>
            </w:r>
            <w:r>
              <w:t>broader range of situations, including those that involve the use of somewhat logically complicated Japanese language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(g) it has been proven by examination that the foreign national not only can comprehend the Japanese language as used in everyday si</w:t>
            </w:r>
            <w:r>
              <w:t xml:space="preserve">tuations, but also possesses the ability to understand to some extent the Japanese language used in a broader range of situations, including those that involve the use of somewhat logically complicated Japanese language (excluding cases where sub-item (e) </w:t>
            </w:r>
            <w:r>
              <w:t>or (f)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 xml:space="preserve">(h) the foreign national is in charge of a business which, having consulted the head of the relevant administrative organization, the Minister of Justice has recognized as a leading business in a field that is expected to grow and </w:t>
            </w:r>
            <w:r>
              <w:t>develop in the future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(i) The foreign national either has graduated from a university which, having consulted the head of the relevant administrative organ, the Minister of Justice has designated through public notice, or was awarded a master's degre</w:t>
            </w:r>
            <w:r>
              <w:t>e after completing a postgraduate course of such university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10</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(j) the foreign national has completed a training course which is implemented by the Japanese government or an organization commissioned by the Japanese government, and the Minister of Justi</w:t>
            </w:r>
            <w:r>
              <w:t>ce has designated through public notice (with respect to training courses which are conducted through the use of lectures at universities or graduate schools in Japan, excluding cases where sub-item (e)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r w:rsidR="00BD77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(k) if the foreign national is to engag</w:t>
            </w:r>
            <w:r>
              <w:t>e in, at a public or private organization in Japan, the management of trade and other business, the foreign national has personally invested 100,000,000 yen or more in the relevant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723" w:rsidRDefault="00267BDE">
            <w:pPr>
              <w:pStyle w:val="jaen"/>
            </w:pPr>
            <w:r>
              <w:t>5</w:t>
            </w:r>
          </w:p>
        </w:tc>
      </w:tr>
    </w:tbl>
    <w:p w:rsidR="00BD7723" w:rsidRDefault="00BD7723"/>
    <w:p w:rsidR="00BD7723" w:rsidRDefault="00BD7723">
      <w:pPr>
        <w:pStyle w:val="enf6"/>
      </w:pPr>
    </w:p>
    <w:p w:rsidR="00BD7723" w:rsidRDefault="00267BDE">
      <w:pPr>
        <w:pStyle w:val="enf4"/>
      </w:pPr>
      <w:r>
        <w:t>(2) A person who conforms to any of the items in the preceding</w:t>
      </w:r>
      <w:r>
        <w:t xml:space="preserve"> paragraph at the time an application pursuant to the provisions of Article 6, paragraph (2) of the Act, Article 20, paragraph (2) of the Act, Article 21, paragraph (2) of the Act, or Article 22-2, paragraph (2) of the Act (including as applied mutatis mut</w:t>
      </w:r>
      <w:r>
        <w:t>andis pursuant to Article 22, paragraph (3) of the Act) is made, or a determination pursuant to the provisions of Article 49, paragraph (3) of the Act is made, is deemed to have conformed to the relevant item at the time the Type I Permission, etc. is gran</w:t>
      </w:r>
      <w:r>
        <w:t>ted in connection with the application or the determination.</w:t>
      </w:r>
    </w:p>
    <w:p w:rsidR="00BD7723" w:rsidRDefault="00BD7723"/>
    <w:p w:rsidR="00BD7723" w:rsidRDefault="00267BDE">
      <w:pPr>
        <w:pStyle w:val="enf3"/>
      </w:pPr>
      <w:r>
        <w:t xml:space="preserve">Article 2  (1) The criteria in item (ii) in the right-hand column of the entry for Highly Skilled Professional in the Appended Table I(2) of the Act is that the foreign national who </w:t>
      </w:r>
      <w:r>
        <w:t>engages in the activity listed in the same item, at the time the relevant permission is granted pursuant to the provisions of Article 12, paragraph (1) of the Act or Chapter IV, Section 2 of the Act (hereinafter referred to as "Type II Permission"), confor</w:t>
      </w:r>
      <w:r>
        <w:t>ms to all of the following items:</w:t>
      </w:r>
    </w:p>
    <w:p w:rsidR="00BD7723" w:rsidRDefault="00267BDE">
      <w:pPr>
        <w:pStyle w:val="enf6"/>
      </w:pPr>
      <w:r>
        <w:t>(i) that either of the following sub-items applies:</w:t>
      </w:r>
    </w:p>
    <w:p w:rsidR="00BD7723" w:rsidRDefault="00267BDE">
      <w:pPr>
        <w:pStyle w:val="enf9"/>
      </w:pPr>
      <w:r>
        <w:t>(a) if the foreign national was staying in Japan with the status of residence of Highly Skilled Professional (limited to those pertaining to item (i), (a) in the right-ha</w:t>
      </w:r>
      <w:r>
        <w:t xml:space="preserve">nd column of the entry for Highly Skilled Professional in the Appended Table I(2) of the Act), the foreign national, in relation to the items shown in the left-hand column of the table in paragraph (1), item (i) of the preceding Article, and in accordance </w:t>
      </w:r>
      <w:r>
        <w:t>with the criteria shown in the middle column of the same table (with respect to annual income, if, at the relevant point in time, the foreign national is: aged under 30, the criteria in (a) through (g); aged 30 or over but under 35, the criteria in (a) thr</w:t>
      </w:r>
      <w:r>
        <w:t>ough (f); aged 35 or over but less than 40, the criteria in (a) through (e); aged 40 or over, the criteria in (a) through (c)), scores 70 points or more when the points in the right-hand column of the same table are added up;</w:t>
      </w:r>
    </w:p>
    <w:p w:rsidR="00BD7723" w:rsidRDefault="00267BDE">
      <w:pPr>
        <w:pStyle w:val="enf9"/>
      </w:pPr>
      <w:r>
        <w:t>(b) if the foreign national wa</w:t>
      </w:r>
      <w:r>
        <w:t>s staying in Japan with the status of residence of Highly Skilled Professional (limited to those pertaining to item (i), (b) in the right-hand column of the entry for Highly Skilled Professional in the Appended Table I(2) of the Act), the foreign national,</w:t>
      </w:r>
      <w:r>
        <w:t xml:space="preserve"> in relation to the items shown in the left-hand column of the table in paragraph (1), item (ii) of the preceding Article, and in accordance with the criteria shown in the middle column of the same table (with respect to annual income, if, at the relevant </w:t>
      </w:r>
      <w:r>
        <w:t>point in time, the foreign national is: aged under 30, the criteria in (a) through (g); aged 30 or over but under 35, the criteria in (a) through (f); aged 35 or over but under 40, the criteria in (a) through (e); aged 40 or over, the criteria in (a) throu</w:t>
      </w:r>
      <w:r>
        <w:t>gh (c)), scores 70 points or more when the points in the right-hand column of the same table are added up, and additionally, the total annual remuneration the foreign national receives from the contracting organization and the foreign affiliated organizati</w:t>
      </w:r>
      <w:r>
        <w:t>on is 3,000,000 yen or more:</w:t>
      </w:r>
    </w:p>
    <w:p w:rsidR="00BD7723" w:rsidRDefault="00267BDE">
      <w:pPr>
        <w:pStyle w:val="enf9"/>
      </w:pPr>
      <w:r>
        <w:t>(c) if the foreign national was staying in Japan with the status of residence of Highly Skilled Professional (limited to those pertaining to item (i), (c) in the right-hand column of the entry for Highly Skilled Professional in</w:t>
      </w:r>
      <w:r>
        <w:t xml:space="preserve"> the Appended Table I(2) of the Act), the foreign national, in relation to the items shown in the left-hand column of the table in paragraph (1), item (iii) of the preceding Article, and in accordance with the criteria shown in the middle column of the sam</w:t>
      </w:r>
      <w:r>
        <w:t>e table, scores 70 points or more when the points in the right-hand column of the same table are added up, and additionally, the total annual remuneration the foreign national receives from the organization for activities and the foreign affiliated organiz</w:t>
      </w:r>
      <w:r>
        <w:t>ation is 3,000,000 yen or more;</w:t>
      </w:r>
    </w:p>
    <w:p w:rsidR="00BD7723" w:rsidRDefault="00267BDE">
      <w:pPr>
        <w:pStyle w:val="enf6"/>
      </w:pPr>
      <w:r>
        <w:t>(ii) that the foreign national was staying in Japan with the status of residence of Highly Skilled Professional (limited to those pertaining to items (i), (a) through (c) in the right-hand column of the entry for Highly Skil</w:t>
      </w:r>
      <w:r>
        <w:t>led Professional in the Appended Table I(2) of the Act) for 3 years or more, and was engaged in the activity listed in the same item;</w:t>
      </w:r>
    </w:p>
    <w:p w:rsidR="00BD7723" w:rsidRDefault="00267BDE">
      <w:pPr>
        <w:pStyle w:val="enf6"/>
      </w:pPr>
      <w:r>
        <w:t>(iii) that the foreign national's behavior and conduct are good; and</w:t>
      </w:r>
    </w:p>
    <w:p w:rsidR="00BD7723" w:rsidRDefault="00267BDE">
      <w:pPr>
        <w:pStyle w:val="enf6"/>
      </w:pPr>
      <w:r>
        <w:t>(iv) that the foreign national's residence in Japan i</w:t>
      </w:r>
      <w:r>
        <w:t>s in the interests of Japan.</w:t>
      </w:r>
    </w:p>
    <w:p w:rsidR="00BD7723" w:rsidRDefault="00267BDE">
      <w:pPr>
        <w:pStyle w:val="enf4"/>
      </w:pPr>
      <w:r>
        <w:t>(2) A person who conforms to all of the items in the preceding paragraph at the time the application pursuant to the provisions of Article 6, paragraph (2) of the Act, Article 20, paragraph (2) of the Act, or Article 22-2, para</w:t>
      </w:r>
      <w:r>
        <w:t>graph (2) of the Act is made, is deemed to have conformed to all of the items in the preceding paragraph at the time the Type II Permission is granted in connection with the relevant application.</w:t>
      </w:r>
    </w:p>
    <w:sectPr w:rsidR="00BD7723" w:rsidSect="00BD77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723" w:rsidRDefault="00BD7723" w:rsidP="00BD7723">
      <w:r>
        <w:separator/>
      </w:r>
    </w:p>
  </w:endnote>
  <w:endnote w:type="continuationSeparator" w:id="0">
    <w:p w:rsidR="00BD7723" w:rsidRDefault="00BD7723" w:rsidP="00BD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723" w:rsidRDefault="00BD7723">
    <w:pPr>
      <w:pStyle w:val="a3"/>
    </w:pPr>
    <w:r>
      <w:fldChar w:fldCharType="begin"/>
    </w:r>
    <w:r>
      <w:instrText xml:space="preserve"> PAGE  \* MERGEFORMAT </w:instrText>
    </w:r>
    <w:r>
      <w:fldChar w:fldCharType="separate"/>
    </w:r>
    <w:r w:rsidR="00267B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723" w:rsidRDefault="00BD7723" w:rsidP="00BD7723">
      <w:r>
        <w:separator/>
      </w:r>
    </w:p>
  </w:footnote>
  <w:footnote w:type="continuationSeparator" w:id="0">
    <w:p w:rsidR="00BD7723" w:rsidRDefault="00BD7723" w:rsidP="00BD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2147"/>
    <w:multiLevelType w:val="multilevel"/>
    <w:tmpl w:val="95380F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3C0BEE"/>
    <w:multiLevelType w:val="multilevel"/>
    <w:tmpl w:val="D99CBD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40540A"/>
    <w:multiLevelType w:val="multilevel"/>
    <w:tmpl w:val="8E722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3E43EF"/>
    <w:multiLevelType w:val="multilevel"/>
    <w:tmpl w:val="C910E5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7752A"/>
    <w:multiLevelType w:val="multilevel"/>
    <w:tmpl w:val="171A99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E3018"/>
    <w:multiLevelType w:val="multilevel"/>
    <w:tmpl w:val="A24823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EF2838"/>
    <w:multiLevelType w:val="multilevel"/>
    <w:tmpl w:val="2E3C3E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C13CD"/>
    <w:multiLevelType w:val="multilevel"/>
    <w:tmpl w:val="89F879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A57B1"/>
    <w:multiLevelType w:val="multilevel"/>
    <w:tmpl w:val="A92A55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50568B"/>
    <w:multiLevelType w:val="multilevel"/>
    <w:tmpl w:val="A1967F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397904"/>
    <w:multiLevelType w:val="multilevel"/>
    <w:tmpl w:val="CE1EEF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2360AA"/>
    <w:multiLevelType w:val="multilevel"/>
    <w:tmpl w:val="27925E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A65DA"/>
    <w:multiLevelType w:val="multilevel"/>
    <w:tmpl w:val="66B6DF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11"/>
  </w:num>
  <w:num w:numId="4">
    <w:abstractNumId w:val="9"/>
  </w:num>
  <w:num w:numId="5">
    <w:abstractNumId w:val="3"/>
  </w:num>
  <w:num w:numId="6">
    <w:abstractNumId w:val="7"/>
  </w:num>
  <w:num w:numId="7">
    <w:abstractNumId w:val="2"/>
  </w:num>
  <w:num w:numId="8">
    <w:abstractNumId w:val="5"/>
  </w:num>
  <w:num w:numId="9">
    <w:abstractNumId w:val="4"/>
  </w:num>
  <w:num w:numId="10">
    <w:abstractNumId w:val="6"/>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7723"/>
    <w:rsid w:val="00267BDE"/>
    <w:rsid w:val="00BD77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7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77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7723"/>
    <w:rPr>
      <w:rFonts w:ascii="Century" w:eastAsia="Century" w:hAnsi="Century"/>
    </w:rPr>
  </w:style>
  <w:style w:type="paragraph" w:customStyle="1" w:styleId="ja0">
    <w:name w:val="款（ja）"/>
    <w:basedOn w:val="a"/>
    <w:rsid w:val="00BD7723"/>
    <w:pPr>
      <w:widowControl w:val="0"/>
      <w:ind w:left="1321" w:hanging="221"/>
    </w:pPr>
    <w:rPr>
      <w:rFonts w:ascii="ＭＳ 明朝" w:eastAsia="ＭＳ 明朝" w:hAnsi="ＭＳ 明朝" w:cs="ＭＳ 明朝"/>
      <w:b/>
    </w:rPr>
  </w:style>
  <w:style w:type="paragraph" w:customStyle="1" w:styleId="en0">
    <w:name w:val="款（en）"/>
    <w:basedOn w:val="ja0"/>
    <w:rsid w:val="00BD7723"/>
    <w:rPr>
      <w:rFonts w:ascii="Century" w:eastAsia="Century" w:hAnsi="Century" w:cs="Century"/>
    </w:rPr>
  </w:style>
  <w:style w:type="paragraph" w:customStyle="1" w:styleId="ja1">
    <w:name w:val="前文（ja）"/>
    <w:basedOn w:val="a"/>
    <w:rsid w:val="00BD7723"/>
    <w:pPr>
      <w:widowControl w:val="0"/>
      <w:ind w:firstLine="219"/>
    </w:pPr>
    <w:rPr>
      <w:rFonts w:ascii="ＭＳ 明朝" w:eastAsia="ＭＳ 明朝" w:hAnsi="ＭＳ 明朝" w:cs="ＭＳ 明朝"/>
    </w:rPr>
  </w:style>
  <w:style w:type="paragraph" w:customStyle="1" w:styleId="en1">
    <w:name w:val="前文（en）"/>
    <w:basedOn w:val="ja1"/>
    <w:rsid w:val="00BD7723"/>
    <w:rPr>
      <w:rFonts w:ascii="Century" w:eastAsia="Century" w:hAnsi="Century" w:cs="Century"/>
    </w:rPr>
  </w:style>
  <w:style w:type="paragraph" w:customStyle="1" w:styleId="ja2">
    <w:name w:val="附則（ja）"/>
    <w:basedOn w:val="a"/>
    <w:rsid w:val="00BD7723"/>
    <w:pPr>
      <w:widowControl w:val="0"/>
      <w:ind w:left="881" w:hanging="221"/>
    </w:pPr>
    <w:rPr>
      <w:rFonts w:ascii="ＭＳ 明朝" w:eastAsia="ＭＳ 明朝" w:hAnsi="ＭＳ 明朝" w:cs="ＭＳ 明朝"/>
      <w:b/>
    </w:rPr>
  </w:style>
  <w:style w:type="paragraph" w:customStyle="1" w:styleId="en2">
    <w:name w:val="附則（en）"/>
    <w:basedOn w:val="ja2"/>
    <w:rsid w:val="00BD7723"/>
    <w:rPr>
      <w:rFonts w:ascii="Century" w:hAnsi="Century" w:cs="Century"/>
    </w:rPr>
  </w:style>
  <w:style w:type="paragraph" w:customStyle="1" w:styleId="ja3">
    <w:name w:val="章（ja）"/>
    <w:basedOn w:val="a"/>
    <w:rsid w:val="00BD7723"/>
    <w:pPr>
      <w:widowControl w:val="0"/>
      <w:ind w:left="881" w:hanging="221"/>
    </w:pPr>
    <w:rPr>
      <w:rFonts w:ascii="ＭＳ 明朝" w:eastAsia="ＭＳ 明朝" w:hAnsi="ＭＳ 明朝" w:cs="ＭＳ 明朝"/>
      <w:b/>
    </w:rPr>
  </w:style>
  <w:style w:type="paragraph" w:customStyle="1" w:styleId="en3">
    <w:name w:val="章（en）"/>
    <w:basedOn w:val="ja3"/>
    <w:rsid w:val="00BD7723"/>
    <w:rPr>
      <w:rFonts w:ascii="Century" w:eastAsia="Century" w:hAnsi="Century" w:cs="Century"/>
    </w:rPr>
  </w:style>
  <w:style w:type="paragraph" w:customStyle="1" w:styleId="ja4">
    <w:name w:val="目次編（ja）"/>
    <w:basedOn w:val="a"/>
    <w:rsid w:val="00BD7723"/>
    <w:pPr>
      <w:widowControl w:val="0"/>
      <w:ind w:left="219" w:hanging="219"/>
    </w:pPr>
    <w:rPr>
      <w:rFonts w:ascii="ＭＳ 明朝" w:eastAsia="ＭＳ 明朝" w:hAnsi="ＭＳ 明朝"/>
    </w:rPr>
  </w:style>
  <w:style w:type="paragraph" w:customStyle="1" w:styleId="en4">
    <w:name w:val="目次編（en）"/>
    <w:basedOn w:val="ja4"/>
    <w:rsid w:val="00BD7723"/>
    <w:rPr>
      <w:rFonts w:ascii="Century" w:eastAsia="Century" w:hAnsi="Century"/>
    </w:rPr>
  </w:style>
  <w:style w:type="paragraph" w:customStyle="1" w:styleId="ja5">
    <w:name w:val="目次章（ja）"/>
    <w:basedOn w:val="a"/>
    <w:rsid w:val="00BD7723"/>
    <w:pPr>
      <w:widowControl w:val="0"/>
      <w:ind w:left="439" w:hanging="219"/>
    </w:pPr>
    <w:rPr>
      <w:rFonts w:ascii="ＭＳ 明朝" w:eastAsia="ＭＳ 明朝" w:hAnsi="ＭＳ 明朝"/>
    </w:rPr>
  </w:style>
  <w:style w:type="paragraph" w:customStyle="1" w:styleId="en5">
    <w:name w:val="目次章（en）"/>
    <w:basedOn w:val="ja5"/>
    <w:rsid w:val="00BD7723"/>
    <w:rPr>
      <w:rFonts w:ascii="Century" w:eastAsia="Century" w:hAnsi="Century"/>
    </w:rPr>
  </w:style>
  <w:style w:type="paragraph" w:customStyle="1" w:styleId="ja6">
    <w:name w:val="目次節（ja）"/>
    <w:basedOn w:val="a"/>
    <w:rsid w:val="00BD7723"/>
    <w:pPr>
      <w:widowControl w:val="0"/>
      <w:ind w:left="659" w:hanging="219"/>
    </w:pPr>
    <w:rPr>
      <w:rFonts w:ascii="ＭＳ 明朝" w:eastAsia="ＭＳ 明朝" w:hAnsi="ＭＳ 明朝"/>
    </w:rPr>
  </w:style>
  <w:style w:type="paragraph" w:customStyle="1" w:styleId="en6">
    <w:name w:val="目次節（en）"/>
    <w:basedOn w:val="ja6"/>
    <w:rsid w:val="00BD7723"/>
    <w:rPr>
      <w:rFonts w:ascii="Century" w:eastAsia="Century" w:hAnsi="Century"/>
    </w:rPr>
  </w:style>
  <w:style w:type="paragraph" w:customStyle="1" w:styleId="ja7">
    <w:name w:val="目次款（ja）"/>
    <w:basedOn w:val="a"/>
    <w:rsid w:val="00BD7723"/>
    <w:pPr>
      <w:widowControl w:val="0"/>
      <w:ind w:left="879" w:hanging="219"/>
    </w:pPr>
    <w:rPr>
      <w:rFonts w:ascii="ＭＳ 明朝" w:eastAsia="ＭＳ 明朝" w:hAnsi="ＭＳ 明朝" w:cs="Kochi Mincho"/>
    </w:rPr>
  </w:style>
  <w:style w:type="paragraph" w:customStyle="1" w:styleId="en7">
    <w:name w:val="目次款（en）"/>
    <w:basedOn w:val="ja7"/>
    <w:rsid w:val="00BD7723"/>
    <w:rPr>
      <w:rFonts w:ascii="Century" w:eastAsia="Century" w:hAnsi="Century"/>
    </w:rPr>
  </w:style>
  <w:style w:type="paragraph" w:customStyle="1" w:styleId="ja8">
    <w:name w:val="別表名（ja）"/>
    <w:basedOn w:val="a"/>
    <w:rsid w:val="00BD77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7723"/>
    <w:rPr>
      <w:rFonts w:ascii="Century" w:eastAsia="Century" w:hAnsi="Century" w:cs="Century"/>
    </w:rPr>
  </w:style>
  <w:style w:type="paragraph" w:customStyle="1" w:styleId="ja9">
    <w:name w:val="目（ja）"/>
    <w:basedOn w:val="a"/>
    <w:rsid w:val="00BD7723"/>
    <w:pPr>
      <w:widowControl w:val="0"/>
      <w:ind w:left="1541" w:hanging="221"/>
    </w:pPr>
    <w:rPr>
      <w:rFonts w:ascii="ＭＳ 明朝" w:eastAsia="ＭＳ 明朝" w:hAnsi="ＭＳ 明朝" w:cs="ＭＳ 明朝"/>
      <w:b/>
    </w:rPr>
  </w:style>
  <w:style w:type="paragraph" w:customStyle="1" w:styleId="en9">
    <w:name w:val="目（en）"/>
    <w:basedOn w:val="ja9"/>
    <w:rsid w:val="00BD7723"/>
    <w:rPr>
      <w:rFonts w:ascii="Century" w:eastAsia="Century" w:hAnsi="Century" w:cs="Century"/>
    </w:rPr>
  </w:style>
  <w:style w:type="paragraph" w:customStyle="1" w:styleId="jaa">
    <w:name w:val="見出し（ja）"/>
    <w:basedOn w:val="a"/>
    <w:rsid w:val="00BD7723"/>
    <w:pPr>
      <w:widowControl w:val="0"/>
      <w:ind w:left="439" w:hanging="219"/>
    </w:pPr>
    <w:rPr>
      <w:rFonts w:ascii="ＭＳ 明朝" w:eastAsia="ＭＳ 明朝" w:hAnsi="ＭＳ 明朝" w:cs="ＭＳ 明朝"/>
    </w:rPr>
  </w:style>
  <w:style w:type="paragraph" w:customStyle="1" w:styleId="ena">
    <w:name w:val="見出し（en）"/>
    <w:basedOn w:val="jaa"/>
    <w:rsid w:val="00BD7723"/>
    <w:rPr>
      <w:rFonts w:ascii="Century" w:eastAsia="Century" w:hAnsi="Century" w:cs="Century"/>
    </w:rPr>
  </w:style>
  <w:style w:type="paragraph" w:styleId="a3">
    <w:name w:val="footer"/>
    <w:basedOn w:val="a"/>
    <w:rsid w:val="00BD77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7723"/>
    <w:pPr>
      <w:widowControl w:val="0"/>
      <w:ind w:left="1099" w:hanging="219"/>
    </w:pPr>
    <w:rPr>
      <w:rFonts w:ascii="ＭＳ 明朝" w:eastAsia="ＭＳ 明朝" w:hAnsi="ＭＳ 明朝" w:cs="Kochi Mincho"/>
    </w:rPr>
  </w:style>
  <w:style w:type="paragraph" w:customStyle="1" w:styleId="enb">
    <w:name w:val="目次目（en）"/>
    <w:basedOn w:val="jab"/>
    <w:rsid w:val="00BD7723"/>
    <w:rPr>
      <w:rFonts w:ascii="Century" w:eastAsia="Century" w:hAnsi="Century"/>
    </w:rPr>
  </w:style>
  <w:style w:type="paragraph" w:customStyle="1" w:styleId="jac">
    <w:name w:val="目次附則（ja）"/>
    <w:basedOn w:val="a"/>
    <w:rsid w:val="00BD7723"/>
    <w:pPr>
      <w:widowControl w:val="0"/>
      <w:ind w:left="439" w:hanging="219"/>
    </w:pPr>
    <w:rPr>
      <w:rFonts w:ascii="ＭＳ 明朝" w:eastAsia="ＭＳ 明朝" w:hAnsi="ＭＳ 明朝" w:cs="Kochi Mincho"/>
    </w:rPr>
  </w:style>
  <w:style w:type="paragraph" w:customStyle="1" w:styleId="enc">
    <w:name w:val="目次附則（en）"/>
    <w:basedOn w:val="jac"/>
    <w:rsid w:val="00BD7723"/>
    <w:rPr>
      <w:rFonts w:ascii="Century" w:eastAsia="Century" w:hAnsi="Century" w:cs="Century"/>
    </w:rPr>
  </w:style>
  <w:style w:type="paragraph" w:customStyle="1" w:styleId="jad">
    <w:name w:val="目次前文（ja）"/>
    <w:basedOn w:val="jac"/>
    <w:rsid w:val="00BD7723"/>
  </w:style>
  <w:style w:type="paragraph" w:customStyle="1" w:styleId="end">
    <w:name w:val="目次前文（en）"/>
    <w:basedOn w:val="enc"/>
    <w:rsid w:val="00BD7723"/>
  </w:style>
  <w:style w:type="paragraph" w:customStyle="1" w:styleId="jae">
    <w:name w:val="制定文（ja）"/>
    <w:basedOn w:val="a"/>
    <w:rsid w:val="00BD7723"/>
    <w:pPr>
      <w:widowControl w:val="0"/>
      <w:ind w:firstLine="219"/>
    </w:pPr>
    <w:rPr>
      <w:rFonts w:ascii="ＭＳ 明朝" w:eastAsia="ＭＳ 明朝" w:hAnsi="ＭＳ 明朝" w:cs="ＭＳ 明朝"/>
    </w:rPr>
  </w:style>
  <w:style w:type="paragraph" w:customStyle="1" w:styleId="ene">
    <w:name w:val="制定文（en）"/>
    <w:basedOn w:val="jae"/>
    <w:rsid w:val="00BD7723"/>
    <w:rPr>
      <w:rFonts w:ascii="Century" w:eastAsia="Century" w:hAnsi="Century" w:cs="Century"/>
    </w:rPr>
  </w:style>
  <w:style w:type="paragraph" w:customStyle="1" w:styleId="jaf">
    <w:name w:val="法令番号（ja）"/>
    <w:basedOn w:val="a"/>
    <w:rsid w:val="00BD7723"/>
    <w:pPr>
      <w:widowControl w:val="0"/>
      <w:jc w:val="right"/>
    </w:pPr>
    <w:rPr>
      <w:rFonts w:ascii="ＭＳ 明朝" w:eastAsia="ＭＳ 明朝" w:hAnsi="ＭＳ 明朝" w:cs="Kochi Mincho"/>
    </w:rPr>
  </w:style>
  <w:style w:type="paragraph" w:customStyle="1" w:styleId="enf">
    <w:name w:val="法令番号（en）"/>
    <w:basedOn w:val="jaf"/>
    <w:rsid w:val="00BD7723"/>
    <w:rPr>
      <w:rFonts w:ascii="Century" w:eastAsia="Century" w:hAnsi="Century" w:cs="Century"/>
    </w:rPr>
  </w:style>
  <w:style w:type="paragraph" w:customStyle="1" w:styleId="jaf0">
    <w:name w:val="目次（ja）"/>
    <w:basedOn w:val="a"/>
    <w:rsid w:val="00BD7723"/>
    <w:rPr>
      <w:rFonts w:ascii="ＭＳ 明朝" w:eastAsia="ＭＳ 明朝" w:hAnsi="ＭＳ 明朝"/>
    </w:rPr>
  </w:style>
  <w:style w:type="paragraph" w:customStyle="1" w:styleId="enf0">
    <w:name w:val="目次（en）"/>
    <w:basedOn w:val="jaf0"/>
    <w:rsid w:val="00BD7723"/>
    <w:rPr>
      <w:rFonts w:ascii="Century" w:eastAsia="Century" w:hAnsi="Century"/>
    </w:rPr>
  </w:style>
  <w:style w:type="paragraph" w:customStyle="1" w:styleId="jaf1">
    <w:name w:val="編（ja）"/>
    <w:basedOn w:val="a"/>
    <w:rsid w:val="00BD7723"/>
    <w:pPr>
      <w:widowControl w:val="0"/>
      <w:ind w:left="661" w:hanging="221"/>
    </w:pPr>
    <w:rPr>
      <w:rFonts w:ascii="ＭＳ 明朝" w:eastAsia="ＭＳ 明朝" w:hAnsi="ＭＳ 明朝" w:cs="ＭＳ 明朝"/>
      <w:b/>
    </w:rPr>
  </w:style>
  <w:style w:type="paragraph" w:customStyle="1" w:styleId="enf1">
    <w:name w:val="編（en）"/>
    <w:basedOn w:val="jaf1"/>
    <w:rsid w:val="00BD7723"/>
    <w:rPr>
      <w:rFonts w:ascii="Century" w:eastAsia="Century" w:hAnsi="Century" w:cs="Century"/>
    </w:rPr>
  </w:style>
  <w:style w:type="paragraph" w:customStyle="1" w:styleId="jaf2">
    <w:name w:val="節（ja）"/>
    <w:basedOn w:val="a"/>
    <w:rsid w:val="00BD7723"/>
    <w:pPr>
      <w:widowControl w:val="0"/>
      <w:ind w:left="1101" w:hanging="221"/>
    </w:pPr>
    <w:rPr>
      <w:rFonts w:ascii="ＭＳ 明朝" w:eastAsia="ＭＳ 明朝" w:hAnsi="ＭＳ 明朝" w:cs="ＭＳ 明朝"/>
      <w:b/>
    </w:rPr>
  </w:style>
  <w:style w:type="paragraph" w:customStyle="1" w:styleId="enf2">
    <w:name w:val="節（en）"/>
    <w:basedOn w:val="jaf2"/>
    <w:rsid w:val="00BD7723"/>
    <w:rPr>
      <w:rFonts w:ascii="Century" w:eastAsia="Century" w:hAnsi="Century" w:cs="Century"/>
    </w:rPr>
  </w:style>
  <w:style w:type="paragraph" w:customStyle="1" w:styleId="jaf3">
    <w:name w:val="条（ja）"/>
    <w:basedOn w:val="a"/>
    <w:rsid w:val="00BD7723"/>
    <w:pPr>
      <w:widowControl w:val="0"/>
      <w:ind w:left="219" w:hanging="219"/>
    </w:pPr>
    <w:rPr>
      <w:rFonts w:ascii="ＭＳ 明朝" w:eastAsia="ＭＳ 明朝" w:hAnsi="ＭＳ 明朝" w:cs="ＭＳ 明朝"/>
    </w:rPr>
  </w:style>
  <w:style w:type="paragraph" w:customStyle="1" w:styleId="enf3">
    <w:name w:val="条（en）"/>
    <w:basedOn w:val="jaf3"/>
    <w:rsid w:val="00BD7723"/>
    <w:rPr>
      <w:rFonts w:ascii="Century" w:eastAsia="Century" w:hAnsi="Century" w:cs="Century"/>
    </w:rPr>
  </w:style>
  <w:style w:type="paragraph" w:customStyle="1" w:styleId="jaf4">
    <w:name w:val="項（ja）"/>
    <w:basedOn w:val="a"/>
    <w:rsid w:val="00BD7723"/>
    <w:pPr>
      <w:widowControl w:val="0"/>
      <w:ind w:left="219" w:hanging="219"/>
    </w:pPr>
    <w:rPr>
      <w:rFonts w:ascii="ＭＳ 明朝" w:eastAsia="ＭＳ 明朝" w:hAnsi="ＭＳ 明朝" w:cs="ＭＳ 明朝"/>
    </w:rPr>
  </w:style>
  <w:style w:type="paragraph" w:customStyle="1" w:styleId="enf4">
    <w:name w:val="項（en）"/>
    <w:basedOn w:val="jaf4"/>
    <w:rsid w:val="00BD7723"/>
    <w:rPr>
      <w:rFonts w:ascii="Century" w:eastAsia="Century" w:hAnsi="Century" w:cs="Century"/>
    </w:rPr>
  </w:style>
  <w:style w:type="paragraph" w:customStyle="1" w:styleId="jaf5">
    <w:name w:val="項　番号なし（ja）"/>
    <w:basedOn w:val="a"/>
    <w:rsid w:val="00BD7723"/>
    <w:pPr>
      <w:widowControl w:val="0"/>
      <w:ind w:firstLine="221"/>
    </w:pPr>
    <w:rPr>
      <w:rFonts w:ascii="ＭＳ 明朝" w:eastAsia="ＭＳ 明朝" w:hAnsi="ＭＳ 明朝" w:cs="ＭＳ 明朝"/>
    </w:rPr>
  </w:style>
  <w:style w:type="paragraph" w:customStyle="1" w:styleId="enf5">
    <w:name w:val="項　番号なし（en）"/>
    <w:basedOn w:val="jaf5"/>
    <w:rsid w:val="00BD7723"/>
    <w:rPr>
      <w:rFonts w:ascii="Century" w:eastAsia="Century" w:hAnsi="Century" w:cs="Century"/>
    </w:rPr>
  </w:style>
  <w:style w:type="paragraph" w:customStyle="1" w:styleId="jaf6">
    <w:name w:val="号（ja）"/>
    <w:basedOn w:val="a"/>
    <w:rsid w:val="00BD7723"/>
    <w:pPr>
      <w:widowControl w:val="0"/>
      <w:ind w:left="439" w:hanging="219"/>
    </w:pPr>
    <w:rPr>
      <w:rFonts w:ascii="ＭＳ 明朝" w:eastAsia="ＭＳ 明朝" w:hAnsi="ＭＳ 明朝" w:cs="ＭＳ 明朝"/>
    </w:rPr>
  </w:style>
  <w:style w:type="paragraph" w:customStyle="1" w:styleId="enf6">
    <w:name w:val="号（en）"/>
    <w:basedOn w:val="jaf6"/>
    <w:rsid w:val="00BD7723"/>
    <w:rPr>
      <w:rFonts w:ascii="Century" w:eastAsia="Century" w:hAnsi="Century" w:cs="Century"/>
    </w:rPr>
  </w:style>
  <w:style w:type="paragraph" w:customStyle="1" w:styleId="jaf7">
    <w:name w:val="号　番号なし（ja）"/>
    <w:basedOn w:val="a"/>
    <w:rsid w:val="00BD7723"/>
    <w:pPr>
      <w:widowControl w:val="0"/>
      <w:ind w:left="221" w:firstLine="221"/>
    </w:pPr>
    <w:rPr>
      <w:rFonts w:ascii="ＭＳ 明朝" w:eastAsia="ＭＳ 明朝" w:hAnsi="ＭＳ 明朝" w:cs="ＭＳ 明朝"/>
    </w:rPr>
  </w:style>
  <w:style w:type="paragraph" w:customStyle="1" w:styleId="enf7">
    <w:name w:val="号　番号なし（en）"/>
    <w:basedOn w:val="jaf7"/>
    <w:rsid w:val="00BD7723"/>
    <w:rPr>
      <w:rFonts w:ascii="Century" w:eastAsia="Century" w:hAnsi="Century" w:cs="Century"/>
    </w:rPr>
  </w:style>
  <w:style w:type="paragraph" w:customStyle="1" w:styleId="jaf8">
    <w:name w:val="備考号（ja）"/>
    <w:basedOn w:val="a"/>
    <w:rsid w:val="00BD7723"/>
    <w:pPr>
      <w:widowControl w:val="0"/>
      <w:ind w:left="659" w:hanging="219"/>
    </w:pPr>
    <w:rPr>
      <w:rFonts w:ascii="ＭＳ 明朝" w:eastAsia="ＭＳ 明朝" w:hAnsi="ＭＳ 明朝" w:cs="ＭＳ 明朝"/>
    </w:rPr>
  </w:style>
  <w:style w:type="paragraph" w:customStyle="1" w:styleId="enf8">
    <w:name w:val="備考号（en）"/>
    <w:basedOn w:val="jaf8"/>
    <w:rsid w:val="00BD7723"/>
    <w:rPr>
      <w:rFonts w:ascii="Century" w:eastAsia="Century" w:hAnsi="Century" w:cs="Century"/>
    </w:rPr>
  </w:style>
  <w:style w:type="paragraph" w:customStyle="1" w:styleId="jaf9">
    <w:name w:val="号細分（ja）"/>
    <w:basedOn w:val="a"/>
    <w:rsid w:val="00BD7723"/>
    <w:pPr>
      <w:widowControl w:val="0"/>
      <w:ind w:left="659" w:hanging="219"/>
    </w:pPr>
    <w:rPr>
      <w:rFonts w:ascii="ＭＳ 明朝" w:eastAsia="ＭＳ 明朝" w:hAnsi="ＭＳ 明朝" w:cs="ＭＳ 明朝"/>
    </w:rPr>
  </w:style>
  <w:style w:type="paragraph" w:customStyle="1" w:styleId="enf9">
    <w:name w:val="号細分（en）"/>
    <w:basedOn w:val="jaf9"/>
    <w:rsid w:val="00BD7723"/>
    <w:rPr>
      <w:rFonts w:ascii="Century" w:eastAsia="Century" w:hAnsi="Century" w:cs="Century"/>
    </w:rPr>
  </w:style>
  <w:style w:type="paragraph" w:customStyle="1" w:styleId="jafa">
    <w:name w:val="号細分　番号なし（ja）"/>
    <w:basedOn w:val="a"/>
    <w:rsid w:val="00BD7723"/>
    <w:pPr>
      <w:widowControl w:val="0"/>
      <w:ind w:left="439"/>
    </w:pPr>
    <w:rPr>
      <w:rFonts w:ascii="ＭＳ 明朝" w:eastAsia="ＭＳ 明朝" w:hAnsi="ＭＳ 明朝" w:cs="ＭＳ 明朝"/>
    </w:rPr>
  </w:style>
  <w:style w:type="paragraph" w:customStyle="1" w:styleId="enfa">
    <w:name w:val="号細分　番号なし（en）"/>
    <w:basedOn w:val="jafa"/>
    <w:rsid w:val="00BD7723"/>
    <w:rPr>
      <w:rFonts w:ascii="Century" w:eastAsia="Century" w:hAnsi="Century" w:cs="Century"/>
    </w:rPr>
  </w:style>
  <w:style w:type="paragraph" w:customStyle="1" w:styleId="jafb">
    <w:name w:val="備考号細分（ja）"/>
    <w:basedOn w:val="a"/>
    <w:rsid w:val="00BD7723"/>
    <w:pPr>
      <w:widowControl w:val="0"/>
      <w:ind w:left="1099" w:hanging="439"/>
    </w:pPr>
    <w:rPr>
      <w:rFonts w:ascii="ＭＳ 明朝" w:eastAsia="ＭＳ 明朝" w:hAnsi="ＭＳ 明朝" w:cs="ＭＳ 明朝"/>
    </w:rPr>
  </w:style>
  <w:style w:type="paragraph" w:customStyle="1" w:styleId="enfb">
    <w:name w:val="備考号細分（en）"/>
    <w:basedOn w:val="jafb"/>
    <w:rsid w:val="00BD7723"/>
    <w:rPr>
      <w:rFonts w:ascii="Century" w:eastAsia="Century" w:hAnsi="Century" w:cs="Century"/>
    </w:rPr>
  </w:style>
  <w:style w:type="paragraph" w:customStyle="1" w:styleId="jafc">
    <w:name w:val="号細細分（ja）"/>
    <w:basedOn w:val="a"/>
    <w:rsid w:val="00BD7723"/>
    <w:pPr>
      <w:widowControl w:val="0"/>
      <w:ind w:left="1099" w:hanging="439"/>
    </w:pPr>
    <w:rPr>
      <w:rFonts w:ascii="ＭＳ 明朝" w:eastAsia="ＭＳ 明朝" w:hAnsi="ＭＳ 明朝" w:cs="ＭＳ 明朝"/>
    </w:rPr>
  </w:style>
  <w:style w:type="paragraph" w:customStyle="1" w:styleId="enfc">
    <w:name w:val="号細細分（en）"/>
    <w:basedOn w:val="jafc"/>
    <w:rsid w:val="00BD7723"/>
    <w:rPr>
      <w:rFonts w:ascii="Century" w:eastAsia="Century" w:hAnsi="Century" w:cs="Century"/>
    </w:rPr>
  </w:style>
  <w:style w:type="paragraph" w:customStyle="1" w:styleId="jafd">
    <w:name w:val="号細細分　番号なし（ja）"/>
    <w:basedOn w:val="a"/>
    <w:rsid w:val="00BD7723"/>
    <w:pPr>
      <w:widowControl w:val="0"/>
      <w:ind w:left="659"/>
    </w:pPr>
    <w:rPr>
      <w:rFonts w:ascii="ＭＳ 明朝" w:eastAsia="ＭＳ 明朝" w:hAnsi="ＭＳ 明朝" w:cs="ＭＳ 明朝"/>
    </w:rPr>
  </w:style>
  <w:style w:type="paragraph" w:customStyle="1" w:styleId="enfd">
    <w:name w:val="号細細分　番号なし（en）"/>
    <w:basedOn w:val="jafd"/>
    <w:rsid w:val="00BD7723"/>
    <w:rPr>
      <w:rFonts w:ascii="Century" w:eastAsia="Century" w:hAnsi="Century" w:cs="Century"/>
    </w:rPr>
  </w:style>
  <w:style w:type="paragraph" w:customStyle="1" w:styleId="jafe">
    <w:name w:val="備考号細細分（ja）"/>
    <w:basedOn w:val="a"/>
    <w:rsid w:val="00BD7723"/>
    <w:pPr>
      <w:widowControl w:val="0"/>
      <w:ind w:left="1319" w:hanging="439"/>
    </w:pPr>
    <w:rPr>
      <w:rFonts w:ascii="ＭＳ 明朝" w:eastAsia="ＭＳ 明朝" w:hAnsi="ＭＳ 明朝" w:cs="ＭＳ 明朝"/>
    </w:rPr>
  </w:style>
  <w:style w:type="paragraph" w:customStyle="1" w:styleId="enfe">
    <w:name w:val="備考号細細分（en）"/>
    <w:basedOn w:val="jafe"/>
    <w:rsid w:val="00BD7723"/>
    <w:rPr>
      <w:rFonts w:ascii="Century" w:eastAsia="Century" w:hAnsi="Century" w:cs="Century"/>
    </w:rPr>
  </w:style>
  <w:style w:type="paragraph" w:customStyle="1" w:styleId="jaff">
    <w:name w:val="号細細細分（ja）"/>
    <w:basedOn w:val="a"/>
    <w:rsid w:val="00BD7723"/>
    <w:pPr>
      <w:widowControl w:val="0"/>
      <w:ind w:left="1319" w:hanging="439"/>
    </w:pPr>
    <w:rPr>
      <w:rFonts w:ascii="ＭＳ 明朝" w:eastAsia="ＭＳ 明朝" w:hAnsi="ＭＳ 明朝" w:cs="ＭＳ 明朝"/>
    </w:rPr>
  </w:style>
  <w:style w:type="paragraph" w:customStyle="1" w:styleId="enff">
    <w:name w:val="号細細細分（en）"/>
    <w:basedOn w:val="jaff"/>
    <w:rsid w:val="00BD7723"/>
    <w:rPr>
      <w:rFonts w:ascii="Century" w:eastAsia="Century" w:hAnsi="Century" w:cs="Century"/>
    </w:rPr>
  </w:style>
  <w:style w:type="paragraph" w:customStyle="1" w:styleId="jaff0">
    <w:name w:val="号細細細分　番号なし（ja）"/>
    <w:basedOn w:val="a"/>
    <w:rsid w:val="00BD7723"/>
    <w:pPr>
      <w:widowControl w:val="0"/>
      <w:ind w:left="879"/>
    </w:pPr>
    <w:rPr>
      <w:rFonts w:ascii="ＭＳ 明朝" w:eastAsia="ＭＳ 明朝" w:hAnsi="ＭＳ 明朝" w:cs="ＭＳ 明朝"/>
    </w:rPr>
  </w:style>
  <w:style w:type="paragraph" w:customStyle="1" w:styleId="enff0">
    <w:name w:val="号細細細分　番号なし（en）"/>
    <w:basedOn w:val="jaff0"/>
    <w:rsid w:val="00BD7723"/>
    <w:rPr>
      <w:rFonts w:ascii="Century" w:eastAsia="Century" w:hAnsi="Century" w:cs="Century"/>
    </w:rPr>
  </w:style>
  <w:style w:type="paragraph" w:customStyle="1" w:styleId="jaff1">
    <w:name w:val="備考号細細細分（ja）"/>
    <w:basedOn w:val="a"/>
    <w:rsid w:val="00BD77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7723"/>
    <w:rPr>
      <w:rFonts w:ascii="Century" w:eastAsia="Century" w:hAnsi="Century" w:cs="Century"/>
    </w:rPr>
  </w:style>
  <w:style w:type="paragraph" w:customStyle="1" w:styleId="jaff2">
    <w:name w:val="類（ja）"/>
    <w:basedOn w:val="a"/>
    <w:rsid w:val="00BD7723"/>
    <w:pPr>
      <w:widowControl w:val="0"/>
      <w:ind w:left="439" w:hanging="219"/>
    </w:pPr>
    <w:rPr>
      <w:rFonts w:ascii="ＭＳ 明朝" w:eastAsia="ＭＳ 明朝" w:hAnsi="ＭＳ 明朝" w:cs="ＭＳ 明朝"/>
    </w:rPr>
  </w:style>
  <w:style w:type="paragraph" w:customStyle="1" w:styleId="enff2">
    <w:name w:val="類（en）"/>
    <w:basedOn w:val="jaff2"/>
    <w:rsid w:val="00BD7723"/>
    <w:rPr>
      <w:rFonts w:ascii="Century" w:eastAsia="Century" w:hAnsi="Century" w:cs="Century"/>
    </w:rPr>
  </w:style>
  <w:style w:type="paragraph" w:customStyle="1" w:styleId="jaff3">
    <w:name w:val="公布文（ja）"/>
    <w:basedOn w:val="a"/>
    <w:rsid w:val="00BD7723"/>
    <w:pPr>
      <w:widowControl w:val="0"/>
      <w:ind w:firstLine="219"/>
    </w:pPr>
    <w:rPr>
      <w:rFonts w:ascii="ＭＳ 明朝" w:eastAsia="ＭＳ 明朝" w:hAnsi="ＭＳ 明朝" w:cs="ＭＳ 明朝"/>
    </w:rPr>
  </w:style>
  <w:style w:type="paragraph" w:customStyle="1" w:styleId="enff3">
    <w:name w:val="公布文（en）"/>
    <w:basedOn w:val="jaff3"/>
    <w:rsid w:val="00BD7723"/>
    <w:rPr>
      <w:rFonts w:ascii="Century" w:eastAsia="Century" w:hAnsi="Century" w:cs="Century"/>
    </w:rPr>
  </w:style>
  <w:style w:type="paragraph" w:customStyle="1" w:styleId="jaen">
    <w:name w:val="表（ja：en）"/>
    <w:basedOn w:val="a"/>
    <w:rsid w:val="00BD7723"/>
    <w:pPr>
      <w:widowControl w:val="0"/>
      <w:snapToGrid w:val="0"/>
    </w:pPr>
    <w:rPr>
      <w:rFonts w:ascii="Century" w:eastAsia="ＭＳ 明朝" w:hAnsi="Century"/>
    </w:rPr>
  </w:style>
  <w:style w:type="paragraph" w:customStyle="1" w:styleId="jaff4">
    <w:name w:val="備考（ja）"/>
    <w:basedOn w:val="a"/>
    <w:rsid w:val="00BD7723"/>
    <w:pPr>
      <w:widowControl w:val="0"/>
      <w:ind w:left="439" w:hanging="219"/>
    </w:pPr>
    <w:rPr>
      <w:rFonts w:ascii="ＭＳ 明朝" w:eastAsia="ＭＳ 明朝" w:hAnsi="ＭＳ 明朝" w:cs="ＭＳ 明朝"/>
    </w:rPr>
  </w:style>
  <w:style w:type="paragraph" w:customStyle="1" w:styleId="enff4">
    <w:name w:val="備考（en）"/>
    <w:basedOn w:val="jaff4"/>
    <w:rsid w:val="00BD7723"/>
    <w:rPr>
      <w:rFonts w:ascii="Century" w:eastAsia="Century" w:hAnsi="Century" w:cs="Century"/>
    </w:rPr>
  </w:style>
  <w:style w:type="paragraph" w:customStyle="1" w:styleId="jaff5">
    <w:name w:val="表タイトル（ja）"/>
    <w:basedOn w:val="a"/>
    <w:rsid w:val="00BD7723"/>
    <w:pPr>
      <w:widowControl w:val="0"/>
      <w:ind w:left="219"/>
    </w:pPr>
    <w:rPr>
      <w:rFonts w:ascii="ＭＳ 明朝" w:eastAsia="ＭＳ 明朝" w:hAnsi="ＭＳ 明朝" w:cs="ＭＳ 明朝"/>
    </w:rPr>
  </w:style>
  <w:style w:type="paragraph" w:customStyle="1" w:styleId="enff5">
    <w:name w:val="表タイトル（en）"/>
    <w:basedOn w:val="jaff5"/>
    <w:rsid w:val="00BD7723"/>
    <w:rPr>
      <w:rFonts w:ascii="Century" w:eastAsia="Century" w:hAnsi="Century" w:cs="Century"/>
    </w:rPr>
  </w:style>
  <w:style w:type="paragraph" w:customStyle="1" w:styleId="jaff6">
    <w:name w:val="改正規定文（ja）"/>
    <w:basedOn w:val="a"/>
    <w:rsid w:val="00BD7723"/>
    <w:pPr>
      <w:widowControl w:val="0"/>
      <w:ind w:left="219" w:firstLine="219"/>
    </w:pPr>
    <w:rPr>
      <w:rFonts w:ascii="ＭＳ 明朝" w:eastAsia="ＭＳ 明朝" w:hAnsi="ＭＳ 明朝" w:cs="ＭＳ 明朝"/>
    </w:rPr>
  </w:style>
  <w:style w:type="paragraph" w:customStyle="1" w:styleId="enff6">
    <w:name w:val="改正規定文（en）"/>
    <w:basedOn w:val="jaff6"/>
    <w:rsid w:val="00BD7723"/>
    <w:rPr>
      <w:rFonts w:ascii="Century" w:eastAsia="Century" w:hAnsi="Century" w:cs="Century"/>
    </w:rPr>
  </w:style>
  <w:style w:type="paragraph" w:customStyle="1" w:styleId="jaff7">
    <w:name w:val="付記（ja）"/>
    <w:basedOn w:val="a"/>
    <w:rsid w:val="00BD7723"/>
    <w:pPr>
      <w:widowControl w:val="0"/>
      <w:ind w:left="219" w:firstLine="219"/>
    </w:pPr>
    <w:rPr>
      <w:rFonts w:ascii="ＭＳ 明朝" w:eastAsia="ＭＳ 明朝" w:hAnsi="ＭＳ 明朝" w:cs="ＭＳ 明朝"/>
    </w:rPr>
  </w:style>
  <w:style w:type="paragraph" w:customStyle="1" w:styleId="enff7">
    <w:name w:val="付記（en）"/>
    <w:basedOn w:val="jaff7"/>
    <w:rsid w:val="00BD7723"/>
    <w:rPr>
      <w:rFonts w:ascii="Century" w:eastAsia="Century" w:hAnsi="Century" w:cs="Century"/>
    </w:rPr>
  </w:style>
  <w:style w:type="paragraph" w:customStyle="1" w:styleId="jaff8">
    <w:name w:val="様式名（ja）"/>
    <w:basedOn w:val="a"/>
    <w:rsid w:val="00BD7723"/>
    <w:pPr>
      <w:widowControl w:val="0"/>
      <w:ind w:left="439" w:hanging="219"/>
    </w:pPr>
    <w:rPr>
      <w:rFonts w:ascii="ＭＳ 明朝" w:eastAsia="ＭＳ 明朝" w:hAnsi="ＭＳ 明朝" w:cs="ＭＳ 明朝"/>
    </w:rPr>
  </w:style>
  <w:style w:type="paragraph" w:customStyle="1" w:styleId="enff8">
    <w:name w:val="様式名（en）"/>
    <w:basedOn w:val="jaff8"/>
    <w:rsid w:val="00BD7723"/>
    <w:rPr>
      <w:rFonts w:ascii="Century" w:eastAsia="Century" w:hAnsi="Century" w:cs="Century"/>
    </w:rPr>
  </w:style>
  <w:style w:type="paragraph" w:customStyle="1" w:styleId="jaff9">
    <w:name w:val="様式項目（ja）"/>
    <w:basedOn w:val="a"/>
    <w:rsid w:val="00BD7723"/>
    <w:pPr>
      <w:widowControl w:val="0"/>
      <w:ind w:left="221" w:firstLine="221"/>
    </w:pPr>
    <w:rPr>
      <w:rFonts w:ascii="ＭＳ 明朝" w:eastAsia="ＭＳ 明朝" w:hAnsi="ＭＳ 明朝" w:cs="ＭＳ 明朝"/>
    </w:rPr>
  </w:style>
  <w:style w:type="paragraph" w:customStyle="1" w:styleId="enff9">
    <w:name w:val="様式項目（en）"/>
    <w:basedOn w:val="jaff9"/>
    <w:rsid w:val="00BD7723"/>
    <w:rPr>
      <w:rFonts w:ascii="Century" w:eastAsia="Century" w:hAnsi="Century" w:cs="Century"/>
    </w:rPr>
  </w:style>
  <w:style w:type="table" w:customStyle="1" w:styleId="1">
    <w:name w:val="表1"/>
    <w:rsid w:val="00BD7723"/>
    <w:tblPr>
      <w:tblInd w:w="340" w:type="dxa"/>
      <w:tblCellMar>
        <w:top w:w="0" w:type="dxa"/>
        <w:left w:w="0" w:type="dxa"/>
        <w:bottom w:w="0" w:type="dxa"/>
        <w:right w:w="0" w:type="dxa"/>
      </w:tblCellMar>
    </w:tblPr>
  </w:style>
  <w:style w:type="numbering" w:customStyle="1" w:styleId="WW8Num1">
    <w:name w:val="WW8Num1"/>
    <w:rsid w:val="00BD7723"/>
    <w:pPr>
      <w:numPr>
        <w:numId w:val="2"/>
      </w:numPr>
    </w:pPr>
  </w:style>
  <w:style w:type="numbering" w:customStyle="1" w:styleId="WW8Num2">
    <w:name w:val="WW8Num2"/>
    <w:rsid w:val="00BD7723"/>
    <w:pPr>
      <w:numPr>
        <w:numId w:val="3"/>
      </w:numPr>
    </w:pPr>
  </w:style>
  <w:style w:type="numbering" w:customStyle="1" w:styleId="WW8Num3">
    <w:name w:val="WW8Num3"/>
    <w:rsid w:val="00BD7723"/>
    <w:pPr>
      <w:numPr>
        <w:numId w:val="4"/>
      </w:numPr>
    </w:pPr>
  </w:style>
  <w:style w:type="numbering" w:customStyle="1" w:styleId="WW8Num4">
    <w:name w:val="WW8Num4"/>
    <w:rsid w:val="00BD7723"/>
    <w:pPr>
      <w:numPr>
        <w:numId w:val="5"/>
      </w:numPr>
    </w:pPr>
  </w:style>
  <w:style w:type="numbering" w:customStyle="1" w:styleId="WW8Num5">
    <w:name w:val="WW8Num5"/>
    <w:rsid w:val="00BD7723"/>
    <w:pPr>
      <w:numPr>
        <w:numId w:val="6"/>
      </w:numPr>
    </w:pPr>
  </w:style>
  <w:style w:type="numbering" w:customStyle="1" w:styleId="WW8Num6">
    <w:name w:val="WW8Num6"/>
    <w:rsid w:val="00BD7723"/>
    <w:pPr>
      <w:numPr>
        <w:numId w:val="7"/>
      </w:numPr>
    </w:pPr>
  </w:style>
  <w:style w:type="numbering" w:customStyle="1" w:styleId="WW8Num7">
    <w:name w:val="WW8Num7"/>
    <w:rsid w:val="00BD7723"/>
    <w:pPr>
      <w:numPr>
        <w:numId w:val="8"/>
      </w:numPr>
    </w:pPr>
  </w:style>
  <w:style w:type="numbering" w:customStyle="1" w:styleId="WW8Num8">
    <w:name w:val="WW8Num8"/>
    <w:rsid w:val="00BD7723"/>
    <w:pPr>
      <w:numPr>
        <w:numId w:val="9"/>
      </w:numPr>
    </w:pPr>
  </w:style>
  <w:style w:type="numbering" w:customStyle="1" w:styleId="WW8Num9">
    <w:name w:val="WW8Num9"/>
    <w:rsid w:val="00BD7723"/>
    <w:pPr>
      <w:numPr>
        <w:numId w:val="10"/>
      </w:numPr>
    </w:pPr>
  </w:style>
  <w:style w:type="numbering" w:customStyle="1" w:styleId="WW8Num10">
    <w:name w:val="WW8Num10"/>
    <w:rsid w:val="00BD7723"/>
    <w:pPr>
      <w:numPr>
        <w:numId w:val="11"/>
      </w:numPr>
    </w:pPr>
  </w:style>
  <w:style w:type="numbering" w:customStyle="1" w:styleId="WW8Num11">
    <w:name w:val="WW8Num11"/>
    <w:rsid w:val="00BD7723"/>
    <w:pPr>
      <w:numPr>
        <w:numId w:val="12"/>
      </w:numPr>
    </w:pPr>
  </w:style>
  <w:style w:type="numbering" w:customStyle="1" w:styleId="WW8Num12">
    <w:name w:val="WW8Num12"/>
    <w:rsid w:val="00BD7723"/>
    <w:pPr>
      <w:numPr>
        <w:numId w:val="13"/>
      </w:numPr>
    </w:pPr>
  </w:style>
  <w:style w:type="paragraph" w:styleId="a4">
    <w:name w:val="header"/>
    <w:basedOn w:val="a"/>
    <w:link w:val="a5"/>
    <w:uiPriority w:val="99"/>
    <w:unhideWhenUsed/>
    <w:rsid w:val="00267BDE"/>
    <w:pPr>
      <w:tabs>
        <w:tab w:val="center" w:pos="4252"/>
        <w:tab w:val="right" w:pos="8504"/>
      </w:tabs>
      <w:snapToGrid w:val="0"/>
    </w:pPr>
  </w:style>
  <w:style w:type="character" w:customStyle="1" w:styleId="a5">
    <w:name w:val="ヘッダー (文字)"/>
    <w:basedOn w:val="a0"/>
    <w:link w:val="a4"/>
    <w:uiPriority w:val="99"/>
    <w:rsid w:val="00267B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5211</Words>
  <Characters>29704</Characters>
  <Application>Microsoft Office Word</Application>
  <DocSecurity>0</DocSecurity>
  <Lines>247</Lines>
  <Paragraphs>69</Paragraphs>
  <ScaleCrop>false</ScaleCrop>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