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0DD" w:rsidRDefault="003F6F81">
      <w:pPr>
        <w:pStyle w:val="en"/>
      </w:pPr>
      <w:r>
        <w:t>Regulations for Enforcement of the Agricultural Chemicals Regulation Act</w:t>
      </w:r>
    </w:p>
    <w:p w:rsidR="009950DD" w:rsidRDefault="009950DD"/>
    <w:p w:rsidR="009950DD" w:rsidRDefault="003F6F81">
      <w:pPr>
        <w:pStyle w:val="enf"/>
      </w:pPr>
      <w:r>
        <w:t>(Order of the Ministry of Agriculture and Forestry No. 21 of April 20, 1951)</w:t>
      </w:r>
    </w:p>
    <w:p w:rsidR="009950DD" w:rsidRDefault="009950DD"/>
    <w:p w:rsidR="009950DD" w:rsidRDefault="003F6F81">
      <w:pPr>
        <w:pStyle w:val="ene"/>
      </w:pPr>
      <w:r>
        <w:t xml:space="preserve">In accordance with the Agricultural Chemicals Regulation Act (Act No. 82 of 1948), and in order to </w:t>
      </w:r>
      <w:r>
        <w:t>implement that Act, these Regulations for Enforcement of the Agricultural Chemicals Regulation Act are established as follows.</w:t>
      </w:r>
    </w:p>
    <w:p w:rsidR="009950DD" w:rsidRDefault="009950DD"/>
    <w:p w:rsidR="009950DD" w:rsidRDefault="003F6F81">
      <w:pPr>
        <w:pStyle w:val="ena"/>
      </w:pPr>
      <w:r>
        <w:t>(Format of Written Application for Registration)</w:t>
      </w:r>
    </w:p>
    <w:p w:rsidR="009950DD" w:rsidRDefault="003F6F81">
      <w:pPr>
        <w:pStyle w:val="enf3"/>
      </w:pPr>
      <w:r>
        <w:t>Article 1  The format of a written application that is submitted pursuant to Ar</w:t>
      </w:r>
      <w:r>
        <w:t>ticle 3, paragraph (2) of the Agricultural Chemicals Regulation Act (hereinafter referred to as "the Act") (including as applied mutatis mutandis pursuant to Article 34, paragraph (6) of the Act; the same applies in paragraph (1) of the following Article a</w:t>
      </w:r>
      <w:r>
        <w:t>nd Article 3) must be modeled after Appended Form 1.</w:t>
      </w:r>
    </w:p>
    <w:p w:rsidR="009950DD" w:rsidRDefault="009950DD"/>
    <w:p w:rsidR="009950DD" w:rsidRDefault="003F6F81">
      <w:pPr>
        <w:pStyle w:val="ena"/>
      </w:pPr>
      <w:r>
        <w:t>(Documents to Be Submitted)</w:t>
      </w:r>
    </w:p>
    <w:p w:rsidR="009950DD" w:rsidRDefault="003F6F81">
      <w:pPr>
        <w:pStyle w:val="enf3"/>
      </w:pPr>
      <w:r>
        <w:t>Article 2  (1) The documents prescribed by Order of the Ministry of Agriculture, Forestry and Fisheries that are referred to in Article 3, paragraph (2) of the Act are the fo</w:t>
      </w:r>
      <w:r>
        <w:t>llowing; provided, however, that if there are reasonable grounds that make the submission of some of the documents unnecessary considering the usage of the agricultural chemical to which the application pertains and other such particulars, the person is no</w:t>
      </w:r>
      <w:r>
        <w:t>t required to submit those documents:</w:t>
      </w:r>
    </w:p>
    <w:p w:rsidR="009950DD" w:rsidRDefault="003F6F81">
      <w:pPr>
        <w:pStyle w:val="enf6"/>
      </w:pPr>
      <w:r>
        <w:t>(i) test results on the composition of the agricultural chemical and the technical grade active ingredients;</w:t>
      </w:r>
    </w:p>
    <w:p w:rsidR="009950DD" w:rsidRDefault="003F6F81">
      <w:pPr>
        <w:pStyle w:val="enf6"/>
      </w:pPr>
      <w:r>
        <w:t>(ii) test results on stability, degradability and other physical and chemical properties;</w:t>
      </w:r>
    </w:p>
    <w:p w:rsidR="009950DD" w:rsidRDefault="003F6F81">
      <w:pPr>
        <w:pStyle w:val="enf6"/>
      </w:pPr>
      <w:r>
        <w:t xml:space="preserve">(iii) test results </w:t>
      </w:r>
      <w:r>
        <w:t>on efficacy on applicable pests or applicable crops, etc.;</w:t>
      </w:r>
    </w:p>
    <w:p w:rsidR="009950DD" w:rsidRDefault="003F6F81">
      <w:pPr>
        <w:pStyle w:val="enf6"/>
      </w:pPr>
      <w:r>
        <w:t>(iv) test results on phytotoxicity to crops, etc.;</w:t>
      </w:r>
    </w:p>
    <w:p w:rsidR="009950DD" w:rsidRDefault="003F6F81">
      <w:pPr>
        <w:pStyle w:val="enf6"/>
      </w:pPr>
      <w:r>
        <w:t>(v) the following test results related to the effects on humans:</w:t>
      </w:r>
    </w:p>
    <w:p w:rsidR="009950DD" w:rsidRDefault="003F6F81">
      <w:pPr>
        <w:pStyle w:val="enf9"/>
      </w:pPr>
      <w:r>
        <w:t>(a) test results on metabolism in animal bodies; and</w:t>
      </w:r>
    </w:p>
    <w:p w:rsidR="009950DD" w:rsidRDefault="003F6F81">
      <w:pPr>
        <w:pStyle w:val="enf9"/>
      </w:pPr>
      <w:r>
        <w:t>(b) test results on acute, s</w:t>
      </w:r>
      <w:r>
        <w:t>hort-term, and long-term toxicity, genotoxicity, carcinogenicity, reproductive toxicity, neurotoxicity, and other toxicity ;</w:t>
      </w:r>
    </w:p>
    <w:p w:rsidR="009950DD" w:rsidRDefault="003F6F81">
      <w:pPr>
        <w:pStyle w:val="enf6"/>
      </w:pPr>
      <w:r>
        <w:t>(vi) test results on metabolism in plant bodies and residues in crops, etc.;</w:t>
      </w:r>
    </w:p>
    <w:p w:rsidR="009950DD" w:rsidRDefault="003F6F81">
      <w:pPr>
        <w:pStyle w:val="enf6"/>
      </w:pPr>
      <w:r>
        <w:t>(vii) test results on metabolism in the bodies of live</w:t>
      </w:r>
      <w:r>
        <w:t>stock that produce edible meat, chicken eggs, or other such livestock products and residues in livestock products;</w:t>
      </w:r>
    </w:p>
    <w:p w:rsidR="009950DD" w:rsidRDefault="003F6F81">
      <w:pPr>
        <w:pStyle w:val="enf6"/>
      </w:pPr>
      <w:r>
        <w:t>(viii) test results on environmental fate and residues in soil;</w:t>
      </w:r>
    </w:p>
    <w:p w:rsidR="009950DD" w:rsidRDefault="003F6F81">
      <w:pPr>
        <w:pStyle w:val="enf6"/>
      </w:pPr>
      <w:r>
        <w:t>(ix) test results on effects on flora and fauna in the human living environme</w:t>
      </w:r>
      <w:r>
        <w:t xml:space="preserve">nt, </w:t>
      </w:r>
      <w:r>
        <w:lastRenderedPageBreak/>
        <w:t>and on livestock;</w:t>
      </w:r>
    </w:p>
    <w:p w:rsidR="009950DD" w:rsidRDefault="003F6F81">
      <w:pPr>
        <w:pStyle w:val="enf6"/>
      </w:pPr>
      <w:r>
        <w:t>(x) test results on the methods of analyzing specimens that were used in the tests that produced the results set forth in items (i) and (vi) through (viii); and</w:t>
      </w:r>
    </w:p>
    <w:p w:rsidR="009950DD" w:rsidRDefault="003F6F81">
      <w:pPr>
        <w:pStyle w:val="enf6"/>
      </w:pPr>
      <w:r>
        <w:t>(xi) other documents that the Minister of Agriculture, Forestry and Fishe</w:t>
      </w:r>
      <w:r>
        <w:t>ries finds to be necessary.</w:t>
      </w:r>
    </w:p>
    <w:p w:rsidR="009950DD" w:rsidRDefault="003F6F81">
      <w:pPr>
        <w:pStyle w:val="enf4"/>
      </w:pPr>
      <w:r>
        <w:t>(2) Beyond what is set forth in the items of the preceding paragraph, if the agricultural chemical to which the application pertains contains an active ingredient other than one that is contained in an agricultural chemical that</w:t>
      </w:r>
      <w:r>
        <w:t xml:space="preserve"> has been registered as referred to in Article 3, paragraph (1) or Article 34, paragraph (1) of the Act, or if the Minister of Agriculture, Forestry and Fisheries finds it to be necessary to do so, the Minister may ask for the submission of a sample of 200</w:t>
      </w:r>
      <w:r>
        <w:t xml:space="preserve"> grams or more of the agricultural chemical and an inspection document for that sample that is based on Appended Form 2.</w:t>
      </w:r>
    </w:p>
    <w:p w:rsidR="009950DD" w:rsidRDefault="009950DD"/>
    <w:p w:rsidR="009950DD" w:rsidRDefault="003F6F81">
      <w:pPr>
        <w:pStyle w:val="ena"/>
      </w:pPr>
      <w:r>
        <w:t>(Route of Written Applications for Registration)</w:t>
      </w:r>
    </w:p>
    <w:p w:rsidR="009950DD" w:rsidRDefault="003F6F81">
      <w:pPr>
        <w:pStyle w:val="enf3"/>
      </w:pPr>
      <w:r>
        <w:t xml:space="preserve">Article 3  The written application and documents that are submitted to the </w:t>
      </w:r>
      <w:r>
        <w:t>Minister of Agriculture, Forestry and Fisheries pursuant to Article 3, paragraph (2) of the Act may be submitted via the Food and Agricultural Materials Inspection Center (hereinafter referred to as "the Center".)</w:t>
      </w:r>
    </w:p>
    <w:p w:rsidR="009950DD" w:rsidRDefault="009950DD"/>
    <w:p w:rsidR="009950DD" w:rsidRDefault="003F6F81">
      <w:pPr>
        <w:pStyle w:val="ena"/>
      </w:pPr>
      <w:r>
        <w:t xml:space="preserve">(Omitting Documents That Are Required to </w:t>
      </w:r>
      <w:r>
        <w:t>Be Submitted)</w:t>
      </w:r>
    </w:p>
    <w:p w:rsidR="009950DD" w:rsidRDefault="003F6F81">
      <w:pPr>
        <w:pStyle w:val="enf3"/>
      </w:pPr>
      <w:r>
        <w:t>Article 4  (1) It is permissible to omit the following documents as under Article 3, paragraph (3) of the Act (including as applied mutatis mutandis pursuant to Article 34, paragraph (6) of the Act; the same applies in the following paragraph</w:t>
      </w:r>
      <w:r>
        <w:t>) if, judging from the submitted documents, the technical grade active ingredient of the agricultural chemical to which the application pertains is recognized as being equivalent to that of an agricultural chemical that has already been registered as refer</w:t>
      </w:r>
      <w:r>
        <w:t xml:space="preserve">red to in Article 3, paragraph (1) or Article 34, paragraph (1) of the Act (but only one that has been registered for fifteen years or more; hereinafter referred to as an "agricultural chemical that is already registered" in this Article), in terms of its </w:t>
      </w:r>
      <w:r>
        <w:t>ingredients and the severity of its toxicity:</w:t>
      </w:r>
    </w:p>
    <w:p w:rsidR="009950DD" w:rsidRDefault="003F6F81">
      <w:pPr>
        <w:pStyle w:val="enf6"/>
      </w:pPr>
      <w:r>
        <w:t>(i) documents set forth in Article 2, paragraph (1), item (ii) (limited to those concerning hydrolyzability and aquatic photodegradability), and documents set forth in item (v), (a) and items (vi) through (viii</w:t>
      </w:r>
      <w:r>
        <w:t>) of that paragraph (but only if it has been fifteen years or more since the corresponding documents concerning the agricultural chemical that is already registered were submitted, and the documents concerning the agricultural chemical that is already regi</w:t>
      </w:r>
      <w:r>
        <w:t xml:space="preserve">stered are recognized as being sufficient to allow the examination referred to in Article 3, paragraph (4) of the Act (including as </w:t>
      </w:r>
      <w:r>
        <w:lastRenderedPageBreak/>
        <w:t>applied mutatis mutandis pursuant to Article 34, paragraph (6) of the Act; the same applies in the following item)); and</w:t>
      </w:r>
    </w:p>
    <w:p w:rsidR="009950DD" w:rsidRDefault="003F6F81">
      <w:pPr>
        <w:pStyle w:val="enf6"/>
      </w:pPr>
      <w:r>
        <w:t>(ii</w:t>
      </w:r>
      <w:r>
        <w:t xml:space="preserve">) documents set forth in Article 2, paragraph (1), item (v), (b) and item (ix) from tests that were performed using technical grade active ingredients (but only if it has been fifteen years or more since corresponding documents concerning the agricultural </w:t>
      </w:r>
      <w:r>
        <w:t>chemical that is already registered were submitted, and the documents concerning the agricultural chemical that is already registered are recognized as being sufficient to allow the examination referred to in Article 3, paragraph (4) of the Act).</w:t>
      </w:r>
    </w:p>
    <w:p w:rsidR="009950DD" w:rsidRDefault="003F6F81">
      <w:pPr>
        <w:pStyle w:val="enf4"/>
      </w:pPr>
      <w:r>
        <w:t>(2) A per</w:t>
      </w:r>
      <w:r>
        <w:t>son that wishes to omit documents pursuant to Article 3, paragraph (3) of the Act must submit a written request modeled after Appended Form 3.</w:t>
      </w:r>
    </w:p>
    <w:p w:rsidR="009950DD" w:rsidRDefault="003F6F81">
      <w:pPr>
        <w:pStyle w:val="enf4"/>
      </w:pPr>
      <w:r>
        <w:t>(3) The written request referred to in the preceding paragraph may be submitted via the Center.</w:t>
      </w:r>
    </w:p>
    <w:p w:rsidR="009950DD" w:rsidRDefault="009950DD"/>
    <w:p w:rsidR="009950DD" w:rsidRDefault="003F6F81">
      <w:pPr>
        <w:pStyle w:val="ena"/>
      </w:pPr>
      <w:r>
        <w:t>(Operations Rela</w:t>
      </w:r>
      <w:r>
        <w:t>ted to Examinations at the Center)</w:t>
      </w:r>
    </w:p>
    <w:p w:rsidR="009950DD" w:rsidRDefault="003F6F81">
      <w:pPr>
        <w:pStyle w:val="enf3"/>
      </w:pPr>
      <w:r>
        <w:t xml:space="preserve">Article 5  (1) The Center is to investigate the ingredients, physical and chemical properties, efficacy, phytotoxicity, toxicity to humans and animals, and other such characteristics of agricultural chemicals, as well as </w:t>
      </w:r>
      <w:r>
        <w:t>the reliability of analysis, tests, and test results, as operations related to the examination prescribed in Article 3, paragraph (5) of the Act (including as applied mutatis mutandis pursuant to Article 34, paragraph (6) of the Act).</w:t>
      </w:r>
    </w:p>
    <w:p w:rsidR="009950DD" w:rsidRDefault="003F6F81">
      <w:pPr>
        <w:pStyle w:val="enf4"/>
      </w:pPr>
      <w:r>
        <w:t>(2) When the Center h</w:t>
      </w:r>
      <w:r>
        <w:t>as carried out the operations prescribed in the preceding paragraph, it must report the results of those operations to the Minister of Agriculture, Forestry and Fisheries without delay, using a written report of results modeled after Appended Form 4.</w:t>
      </w:r>
    </w:p>
    <w:p w:rsidR="009950DD" w:rsidRDefault="009950DD"/>
    <w:p w:rsidR="009950DD" w:rsidRDefault="003F6F81">
      <w:pPr>
        <w:pStyle w:val="ena"/>
      </w:pPr>
      <w:r>
        <w:t>(Pay</w:t>
      </w:r>
      <w:r>
        <w:t>ment Method for Fees)</w:t>
      </w:r>
    </w:p>
    <w:p w:rsidR="009950DD" w:rsidRDefault="003F6F81">
      <w:pPr>
        <w:pStyle w:val="enf3"/>
      </w:pPr>
      <w:r>
        <w:t>Article 6  The fees under Article 3, paragraph (8) of the Act (including as applied mutatis mutandis pursuant to Article 34, paragraph (6) of the Act); Article 5, paragraph (4) of the Act (including as applied mutatis mutandis pursuan</w:t>
      </w:r>
      <w:r>
        <w:t>t to Article 6, paragraph (4) (including as applied mutatis mutandis pursuant to Article 34, paragraph (6) of the Act) and Article 34, paragraph (6) of the Act); and Article 7, paragraph (6) and Article 8, paragraph (7) of the Act (including as are applied</w:t>
      </w:r>
      <w:r>
        <w:t xml:space="preserve"> mutatis mutandis pursuant to Article 34, paragraph (6) of the Act) must be paid with revenue stamps.</w:t>
      </w:r>
    </w:p>
    <w:p w:rsidR="009950DD" w:rsidRDefault="009950DD"/>
    <w:p w:rsidR="009950DD" w:rsidRDefault="003F6F81">
      <w:pPr>
        <w:pStyle w:val="ena"/>
      </w:pPr>
      <w:r>
        <w:t>(Route for the Issuance of Registration Certificates)</w:t>
      </w:r>
    </w:p>
    <w:p w:rsidR="009950DD" w:rsidRDefault="003F6F81">
      <w:pPr>
        <w:pStyle w:val="enf3"/>
      </w:pPr>
      <w:r>
        <w:t>Article 7  The issuance of a registration certificate under Article 3, paragraph (9) of the Act (in</w:t>
      </w:r>
      <w:r>
        <w:t>cluding as applied mutatis mutandis pursuant to Article 34, paragraph (6) of the Act; the same applies in Article 14, paragraph (2), item (v)) is to be done via the Center.</w:t>
      </w:r>
    </w:p>
    <w:p w:rsidR="009950DD" w:rsidRDefault="009950DD"/>
    <w:p w:rsidR="009950DD" w:rsidRDefault="003F6F81">
      <w:pPr>
        <w:pStyle w:val="ena"/>
      </w:pPr>
      <w:r>
        <w:t>(Notification Procedures for a Person That Has Succeeded to Another Person's Statu</w:t>
      </w:r>
      <w:r>
        <w:t>s)</w:t>
      </w:r>
    </w:p>
    <w:p w:rsidR="009950DD" w:rsidRDefault="003F6F81">
      <w:pPr>
        <w:pStyle w:val="enf3"/>
      </w:pPr>
      <w:r>
        <w:t>Article 8  (1) The relevant person must file a notification and apply for the issuance of a revised registration certificate or a new registration certificate under Article 5, paragraph (3) of the Act (including as applied mutatis mutandis pursuant to A</w:t>
      </w:r>
      <w:r>
        <w:t>rticle 34, paragraph (6) of the Act; the same applies in paragraph (3)) by submitting a written notification and application that is based on Appended Form 5.</w:t>
      </w:r>
    </w:p>
    <w:p w:rsidR="009950DD" w:rsidRDefault="003F6F81">
      <w:pPr>
        <w:pStyle w:val="enf4"/>
      </w:pPr>
      <w:r>
        <w:t>(2) The written application referred to in the preceding paragraph may be submitted via the Cente</w:t>
      </w:r>
      <w:r>
        <w:t>r.</w:t>
      </w:r>
    </w:p>
    <w:p w:rsidR="009950DD" w:rsidRDefault="003F6F81">
      <w:pPr>
        <w:pStyle w:val="enf4"/>
      </w:pPr>
      <w:r>
        <w:t>(3) The issuance of a revised registration certificate under Article 5, paragraph (3) of the Act or of a registration certificate under those provisions is to be done via the Center.</w:t>
      </w:r>
    </w:p>
    <w:p w:rsidR="009950DD" w:rsidRDefault="009950DD"/>
    <w:p w:rsidR="009950DD" w:rsidRDefault="003F6F81">
      <w:pPr>
        <w:pStyle w:val="ena"/>
      </w:pPr>
      <w:r>
        <w:t>(Manner in Which Registration Certificates Are Kept at a Manufacturin</w:t>
      </w:r>
      <w:r>
        <w:t>g Plant or Office)</w:t>
      </w:r>
    </w:p>
    <w:p w:rsidR="009950DD" w:rsidRDefault="003F6F81">
      <w:pPr>
        <w:pStyle w:val="enf3"/>
      </w:pPr>
      <w:r>
        <w:t>Article 9  The relevant person must keep a registration certificate or a copy of it at the manufacturing plant or office under Article 6, paragraph (1) of the Act (including as applied mutatis mutandis pursuant to Article 34, paragraph (</w:t>
      </w:r>
      <w:r>
        <w:t>6) of the Act) in a way that makes it easy for people to inspect that certificate or copy.</w:t>
      </w:r>
    </w:p>
    <w:p w:rsidR="009950DD" w:rsidRDefault="009950DD"/>
    <w:p w:rsidR="009950DD" w:rsidRDefault="003F6F81">
      <w:pPr>
        <w:pStyle w:val="ena"/>
      </w:pPr>
      <w:r>
        <w:t>(Notification Procedures for a Person That Has Been Registered)</w:t>
      </w:r>
    </w:p>
    <w:p w:rsidR="009950DD" w:rsidRDefault="003F6F81">
      <w:pPr>
        <w:pStyle w:val="enf3"/>
      </w:pPr>
      <w:r>
        <w:t xml:space="preserve">Article 10  (1) A person must file the notification under Article 6, paragraph (2) of the Act </w:t>
      </w:r>
      <w:r>
        <w:t>(including as applied mutatis mutandis pursuant to Article 34, paragraph (6) of the Act; hereinafter the same applies in this paragraph and paragraph (6)) by submitting a written notification that is based on Appended Form 6; provided, however, that if a m</w:t>
      </w:r>
      <w:r>
        <w:t>atter that has changed falls under the category of a piece of information that is stated in a registration certificate, a person must file the notification and apply to be issued a revised registration certificate as under Article 6, paragraph (2) of the A</w:t>
      </w:r>
      <w:r>
        <w:t>ct by submitting a written notification and application that is based on Appended Form 7, accompanied by the registration certificate.</w:t>
      </w:r>
    </w:p>
    <w:p w:rsidR="009950DD" w:rsidRDefault="003F6F81">
      <w:pPr>
        <w:pStyle w:val="enf4"/>
      </w:pPr>
      <w:r>
        <w:t>(2) A person must file the notification and application for reissuance under Article 6, paragraph (3) of the Act (includi</w:t>
      </w:r>
      <w:r>
        <w:t>ng as applied mutatis mutandis pursuant to Article 34, paragraph (6) of the Act; the same applies in paragraph (6)) by submitting a written application for reissuance that is based on Appended Form 8.</w:t>
      </w:r>
    </w:p>
    <w:p w:rsidR="009950DD" w:rsidRDefault="003F6F81">
      <w:pPr>
        <w:pStyle w:val="enf4"/>
      </w:pPr>
      <w:r>
        <w:t>(3) A person must file the notification under Article 6</w:t>
      </w:r>
      <w:r>
        <w:t>, paragraph (5) of the Act (including as applied mutatis mutandis pursuant to Article 34, paragraph (6) of the Act) by submitting a written notification that is based on Appended Form 9.</w:t>
      </w:r>
    </w:p>
    <w:p w:rsidR="009950DD" w:rsidRDefault="003F6F81">
      <w:pPr>
        <w:pStyle w:val="enf4"/>
      </w:pPr>
      <w:r>
        <w:t>(4) A person must file the notification under Article 6, paragraph (6</w:t>
      </w:r>
      <w:r>
        <w:t>) of the Act (including as applied mutatis mutandis pursuant to Article 34, paragraph (6) of the Act) by submitting a written notification that is based on Appended Form 10.</w:t>
      </w:r>
    </w:p>
    <w:p w:rsidR="009950DD" w:rsidRDefault="003F6F81">
      <w:pPr>
        <w:pStyle w:val="enf4"/>
      </w:pPr>
      <w:r>
        <w:t>(5) The written application referred to in paragraph (1) or (2) may be submitted v</w:t>
      </w:r>
      <w:r>
        <w:t>ia the Center.</w:t>
      </w:r>
    </w:p>
    <w:p w:rsidR="009950DD" w:rsidRDefault="003F6F81">
      <w:pPr>
        <w:pStyle w:val="enf4"/>
      </w:pPr>
      <w:r>
        <w:t>(6) The issuance of a revised registration certificate under Article 6, paragraph (2) of the Act and the reissuance of a registration certificate under paragraph (3) of that Article are to be done via the Center.</w:t>
      </w:r>
    </w:p>
    <w:p w:rsidR="009950DD" w:rsidRDefault="009950DD"/>
    <w:p w:rsidR="009950DD" w:rsidRDefault="003F6F81">
      <w:pPr>
        <w:pStyle w:val="ena"/>
      </w:pPr>
      <w:r>
        <w:t>(Applying to Register a Cha</w:t>
      </w:r>
      <w:r>
        <w:t>nge)</w:t>
      </w:r>
    </w:p>
    <w:p w:rsidR="009950DD" w:rsidRDefault="003F6F81">
      <w:pPr>
        <w:pStyle w:val="enf3"/>
      </w:pPr>
      <w:r>
        <w:t xml:space="preserve">Article 11  (1) The matters prescribed by Order of the Ministry of Agriculture, Forestry and Fisheries that are referred to in Article 7, paragraph (1) of the Act (including as applied mutatis mutandis pursuant to Article 34, paragraph (6) of the </w:t>
      </w:r>
      <w:r>
        <w:t>Act; hereinafter the same applies in this Article) are the following:</w:t>
      </w:r>
    </w:p>
    <w:p w:rsidR="009950DD" w:rsidRDefault="003F6F81">
      <w:pPr>
        <w:pStyle w:val="enf6"/>
      </w:pPr>
      <w:r>
        <w:t>(i) the person's name (or, if the person is a corporation, its name and the name of its representative; the same applies in Article 19, paragraph (2), item (i)) and address;</w:t>
      </w:r>
    </w:p>
    <w:p w:rsidR="009950DD" w:rsidRDefault="003F6F81">
      <w:pPr>
        <w:pStyle w:val="enf6"/>
      </w:pPr>
      <w:r>
        <w:t>(ii) the reg</w:t>
      </w:r>
      <w:r>
        <w:t>istration number and name of the agricultural chemical;</w:t>
      </w:r>
    </w:p>
    <w:p w:rsidR="009950DD" w:rsidRDefault="003F6F81">
      <w:pPr>
        <w:pStyle w:val="enf6"/>
      </w:pPr>
      <w:r>
        <w:t>(iii) the substance of the change; and</w:t>
      </w:r>
    </w:p>
    <w:p w:rsidR="009950DD" w:rsidRDefault="003F6F81">
      <w:pPr>
        <w:pStyle w:val="enf6"/>
      </w:pPr>
      <w:r>
        <w:t>(iv) if applicable, an indication that the change causes a change in a particular that is required to be stated in a written application for registration of an a</w:t>
      </w:r>
      <w:r>
        <w:t>gricultural chemical, and the substance of this.</w:t>
      </w:r>
    </w:p>
    <w:p w:rsidR="009950DD" w:rsidRDefault="003F6F81">
      <w:pPr>
        <w:pStyle w:val="enf4"/>
      </w:pPr>
      <w:r>
        <w:t>(2) A person must file the application to register a change under Article 7, paragraph (1) of the Act by submitting a written application that is based on Appended Form 11.</w:t>
      </w:r>
    </w:p>
    <w:p w:rsidR="009950DD" w:rsidRDefault="003F6F81">
      <w:pPr>
        <w:pStyle w:val="enf4"/>
      </w:pPr>
      <w:r>
        <w:t>(3) The documents prescribed by Or</w:t>
      </w:r>
      <w:r>
        <w:t>der of the Ministry of Agriculture, Forestry and Fisheries that are referred to in Article 7, paragraph (1) of the Act are those set forth in the items of Article 2, paragraph (1) which relate to the substance of the change to which the application under A</w:t>
      </w:r>
      <w:r>
        <w:t>rticle 7, paragraph (1) of the Act pertains; provided, however, that if there are reasonable grounds that make the submission of a part of the documents unnecessary considering the usage of the agricultural chemical to which the application pertains and ot</w:t>
      </w:r>
      <w:r>
        <w:t>her such particulars, the person is not required to submit those documents.</w:t>
      </w:r>
    </w:p>
    <w:p w:rsidR="009950DD" w:rsidRDefault="003F6F81">
      <w:pPr>
        <w:pStyle w:val="enf4"/>
      </w:pPr>
      <w:r>
        <w:t>(4) The provisions of Articles 3, 5, and 7 apply mutatis mutandis to the registration of a change under Article 7, paragraph (1) of the Act.</w:t>
      </w:r>
    </w:p>
    <w:p w:rsidR="009950DD" w:rsidRDefault="009950DD"/>
    <w:p w:rsidR="009950DD" w:rsidRDefault="003F6F81">
      <w:pPr>
        <w:pStyle w:val="ena"/>
      </w:pPr>
      <w:r>
        <w:t>(Applying for a Reevaluation)</w:t>
      </w:r>
    </w:p>
    <w:p w:rsidR="009950DD" w:rsidRDefault="003F6F81">
      <w:pPr>
        <w:pStyle w:val="enf3"/>
      </w:pPr>
      <w:r>
        <w:t xml:space="preserve">Article </w:t>
      </w:r>
      <w:r>
        <w:t>12  (1) A person seeking to undergo a reevaluation under Article 8, paragraph (1) of the Act (including as applied mutatis mutandis pursuant to Article 34, paragraph (6) of the Act; the same applies in the following paragraph) must submit a written notific</w:t>
      </w:r>
      <w:r>
        <w:t>ation that is based on Appended Form 12 at the time of submitting the documents referred to in Article 8, paragraph (3) of the Act (including as applied mutatis mutandis pursuant to Article 34, paragraph (6) of the Act).</w:t>
      </w:r>
    </w:p>
    <w:p w:rsidR="009950DD" w:rsidRDefault="003F6F81">
      <w:pPr>
        <w:pStyle w:val="enf4"/>
      </w:pPr>
      <w:r>
        <w:t>(2) The provisions of Articles 3, 5</w:t>
      </w:r>
      <w:r>
        <w:t>, and 7 apply mutatis mutandis to a reevaluation under Article 8, paragraph (1) of the Act.</w:t>
      </w:r>
    </w:p>
    <w:p w:rsidR="009950DD" w:rsidRDefault="009950DD"/>
    <w:p w:rsidR="009950DD" w:rsidRDefault="003F6F81">
      <w:pPr>
        <w:pStyle w:val="ena"/>
      </w:pPr>
      <w:r>
        <w:t>(Reevaluation Implementation Period)</w:t>
      </w:r>
    </w:p>
    <w:p w:rsidR="009950DD" w:rsidRDefault="003F6F81">
      <w:pPr>
        <w:pStyle w:val="enf3"/>
      </w:pPr>
      <w:r>
        <w:t>Article 13  The period specified by Order of the Ministry of Agriculture, Forestry and Fisheries that is referred to in Articl</w:t>
      </w:r>
      <w:r>
        <w:t>e 8, paragraph (2) of the Act (including as applied mutatis mutandis pursuant to Article 34, paragraph (6) of the Act) is fifteen years.</w:t>
      </w:r>
    </w:p>
    <w:p w:rsidR="009950DD" w:rsidRDefault="009950DD"/>
    <w:p w:rsidR="009950DD" w:rsidRDefault="003F6F81">
      <w:pPr>
        <w:pStyle w:val="ena"/>
      </w:pPr>
      <w:r>
        <w:t>(Method of Labeling Agricultural Chemicals)</w:t>
      </w:r>
    </w:p>
    <w:p w:rsidR="009950DD" w:rsidRDefault="003F6F81">
      <w:pPr>
        <w:pStyle w:val="enf3"/>
      </w:pPr>
      <w:r>
        <w:t>Article 14  (1) The labeling under Article 16 of the Act (including as app</w:t>
      </w:r>
      <w:r>
        <w:t>lied mutatis mutandis pursuant to Article 34, paragraph (6) of the Act; hereinafter the same applies in this Article) must be done in terms that are easy for users of the agricultural chemical to read and understand, and the person in question must label t</w:t>
      </w:r>
      <w:r>
        <w:t xml:space="preserve">he agricultural chemical by printing the matters to be indicated pursuant to Article 16 of the Act (hereinafter referred to as the "labeling information") on the container of the chemical or by affixing a label onto which the labeling information has been </w:t>
      </w:r>
      <w:r>
        <w:t>printed to that container (or to the packaging, if the chemical is sold without a container; the same applies hereinafter); provided, however, that if it is difficult to print all the labeling information on the container or to affix a label onto which all</w:t>
      </w:r>
      <w:r>
        <w:t xml:space="preserve"> the labeling information has been printed to the container, the person in question may label the agricultural chemical with the part of the labeling information that is set forth in items (iv) through (ix) of that Article by attaching a document onto whic</w:t>
      </w:r>
      <w:r>
        <w:t>h this has been printed to the container of the agricultural chemical.</w:t>
      </w:r>
    </w:p>
    <w:p w:rsidR="009950DD" w:rsidRDefault="003F6F81">
      <w:pPr>
        <w:pStyle w:val="enf4"/>
      </w:pPr>
      <w:r>
        <w:t>(2) The person in question must label the agricultural chemical with the usage that the registration is for as referred to in Article 16, item (iv) of the Act by giving the following pa</w:t>
      </w:r>
      <w:r>
        <w:t>rticulars for each type of applicable crop, etc.:</w:t>
      </w:r>
    </w:p>
    <w:p w:rsidR="009950DD" w:rsidRDefault="003F6F81">
      <w:pPr>
        <w:pStyle w:val="enf6"/>
      </w:pPr>
      <w:r>
        <w:t>(i) the maximum and minimum amounts to be used per unit area;</w:t>
      </w:r>
    </w:p>
    <w:p w:rsidR="009950DD" w:rsidRDefault="003F6F81">
      <w:pPr>
        <w:pStyle w:val="enf6"/>
      </w:pPr>
      <w:r>
        <w:t>(ii) the maximum and minimum dilutions ("dilution" refers to the multiple by which an agricultural chemical is diluted);</w:t>
      </w:r>
    </w:p>
    <w:p w:rsidR="009950DD" w:rsidRDefault="003F6F81">
      <w:pPr>
        <w:pStyle w:val="enf6"/>
      </w:pPr>
      <w:r>
        <w:t xml:space="preserve">(iii) timing of </w:t>
      </w:r>
      <w:r>
        <w:t>use;</w:t>
      </w:r>
    </w:p>
    <w:p w:rsidR="009950DD" w:rsidRDefault="003F6F81">
      <w:pPr>
        <w:pStyle w:val="enf6"/>
      </w:pPr>
      <w:r>
        <w:t>(iv) total number of times that the agricultural chemical may be used during the period from the sowing or planting of seeds and seedlings used for producing crops, etc. (including during preparation for sowing or planting them; or from the time of th</w:t>
      </w:r>
      <w:r>
        <w:t>e preceding harvest, for fruit trees, tea plants, and other plants that are harvested multiple times) to the harvesting of the crops, etc. (referred to as the "growing period" in the following item);</w:t>
      </w:r>
    </w:p>
    <w:p w:rsidR="009950DD" w:rsidRDefault="003F6F81">
      <w:pPr>
        <w:pStyle w:val="enf6"/>
      </w:pPr>
      <w:r>
        <w:t xml:space="preserve">(v) the total number of permitted uses for each type of </w:t>
      </w:r>
      <w:r>
        <w:t>active ingredient that the agricultural chemical contains (meaning the total number of times that an agricultural chemical containing the relevant active ingredient may be used during the growing period; this refers to the total numbers of permitted uses i</w:t>
      </w:r>
      <w:r>
        <w:t>n each separate category, if the registration certificate prescribed in Article 3, paragraph (9) of the Act states the total number of permitted uses separately for each timing or mode of use);</w:t>
      </w:r>
    </w:p>
    <w:p w:rsidR="009950DD" w:rsidRDefault="003F6F81">
      <w:pPr>
        <w:pStyle w:val="enf6"/>
      </w:pPr>
      <w:r>
        <w:t>(vi) the modes of use, such as spraying or mixing; and</w:t>
      </w:r>
    </w:p>
    <w:p w:rsidR="009950DD" w:rsidRDefault="003F6F81">
      <w:pPr>
        <w:pStyle w:val="enf6"/>
      </w:pPr>
      <w:r>
        <w:t>(vii) t</w:t>
      </w:r>
      <w:r>
        <w:t>he necessary particulars related to the usage of the agricultural chemical, beyond what is set forth in the preceding items.</w:t>
      </w:r>
    </w:p>
    <w:p w:rsidR="009950DD" w:rsidRDefault="009950DD"/>
    <w:p w:rsidR="009950DD" w:rsidRDefault="003F6F81">
      <w:pPr>
        <w:pStyle w:val="ena"/>
      </w:pPr>
      <w:r>
        <w:t>(Form for Sellers' Notifications)</w:t>
      </w:r>
    </w:p>
    <w:p w:rsidR="009950DD" w:rsidRDefault="003F6F81">
      <w:pPr>
        <w:pStyle w:val="enf3"/>
      </w:pPr>
      <w:r>
        <w:t>Article 15  A person must file the notification under Article 17, paragraph (1) of the Act by su</w:t>
      </w:r>
      <w:r>
        <w:t>bmitting a written notification that is based on Appended Form 13.</w:t>
      </w:r>
    </w:p>
    <w:p w:rsidR="009950DD" w:rsidRDefault="009950DD"/>
    <w:p w:rsidR="009950DD" w:rsidRDefault="003F6F81">
      <w:pPr>
        <w:pStyle w:val="ena"/>
      </w:pPr>
      <w:r>
        <w:t>(Preservation of Books by Manufacturers)</w:t>
      </w:r>
    </w:p>
    <w:p w:rsidR="009950DD" w:rsidRDefault="003F6F81">
      <w:pPr>
        <w:pStyle w:val="enf3"/>
      </w:pPr>
      <w:r>
        <w:t>Article 16  (1) The persons specified by Order of the Ministry of Agriculture, Forestry and Fisheries that are referred to in Article 20 of the Act</w:t>
      </w:r>
      <w:r>
        <w:t xml:space="preserve"> are those that manufacture, process, or import agricultural chemicals for the purpose of testing and research.</w:t>
      </w:r>
    </w:p>
    <w:p w:rsidR="009950DD" w:rsidRDefault="003F6F81">
      <w:pPr>
        <w:pStyle w:val="enf4"/>
      </w:pPr>
      <w:r>
        <w:t>(2) A person must preserve the books referred to in Article 20 of the Act for a three-year period following the date of the final entry.</w:t>
      </w:r>
    </w:p>
    <w:p w:rsidR="009950DD" w:rsidRDefault="009950DD"/>
    <w:p w:rsidR="009950DD" w:rsidRDefault="003F6F81">
      <w:pPr>
        <w:pStyle w:val="ena"/>
      </w:pPr>
      <w:r>
        <w:t>(Metho</w:t>
      </w:r>
      <w:r>
        <w:t>d of Labeling Herbicides)</w:t>
      </w:r>
    </w:p>
    <w:p w:rsidR="009950DD" w:rsidRDefault="003F6F81">
      <w:pPr>
        <w:pStyle w:val="enf3"/>
      </w:pPr>
      <w:r>
        <w:t>Article 17  (1) A person must label an herbicide under Article 22, paragraph (1) of the Act using a method that falls under all of the following items:</w:t>
      </w:r>
    </w:p>
    <w:p w:rsidR="009950DD" w:rsidRDefault="003F6F81">
      <w:pPr>
        <w:pStyle w:val="enf6"/>
      </w:pPr>
      <w:r>
        <w:t>(i) the person prints an indication that the herbicide cannot be used as an ag</w:t>
      </w:r>
      <w:r>
        <w:t>ricultural chemical onto the container or packaging, or affixes a label onto which an indication of this has been printed to the container or packaging;</w:t>
      </w:r>
    </w:p>
    <w:p w:rsidR="009950DD" w:rsidRDefault="003F6F81">
      <w:pPr>
        <w:pStyle w:val="enf6"/>
      </w:pPr>
      <w:r>
        <w:t>(ii) the characters used to label it are of a clearly legible size and style, for the volume of the con</w:t>
      </w:r>
      <w:r>
        <w:t>tainer or the dimensions of the packaging; and</w:t>
      </w:r>
    </w:p>
    <w:p w:rsidR="009950DD" w:rsidRDefault="003F6F81">
      <w:pPr>
        <w:pStyle w:val="enf6"/>
      </w:pPr>
      <w:r>
        <w:t>(iii) there is a clear color contrast between characters used to label it and either the container or packaging or the label, making those characters clearly legible.</w:t>
      </w:r>
    </w:p>
    <w:p w:rsidR="009950DD" w:rsidRDefault="003F6F81">
      <w:pPr>
        <w:pStyle w:val="enf4"/>
      </w:pPr>
      <w:r>
        <w:t>(2) A person must label an herbicide under</w:t>
      </w:r>
      <w:r>
        <w:t xml:space="preserve"> Article 22, paragraph (2) of the Act using a method that falls under all of the following items:</w:t>
      </w:r>
    </w:p>
    <w:p w:rsidR="009950DD" w:rsidRDefault="003F6F81">
      <w:pPr>
        <w:pStyle w:val="enf6"/>
      </w:pPr>
      <w:r>
        <w:t>(i) the characters used to label it are clearly legible in size and style; and</w:t>
      </w:r>
    </w:p>
    <w:p w:rsidR="009950DD" w:rsidRDefault="003F6F81">
      <w:pPr>
        <w:pStyle w:val="enf6"/>
      </w:pPr>
      <w:r>
        <w:t>(ii) there is a clear color contrast between the characters used to label it an</w:t>
      </w:r>
      <w:r>
        <w:t>d the background, making those characters clearly legible.</w:t>
      </w:r>
    </w:p>
    <w:p w:rsidR="009950DD" w:rsidRDefault="009950DD"/>
    <w:p w:rsidR="009950DD" w:rsidRDefault="003F6F81">
      <w:pPr>
        <w:pStyle w:val="ena"/>
      </w:pPr>
      <w:r>
        <w:t>(Obligation to Report Manufactured and Imported Quantities)</w:t>
      </w:r>
    </w:p>
    <w:p w:rsidR="009950DD" w:rsidRDefault="003F6F81">
      <w:pPr>
        <w:pStyle w:val="enf3"/>
      </w:pPr>
      <w:r>
        <w:t>Article 18  For each type of agricultural chemical, a manufacturer or importer of agricultural chemicals must report the quantity manufa</w:t>
      </w:r>
      <w:r>
        <w:t>ctured or imported and the quantity transferred during the period from October of the previous year to September of the year in question, as well as information on the occurrence of harm to crops, etc., humans, animals, or flora and fauna in the human livi</w:t>
      </w:r>
      <w:r>
        <w:t>ng environment that has been caused by the use of that chemical, research reports on the chemical's impact on these, information on anything equivalent to a change, rescission, or loss of validity of a registration for the chemical that has occurred in a f</w:t>
      </w:r>
      <w:r>
        <w:t>oreign country, and other information on the safety of the chemical that is identified during that period to the Minister of Agriculture, Forestry and Fisheries by October 10 of each year, using Appended Form 14.</w:t>
      </w:r>
    </w:p>
    <w:p w:rsidR="009950DD" w:rsidRDefault="009950DD"/>
    <w:p w:rsidR="009950DD" w:rsidRDefault="003F6F81">
      <w:pPr>
        <w:pStyle w:val="ena"/>
      </w:pPr>
      <w:r>
        <w:t>(Reporting)</w:t>
      </w:r>
    </w:p>
    <w:p w:rsidR="009950DD" w:rsidRDefault="003F6F81">
      <w:pPr>
        <w:pStyle w:val="enf3"/>
      </w:pPr>
      <w:r>
        <w:t>Article 19  (1) The Center mus</w:t>
      </w:r>
      <w:r>
        <w:t xml:space="preserve">t make the report under Article 30, paragraph (3) of the Act (including as applied mutatis mutandis pursuant to Article 35, paragraph (3) of the Act) without delay, by submitting a document stating the matters set forth in item (i), if it has collected an </w:t>
      </w:r>
      <w:r>
        <w:t>agricultural chemical or a raw material for it (hereinafter referred to as an "agricultural chemical or raw material"), or by submitting a document stating the matters set forth in item (ii), if it has conducted an on-site inspection:</w:t>
      </w:r>
    </w:p>
    <w:p w:rsidR="009950DD" w:rsidRDefault="003F6F81">
      <w:pPr>
        <w:pStyle w:val="enf6"/>
      </w:pPr>
      <w:r>
        <w:t xml:space="preserve">(i) the name of </w:t>
      </w:r>
      <w:r>
        <w:t>the manufacturer, importer, seller, or user of the agricultural chemical, person that manufactures the technical grade active ingredient, or other related person (referred to as the "manufacturer or other related person" in the following item) from whom it</w:t>
      </w:r>
      <w:r>
        <w:t xml:space="preserve"> collected the agricultural chemical or raw material (or its name and the name of its representative, if the person is a corporation (other than a corporation manufacturing a technical grade active ingredient); or just its name, if the person is a corporat</w:t>
      </w:r>
      <w:r>
        <w:t>ion manufacturing a technical grade active ingredient; the same applies in the following item) and that person's address; the time, date, and place from which it collected the agricultural chemical or raw material; the type, name, and quantity of the agric</w:t>
      </w:r>
      <w:r>
        <w:t>ultural chemical or raw material it collected; and the substance and results of its inspection of the agricultural chemical or raw material it collected; or</w:t>
      </w:r>
    </w:p>
    <w:p w:rsidR="009950DD" w:rsidRDefault="003F6F81">
      <w:pPr>
        <w:pStyle w:val="enf6"/>
      </w:pPr>
      <w:r>
        <w:t>(ii) the name and address of the manufacturer or other related person in connection with whom it co</w:t>
      </w:r>
      <w:r>
        <w:t>nducted the on-site inspection; the time, date, and place at which it conducted the on-site inspection; and the results of the on-site inspection.</w:t>
      </w:r>
    </w:p>
    <w:p w:rsidR="009950DD" w:rsidRDefault="003F6F81">
      <w:pPr>
        <w:pStyle w:val="enf4"/>
      </w:pPr>
      <w:r>
        <w:t>(2) The prefectural governor must make the report under Article 4, paragraph (6) of the Order for Enforcement</w:t>
      </w:r>
      <w:r>
        <w:t xml:space="preserve"> of the Agricultural Chemicals Regulation Act (Cabinet Order No. 56 of 1971) without delay, by submitting a document stating the following matters:</w:t>
      </w:r>
    </w:p>
    <w:p w:rsidR="009950DD" w:rsidRDefault="003F6F81">
      <w:pPr>
        <w:pStyle w:val="enf6"/>
      </w:pPr>
      <w:r>
        <w:t>(i) the name and address of the seller that the governor has restricted or prohibited from selling agricultu</w:t>
      </w:r>
      <w:r>
        <w:t>ral chemicals;</w:t>
      </w:r>
    </w:p>
    <w:p w:rsidR="009950DD" w:rsidRDefault="003F6F81">
      <w:pPr>
        <w:pStyle w:val="enf6"/>
      </w:pPr>
      <w:r>
        <w:t>(ii) the date on which the governor restricted or prohibited the seller from selling them;</w:t>
      </w:r>
    </w:p>
    <w:p w:rsidR="009950DD" w:rsidRDefault="003F6F81">
      <w:pPr>
        <w:pStyle w:val="enf6"/>
      </w:pPr>
      <w:r>
        <w:t>(iii) the reason that the governor has restricted or prohibited the seller from selling them; and</w:t>
      </w:r>
    </w:p>
    <w:p w:rsidR="009950DD" w:rsidRDefault="003F6F81">
      <w:pPr>
        <w:pStyle w:val="enf6"/>
      </w:pPr>
      <w:r>
        <w:t>(iv) other matters for reference.</w:t>
      </w:r>
    </w:p>
    <w:p w:rsidR="009950DD" w:rsidRDefault="009950DD"/>
    <w:p w:rsidR="009950DD" w:rsidRDefault="003F6F81">
      <w:pPr>
        <w:pStyle w:val="ena"/>
      </w:pPr>
      <w:r>
        <w:t>(Form of Identifi</w:t>
      </w:r>
      <w:r>
        <w:t>cation Cards for Center Employees)</w:t>
      </w:r>
    </w:p>
    <w:p w:rsidR="009950DD" w:rsidRDefault="003F6F81">
      <w:pPr>
        <w:pStyle w:val="enf3"/>
      </w:pPr>
      <w:r>
        <w:t xml:space="preserve">Article 20  A Center employee's identification card under Article 29, paragraph (4) of the Act, as applied mutatis mutandis pursuant to Article 30, paragraph (4) of the Act (including as applied mutatis mutandis pursuant </w:t>
      </w:r>
      <w:r>
        <w:t>to Article 35, paragraph (3) of the Act) is to be based on Appended Form 15.</w:t>
      </w:r>
    </w:p>
    <w:p w:rsidR="009950DD" w:rsidRDefault="009950DD"/>
    <w:p w:rsidR="009950DD" w:rsidRDefault="003F6F81">
      <w:pPr>
        <w:pStyle w:val="ena"/>
      </w:pPr>
      <w:r>
        <w:t>(Form for Filing a Notification of a Change to the Domestic Administrator)</w:t>
      </w:r>
    </w:p>
    <w:p w:rsidR="009950DD" w:rsidRDefault="003F6F81">
      <w:pPr>
        <w:pStyle w:val="enf3"/>
      </w:pPr>
      <w:r>
        <w:t xml:space="preserve">Article 21  A person must file the notification under Article 34, paragraph (3) of the Act by </w:t>
      </w:r>
      <w:r>
        <w:t>submitting a written notification that is based on Appended Form 16.</w:t>
      </w:r>
    </w:p>
    <w:p w:rsidR="009950DD" w:rsidRDefault="009950DD"/>
    <w:p w:rsidR="009950DD" w:rsidRDefault="003F6F81">
      <w:pPr>
        <w:pStyle w:val="ena"/>
      </w:pPr>
      <w:r>
        <w:t>(Procedures for a Registered Foreign Manufacturer to Notify the Domestic Administrator)</w:t>
      </w:r>
    </w:p>
    <w:p w:rsidR="009950DD" w:rsidRDefault="003F6F81">
      <w:pPr>
        <w:pStyle w:val="enf3"/>
      </w:pPr>
      <w:r>
        <w:t>Article 22  For each type of agricultural chemical subject to the registration referred to in Arti</w:t>
      </w:r>
      <w:r>
        <w:t>cle 34, paragraph (1) of the Act, a registered foreign manufacturer must notify the domestic administrator under Article 34, paragraph (4) of the Act of the quantity it has manufactured and the quantity it has transferred to each transferee during the peri</w:t>
      </w:r>
      <w:r>
        <w:t>od from October of the previous year to September of the year in question (but only the quantities exported to Japan), and of information on the occurrence of harm to crops, etc., humans, animals, or flora and fauna in the human living environment that has</w:t>
      </w:r>
      <w:r>
        <w:t xml:space="preserve"> been caused by the use of that chemical; research reports on the chemical's impact on these; information on anything equivalent to a change, rescission, or loss of validity of registration for the chemical that has occurred in a foreign country; and other</w:t>
      </w:r>
      <w:r>
        <w:t xml:space="preserve"> information on the safety of the chemical that is identified during that period by October 20 of each year, using Appended Form 17.</w:t>
      </w:r>
    </w:p>
    <w:p w:rsidR="009950DD" w:rsidRDefault="009950DD"/>
    <w:p w:rsidR="009950DD" w:rsidRDefault="003F6F81">
      <w:pPr>
        <w:pStyle w:val="ena"/>
      </w:pPr>
      <w:r>
        <w:t>(Preservation of Books by Registered Foreign Manufacturers)</w:t>
      </w:r>
    </w:p>
    <w:p w:rsidR="009950DD" w:rsidRDefault="003F6F81">
      <w:pPr>
        <w:pStyle w:val="enf3"/>
      </w:pPr>
      <w:r>
        <w:t>Article 23  A person must preserve the books referred to in Ar</w:t>
      </w:r>
      <w:r>
        <w:t>ticle 34, paragraphs (4) and (5) of the Act for a three-year period following the date of the final entry.</w:t>
      </w:r>
    </w:p>
    <w:p w:rsidR="009950DD" w:rsidRDefault="009950DD"/>
    <w:p w:rsidR="009950DD" w:rsidRDefault="003F6F81">
      <w:pPr>
        <w:pStyle w:val="ena"/>
      </w:pPr>
      <w:r>
        <w:t>(Domestic Administrator's Obligation to Report)</w:t>
      </w:r>
    </w:p>
    <w:p w:rsidR="009950DD" w:rsidRDefault="003F6F81">
      <w:pPr>
        <w:pStyle w:val="enf3"/>
      </w:pPr>
      <w:r>
        <w:t>Article 24  Having been notified as under Article 34, paragraph (4) of the Act, a domestic administr</w:t>
      </w:r>
      <w:r>
        <w:t>ator must make a report to the Minister of Agriculture, Forestry and Fisheries using Appended Form 18, within ten days from the date on which the administrator was notified of the relevant matters.</w:t>
      </w:r>
    </w:p>
    <w:p w:rsidR="009950DD" w:rsidRDefault="009950DD"/>
    <w:p w:rsidR="009950DD" w:rsidRDefault="003F6F81">
      <w:pPr>
        <w:pStyle w:val="ena"/>
      </w:pPr>
      <w:r>
        <w:t>(Form for Importers' Notifications)</w:t>
      </w:r>
    </w:p>
    <w:p w:rsidR="009950DD" w:rsidRDefault="003F6F81">
      <w:pPr>
        <w:pStyle w:val="enf3"/>
      </w:pPr>
      <w:r>
        <w:t xml:space="preserve">Article 25  A person </w:t>
      </w:r>
      <w:r>
        <w:t>must file the notification under Article 36, paragraph (1) of the Act by submitting a written notification that is based on Appended Form 19.</w:t>
      </w:r>
    </w:p>
    <w:p w:rsidR="009950DD" w:rsidRDefault="009950DD"/>
    <w:p w:rsidR="009950DD" w:rsidRDefault="003F6F81">
      <w:pPr>
        <w:pStyle w:val="ena"/>
      </w:pPr>
      <w:r>
        <w:t>(Procedures for Registration of Foreign Manufactured Agricultural Chemicals)</w:t>
      </w:r>
    </w:p>
    <w:p w:rsidR="009950DD" w:rsidRDefault="003F6F81">
      <w:pPr>
        <w:pStyle w:val="enf3"/>
      </w:pPr>
      <w:r>
        <w:t>Article 26  For an agricultural chem</w:t>
      </w:r>
      <w:r>
        <w:t>ical that is subject to the registration referred to in Article 34, paragraph (1) of the Act, a person must submit the written application and documents to be submitted to the Minister of Agriculture, Forestry and Fisheries pursuant to Article 3, paragraph</w:t>
      </w:r>
      <w:r>
        <w:t xml:space="preserve"> (2) or Article 7, paragraph (1) of the Act, as applied mutatis mutandis pursuant to Article 34, paragraph (6) of the Act; the sample of the agricultural chemical and inspection document referred to in Article 2, paragraph (2); the written request referred</w:t>
      </w:r>
      <w:r>
        <w:t xml:space="preserve"> to in Article 4, paragraph (2); the written notification and application referred to in Article 8, paragraph (1) or Article 10, paragraph (1); the registration certificate referred to in that paragraph or Article 7, paragraph (1) of the Act, as applied mu</w:t>
      </w:r>
      <w:r>
        <w:t>tatis mutandis pursuant to Article 34, paragraph (6) of the Act; the written notification referred to in Article 10, paragraph (1), (3) or (4), or Article 21; the written application referred to in Article 10, paragraph (2) or Article 12, paragraph (1); an</w:t>
      </w:r>
      <w:r>
        <w:t>d the documents referred to in Article 8, paragraph (3) of the Act, as applied mutatis mutandis pursuant to Article 34, paragraph (6) of the Act, via the domestic administrator.</w:t>
      </w:r>
    </w:p>
    <w:p w:rsidR="009950DD" w:rsidRDefault="009950DD"/>
    <w:p w:rsidR="009950DD" w:rsidRDefault="003F6F81">
      <w:pPr>
        <w:pStyle w:val="ena"/>
      </w:pPr>
      <w:r>
        <w:t>(Delegation of Authority)</w:t>
      </w:r>
    </w:p>
    <w:p w:rsidR="009950DD" w:rsidRDefault="003F6F81">
      <w:pPr>
        <w:pStyle w:val="enf3"/>
      </w:pPr>
      <w:r>
        <w:t xml:space="preserve">Article 27  (1) The authority of the </w:t>
      </w:r>
      <w:r>
        <w:t>Minister of Agriculture, Forestry and Fisheries under Article 23 of the Act is delegated to the heads of the Regional Agricultural Administration Offices; provided, however, that this does not preclude the Minister of Agriculture, Forestry and Fisheries fr</w:t>
      </w:r>
      <w:r>
        <w:t>om personally exercising that authority.</w:t>
      </w:r>
    </w:p>
    <w:p w:rsidR="009950DD" w:rsidRDefault="003F6F81">
      <w:pPr>
        <w:pStyle w:val="enf4"/>
      </w:pPr>
      <w:r>
        <w:t xml:space="preserve">(2) The authority of the Minister of Agriculture, Forestry and Fisheries under Article 29, paragraph (1) of the Act to order a manufacturer, importer, seller, or user of agricultural chemicals, an herbicide seller, </w:t>
      </w:r>
      <w:r>
        <w:t xml:space="preserve">a person that manufactures a technical grade active ingredient, or any other person concerned to report on the manufacture, processing, import, sale, or use of an agricultural chemical, the sale of an herbicide, the manufacture of a technical grade active </w:t>
      </w:r>
      <w:r>
        <w:t>ingredient, or another such matter; to have the relevant officials collect an agricultural chemical or its raw material or an herbicide from one of these persons in the quantity necessary for an inspection; or to have those officials enter the necessary si</w:t>
      </w:r>
      <w:r>
        <w:t xml:space="preserve">tes and inspect the manufacture, processing, import, sale, or use of an agricultural chemical, the sale of an herbicide, the manufacture of a technical grade active ingredient, or the circumstances of any other such matter, or inspect books, documents, or </w:t>
      </w:r>
      <w:r>
        <w:t>other necessary items, is delegated to the heads of the Regional Agricultural Administration Offices; provided, however, that this does not preclude the Minister of Agriculture, Forestry and Fisheries from personally exercising that authority.</w:t>
      </w:r>
    </w:p>
    <w:p w:rsidR="009950DD" w:rsidRDefault="003F6F81">
      <w:pPr>
        <w:pStyle w:val="enf4"/>
      </w:pPr>
      <w:r>
        <w:t>(3) The auth</w:t>
      </w:r>
      <w:r>
        <w:t>ority of the Minister of Agriculture, Forestry and Fisheries under Article 29, paragraph (3) of the Act to order a manufacturer, importer, or user of an agricultural chemical, an herbicide seller, a person that manufactures a technical grade active ingredi</w:t>
      </w:r>
      <w:r>
        <w:t>ent, or any other person concerned to report on the manufacture, processing, import, or use of an agricultural chemical, the sale of an herbicide, the manufacture of a technical grade active ingredient, or any other such matter; to have the relevant offici</w:t>
      </w:r>
      <w:r>
        <w:t xml:space="preserve">als collect an agricultural chemical or its raw material or an herbicide from one of these persons in the quantity necessary for an inspection; or to have those officials enter the necessary sites and inspect the manufacture, processing, import, or use of </w:t>
      </w:r>
      <w:r>
        <w:t>an agricultural chemical, the sale of an herbicide, the manufacture of a technical grade active ingredient, or the circumstances of any other such matter, or inspect books, documents, or other necessary items, is delegated to the heads of the Regional Agri</w:t>
      </w:r>
      <w:r>
        <w:t>cultural Administration Offices; provided, however, that this does not preclude the Minister of Agriculture, Forestry and Fisheries from personally exercising that authority.</w:t>
      </w:r>
    </w:p>
    <w:p w:rsidR="009950DD" w:rsidRDefault="003F6F81">
      <w:pPr>
        <w:pStyle w:val="enf4"/>
      </w:pPr>
      <w:r>
        <w:t>(4) The authority of the Minister of Agriculture, Forestry and Fisheries under Ar</w:t>
      </w:r>
      <w:r>
        <w:t>ticle 31, paragraph (2) of the Act is delegated to the heads of the Regional Agricultural Administration Offices; provided, however, that this does not preclude the Minister of Agriculture, Forestry and Fisheries from personally exercising that authority.</w:t>
      </w:r>
    </w:p>
    <w:p w:rsidR="009950DD" w:rsidRDefault="009950DD"/>
    <w:p w:rsidR="009950DD" w:rsidRDefault="003F6F81">
      <w:pPr>
        <w:pStyle w:val="ena"/>
      </w:pPr>
      <w:r>
        <w:t>(Number of Copies of Documents to Be Submitted)</w:t>
      </w:r>
    </w:p>
    <w:p w:rsidR="009950DD" w:rsidRDefault="003F6F81">
      <w:pPr>
        <w:pStyle w:val="enf3"/>
      </w:pPr>
      <w:r>
        <w:t>Article 28  A person must submit the original and one duplicate copy of the written application referred to in Article 1, Article 10, paragraph (2), Article 11, paragraph (2), or Article 12, paragraph (1), t</w:t>
      </w:r>
      <w:r>
        <w:t>he written request referred to in Article 4, paragraph (2), the written notification and application referred to in Article 8, paragraph (1) or Article 10, paragraph (1), and the written notification referred to in that paragraph, paragraph (3) or (4) of t</w:t>
      </w:r>
      <w:r>
        <w:t>hat Article, Article 15, Article 21, or Article 25; and must submit one copy of the written report referred to in Article 5, paragraph (2), Article 18, Article 19, or Article 24.</w:t>
      </w:r>
    </w:p>
    <w:p w:rsidR="009950DD" w:rsidRDefault="009950DD"/>
    <w:p w:rsidR="009950DD" w:rsidRDefault="003F6F81">
      <w:pPr>
        <w:pStyle w:val="en2"/>
      </w:pPr>
      <w:r>
        <w:t>Supplementary Provisions</w:t>
      </w:r>
    </w:p>
    <w:p w:rsidR="009950DD" w:rsidRDefault="009950DD"/>
    <w:p w:rsidR="009950DD" w:rsidRDefault="003F6F81">
      <w:pPr>
        <w:pStyle w:val="enf4"/>
      </w:pPr>
      <w:r>
        <w:t>(1) This Ministerial Order comes into effect as of</w:t>
      </w:r>
      <w:r>
        <w:t xml:space="preserve"> the date of promulgation.</w:t>
      </w:r>
    </w:p>
    <w:p w:rsidR="009950DD" w:rsidRDefault="003F6F81">
      <w:pPr>
        <w:pStyle w:val="enf4"/>
      </w:pPr>
      <w:r>
        <w:t>(2) The Regulations for Enforcement of the Agricultural Chemicals Regulation Act (Order of the Prime Minister's Agency and the Ministry of Agriculture and Forestry No. 5 of 1948) is repealed.</w:t>
      </w:r>
    </w:p>
    <w:p w:rsidR="009950DD" w:rsidRDefault="009950DD"/>
    <w:p w:rsidR="009950DD" w:rsidRDefault="003F6F81">
      <w:pPr>
        <w:pStyle w:val="en2"/>
      </w:pPr>
      <w:r>
        <w:t xml:space="preserve">Supplementary Provisions  [Order of </w:t>
      </w:r>
      <w:r>
        <w:t>the Ministry of Agriculture and Forestry No. 36 of May 1, 1963]  [Extract]</w:t>
      </w:r>
    </w:p>
    <w:p w:rsidR="009950DD" w:rsidRDefault="009950DD"/>
    <w:p w:rsidR="009950DD" w:rsidRDefault="003F6F81">
      <w:pPr>
        <w:pStyle w:val="enf4"/>
      </w:pPr>
      <w:r>
        <w:t>(1) This Ministerial Order comes into effect as of the date of promulgation.</w:t>
      </w:r>
    </w:p>
    <w:p w:rsidR="009950DD" w:rsidRDefault="009950DD"/>
    <w:p w:rsidR="009950DD" w:rsidRDefault="003F6F81">
      <w:pPr>
        <w:pStyle w:val="en2"/>
      </w:pPr>
      <w:r>
        <w:t>Supplementary Provisions  [Order of the Ministry of Agriculture and Forestry No. 2 of January 14, 1971</w:t>
      </w:r>
      <w:r>
        <w:t>]</w:t>
      </w:r>
    </w:p>
    <w:p w:rsidR="009950DD" w:rsidRDefault="009950DD"/>
    <w:p w:rsidR="009950DD" w:rsidRDefault="003F6F81">
      <w:pPr>
        <w:pStyle w:val="enf5"/>
      </w:pPr>
      <w:r>
        <w:t>This Ministerial Order comes into effect as of the date of promulgation.</w:t>
      </w:r>
    </w:p>
    <w:p w:rsidR="009950DD" w:rsidRDefault="009950DD"/>
    <w:p w:rsidR="009950DD" w:rsidRDefault="003F6F81">
      <w:pPr>
        <w:pStyle w:val="en2"/>
      </w:pPr>
      <w:r>
        <w:t>Supplementary Provisions  [Order of the Ministry of Agriculture and Forestry No. 15 of March 30, 1971]  [Extract]</w:t>
      </w:r>
    </w:p>
    <w:p w:rsidR="009950DD" w:rsidRDefault="009950DD"/>
    <w:p w:rsidR="009950DD" w:rsidRDefault="003F6F81">
      <w:pPr>
        <w:pStyle w:val="enf4"/>
      </w:pPr>
      <w:r>
        <w:t>(1) This Ministerial Order comes into effect as of the date on w</w:t>
      </w:r>
      <w:r>
        <w:t>hich the Act Partially Amending the Agricultural Chemicals Regulation Act (Act No. 1 of 1971) comes into effect (April 1, 1971).</w:t>
      </w:r>
    </w:p>
    <w:p w:rsidR="009950DD" w:rsidRDefault="009950DD"/>
    <w:p w:rsidR="009950DD" w:rsidRDefault="003F6F81">
      <w:pPr>
        <w:pStyle w:val="en2"/>
      </w:pPr>
      <w:r>
        <w:t>Supplementary Provisions  [Order of the Ministry of Agriculture and Forestry No. 55 of July 1, 1971]</w:t>
      </w:r>
    </w:p>
    <w:p w:rsidR="009950DD" w:rsidRDefault="009950DD"/>
    <w:p w:rsidR="009950DD" w:rsidRDefault="003F6F81">
      <w:pPr>
        <w:pStyle w:val="enf5"/>
      </w:pPr>
      <w:r>
        <w:t xml:space="preserve">This </w:t>
      </w:r>
      <w:r>
        <w:t>Ministerial Order comes into effect as of the date of promulgation.</w:t>
      </w:r>
    </w:p>
    <w:p w:rsidR="009950DD" w:rsidRDefault="009950DD"/>
    <w:p w:rsidR="009950DD" w:rsidRDefault="003F6F81">
      <w:pPr>
        <w:pStyle w:val="en2"/>
      </w:pPr>
      <w:r>
        <w:t>Supplementary Provisions  [Order of the Ministry of Agriculture and Forestry No. 2 of January 22, 1976]</w:t>
      </w:r>
    </w:p>
    <w:p w:rsidR="009950DD" w:rsidRDefault="009950DD"/>
    <w:p w:rsidR="009950DD" w:rsidRDefault="003F6F81">
      <w:pPr>
        <w:pStyle w:val="enf5"/>
      </w:pPr>
      <w:r>
        <w:t>This Ministerial Order comes into effect as of February 1, 1976.</w:t>
      </w:r>
    </w:p>
    <w:p w:rsidR="009950DD" w:rsidRDefault="009950DD"/>
    <w:p w:rsidR="009950DD" w:rsidRDefault="003F6F81">
      <w:pPr>
        <w:pStyle w:val="en2"/>
      </w:pPr>
      <w:r>
        <w:t>Supplementary Pr</w:t>
      </w:r>
      <w:r>
        <w:t>ovisions  [Order of the Ministry of Agriculture and Forestry No. 15 of March 27, 1978]  [Extract]</w:t>
      </w:r>
    </w:p>
    <w:p w:rsidR="009950DD" w:rsidRDefault="009950DD"/>
    <w:p w:rsidR="009950DD" w:rsidRDefault="003F6F81">
      <w:pPr>
        <w:pStyle w:val="enf4"/>
      </w:pPr>
      <w:r>
        <w:t>(1) This Ministerial Order comes into effect as of the date of promulgation.</w:t>
      </w:r>
    </w:p>
    <w:p w:rsidR="009950DD" w:rsidRDefault="009950DD"/>
    <w:p w:rsidR="009950DD" w:rsidRDefault="003F6F81">
      <w:pPr>
        <w:pStyle w:val="en2"/>
      </w:pPr>
      <w:r>
        <w:t>Supplementary Provisions  [Order of the Ministry of Agriculture and Forestry No</w:t>
      </w:r>
      <w:r>
        <w:t>. 31 of April 28, 1978]</w:t>
      </w:r>
    </w:p>
    <w:p w:rsidR="009950DD" w:rsidRDefault="009950DD"/>
    <w:p w:rsidR="009950DD" w:rsidRDefault="003F6F81">
      <w:pPr>
        <w:pStyle w:val="enf5"/>
      </w:pPr>
      <w:r>
        <w:t>This Ministerial Order comes into effect as of May 1, 1978.</w:t>
      </w:r>
    </w:p>
    <w:p w:rsidR="009950DD" w:rsidRDefault="009950DD"/>
    <w:p w:rsidR="009950DD" w:rsidRDefault="003F6F81">
      <w:pPr>
        <w:pStyle w:val="en2"/>
      </w:pPr>
      <w:r>
        <w:t>Supplementary Provisions  [Order of the Ministry of Agriculture and Forestry No. 49 of July 5, 1978]  [Extract]</w:t>
      </w:r>
    </w:p>
    <w:p w:rsidR="009950DD" w:rsidRDefault="009950DD"/>
    <w:p w:rsidR="009950DD" w:rsidRDefault="003F6F81">
      <w:pPr>
        <w:pStyle w:val="enf3"/>
      </w:pPr>
      <w:r>
        <w:t>Article 1  This Ministerial Order comes into effect as of</w:t>
      </w:r>
      <w:r>
        <w:t xml:space="preserve"> the date of promulgation.</w:t>
      </w:r>
    </w:p>
    <w:p w:rsidR="009950DD" w:rsidRDefault="009950DD"/>
    <w:p w:rsidR="009950DD" w:rsidRDefault="003F6F81">
      <w:pPr>
        <w:pStyle w:val="en2"/>
      </w:pPr>
      <w:r>
        <w:t>Supplementary Provisions  [Order of the Ministry of Agriculture, Forestry and Fisheries No. 20 of May 22, 1981]  [Extract]</w:t>
      </w:r>
    </w:p>
    <w:p w:rsidR="009950DD" w:rsidRDefault="009950DD"/>
    <w:p w:rsidR="009950DD" w:rsidRDefault="003F6F81">
      <w:pPr>
        <w:pStyle w:val="enf4"/>
      </w:pPr>
      <w:r>
        <w:t>(1) This Ministerial Order comes into effect as of June 1, 1981.</w:t>
      </w:r>
    </w:p>
    <w:p w:rsidR="009950DD" w:rsidRDefault="009950DD"/>
    <w:p w:rsidR="009950DD" w:rsidRDefault="003F6F81">
      <w:pPr>
        <w:pStyle w:val="en2"/>
      </w:pPr>
      <w:r>
        <w:t>Supplementary Provisions  [Order of th</w:t>
      </w:r>
      <w:r>
        <w:t>e Ministry of Agriculture, Forestry and Fisheries No. 26 of July 30, 1983]</w:t>
      </w:r>
    </w:p>
    <w:p w:rsidR="009950DD" w:rsidRDefault="009950DD"/>
    <w:p w:rsidR="009950DD" w:rsidRDefault="003F6F81">
      <w:pPr>
        <w:pStyle w:val="enf5"/>
      </w:pPr>
      <w:r>
        <w:t>This Ministerial Order comes into effect as of the date on which the Act Partially Amending the Related Acts for Facilitating Acquisition of Approval for Product Types Approvals by</w:t>
      </w:r>
      <w:r>
        <w:t xml:space="preserve"> Foreign Businesses (Act No. 57 of 1983) comes into effect (August 1, 1983).</w:t>
      </w:r>
    </w:p>
    <w:p w:rsidR="009950DD" w:rsidRDefault="009950DD"/>
    <w:p w:rsidR="009950DD" w:rsidRDefault="003F6F81">
      <w:pPr>
        <w:pStyle w:val="en2"/>
      </w:pPr>
      <w:r>
        <w:t>Supplementary Provisions  [Order of the Ministry of Agriculture, Forestry and Fisheries No. 57 of December 26, 1983]</w:t>
      </w:r>
    </w:p>
    <w:p w:rsidR="009950DD" w:rsidRDefault="009950DD"/>
    <w:p w:rsidR="009950DD" w:rsidRDefault="003F6F81">
      <w:pPr>
        <w:pStyle w:val="enf5"/>
      </w:pPr>
      <w:r>
        <w:t xml:space="preserve">This Ministerial Order comes into effect as of the date on </w:t>
      </w:r>
      <w:r>
        <w:t>which the provisions of Article 26 of the Act on Simplification, Rationalization, and Coordination of Administrative Functions (Act No. 83 of 1983) come into effect (March 1, 1984).</w:t>
      </w:r>
    </w:p>
    <w:p w:rsidR="009950DD" w:rsidRDefault="009950DD"/>
    <w:p w:rsidR="009950DD" w:rsidRDefault="003F6F81">
      <w:pPr>
        <w:pStyle w:val="en2"/>
      </w:pPr>
      <w:r>
        <w:t>Supplementary Provisions  [Order of the Ministry of Agriculture, Forestry</w:t>
      </w:r>
      <w:r>
        <w:t xml:space="preserve"> and Fisheries No. 19 of May 15, 1984]</w:t>
      </w:r>
    </w:p>
    <w:p w:rsidR="009950DD" w:rsidRDefault="009950DD"/>
    <w:p w:rsidR="009950DD" w:rsidRDefault="003F6F81">
      <w:pPr>
        <w:pStyle w:val="enf5"/>
      </w:pPr>
      <w:r>
        <w:t>This Ministerial Order comes into effect as of the date on which the Act on the Revision of Various Fees and the Rationalization of Provisions (Act No. 23 of 1984) comes into effect (May 21, 1984).</w:t>
      </w:r>
    </w:p>
    <w:p w:rsidR="009950DD" w:rsidRDefault="009950DD"/>
    <w:p w:rsidR="009950DD" w:rsidRDefault="003F6F81">
      <w:pPr>
        <w:pStyle w:val="en2"/>
      </w:pPr>
      <w:r>
        <w:t>Supplementary Pro</w:t>
      </w:r>
      <w:r>
        <w:t>visions  [Order of the Ministry of Agriculture, Forestry and Fisheries No. 12 of April 1, 1993]</w:t>
      </w:r>
    </w:p>
    <w:p w:rsidR="009950DD" w:rsidRDefault="009950DD"/>
    <w:p w:rsidR="009950DD" w:rsidRDefault="003F6F81">
      <w:pPr>
        <w:pStyle w:val="enf4"/>
      </w:pPr>
      <w:r>
        <w:t>(1) This Ministerial Order comes into effect as of the date of promulgation.</w:t>
      </w:r>
    </w:p>
    <w:p w:rsidR="009950DD" w:rsidRDefault="003F6F81">
      <w:pPr>
        <w:pStyle w:val="enf4"/>
      </w:pPr>
      <w:r>
        <w:t>(2) A document that is based on a form prescribed in the Regulations for Enforceme</w:t>
      </w:r>
      <w:r>
        <w:t>nt of the Fertilizer Regulation Act, the Regulations for Enforcement of the Plant Protection Act, the Regulations for Enforcement of the Agricultural Chemicals Regulation Act, the Regulations for Enforcement of the Cocoon Thread Price Stabilization Act, th</w:t>
      </w:r>
      <w:r>
        <w:t>e Cocoon Test Regulations, the Regulations for Enforcement of the Act to Promote Agricultural Mechanization, the Regulations for Enforcement of the Act on Temporary Measures for Soybean and Rapeseed Grants, the Raw Silk Inspection Regulations, the Regulati</w:t>
      </w:r>
      <w:r>
        <w:t xml:space="preserve">ons for Enforcement of the Act on Improvement and Increased Production of Livestock, the Dog Export/Import Quarantine Regulations, the Regulations for Enforcement of the Act on Domestic Animal Infectious Disease Control, the Regulations for Enforcement of </w:t>
      </w:r>
      <w:r>
        <w:t>the Act to Promote Dairy and Beef Cattle Production, the Regulations for Enforcement of the Livestock Transaction Act, the Veterinary Medications Control Regulations, the Regulations for Enforcement of the Livestock Dealers Act, the Ministerial Order on th</w:t>
      </w:r>
      <w:r>
        <w:t>e Issuance of Certificates for Use in the Breeding of Purebred Cattle and Swine and of Certificates for Horses Not Subject to Provisional Tariffs, the Regulations for Enforcement of the Act to Ensure the Safety of Feed and Improve Its Quality, the Regulati</w:t>
      </w:r>
      <w:r>
        <w:t xml:space="preserve">ons for Enforcement of the Wholesale Market Act, the Regulations for Enforcement of the Act to Facilitate the Exchange of Research Relevant to the Ministry of Agriculture, Forestry and Fisheries, the Regulations for Enforcement of the Food Management Act, </w:t>
      </w:r>
      <w:r>
        <w:t>the Regulations for Enforcement of the Act on Seeds and Seedlings Used in Forestry, the Regulations for Enforcement of the Fishing Boat Act, the Ministerial Order to Permit and Regulate Designated Fisheries, the Ministerial Order to Regulate Commercial Mac</w:t>
      </w:r>
      <w:r>
        <w:t>kerel Angling and Offshore Fisheries in the Joint Regulation Zone of Article 2 of the Agreement between Japan and the Republic of Korea on Fisheries, the Ministerial Order on the Regulation of Snow Crab Fisheries in the Sea Area of the North Pacific Ocean,</w:t>
      </w:r>
      <w:r>
        <w:t xml:space="preserve"> the Ministerial Order on the Regulation of Commercial Squid Jigging, the Ministerial Order on the Regulation of Snow Crab Fisheries, the Ministerial Order on the Regulation of Neptune Whelk Fisheries in the Sea Area of the North Pacific Ocean, the Ministe</w:t>
      </w:r>
      <w:r>
        <w:t>rial Order on the Regulation of Longlining and Other Fisheries in the Sea Area of the Atlantic Ocean, the Ministerial Order on the Regulation of Drift-Netting for Marlin and Other Fish, the Ministerial Order on the Regulation of Drift-Netting for Squid, th</w:t>
      </w:r>
      <w:r>
        <w:t>e Ministerial Order on the Regulation of Globe Fish Longlining in the Sea Areas of the Yellow Sea and the East China Sea, the Ministerial Order on the Regulation of Red Snow Crab Fisheries, and the Ministerial Order on the Regulation of Small Tuna Longlini</w:t>
      </w:r>
      <w:r>
        <w:t>ng (hereinafter individually referred to as a "related Ministerial Order") as before its amendment by this Ministerial Order may be used until March 31, 1994.</w:t>
      </w:r>
    </w:p>
    <w:p w:rsidR="009950DD" w:rsidRDefault="003F6F81">
      <w:pPr>
        <w:pStyle w:val="enf4"/>
      </w:pPr>
      <w:r>
        <w:t>(3) A document that is based on a form prescribed in a related Ministerial Order prior to its ame</w:t>
      </w:r>
      <w:r>
        <w:t>ndment by this Ministerial Order and that has been used before March 31, 1994, is deemed to be a document that has been based on the form prescribed in the related Ministerial Order as amended by this Ministerial Order.</w:t>
      </w:r>
    </w:p>
    <w:p w:rsidR="009950DD" w:rsidRDefault="009950DD"/>
    <w:p w:rsidR="009950DD" w:rsidRDefault="003F6F81">
      <w:pPr>
        <w:pStyle w:val="en2"/>
      </w:pPr>
      <w:r>
        <w:t>Supplementary Provisions  [Order of</w:t>
      </w:r>
      <w:r>
        <w:t xml:space="preserve"> the Ministry of Agriculture, Forestry and Fisheries No. 60 of October 29, 1996]</w:t>
      </w:r>
    </w:p>
    <w:p w:rsidR="009950DD" w:rsidRDefault="009950DD"/>
    <w:p w:rsidR="009950DD" w:rsidRDefault="003F6F81">
      <w:pPr>
        <w:pStyle w:val="enf5"/>
      </w:pPr>
      <w:r>
        <w:t>This Ministerial Order comes into effect as of the date of promulgation.</w:t>
      </w:r>
    </w:p>
    <w:p w:rsidR="009950DD" w:rsidRDefault="009950DD"/>
    <w:p w:rsidR="009950DD" w:rsidRDefault="003F6F81">
      <w:pPr>
        <w:pStyle w:val="en2"/>
      </w:pPr>
      <w:r>
        <w:t xml:space="preserve">Supplementary Provisions  [Order of the Ministry of Agriculture, Forestry and Fisheries No. 1 of </w:t>
      </w:r>
      <w:r>
        <w:t>January 11, 1999]  [Extract]</w:t>
      </w:r>
    </w:p>
    <w:p w:rsidR="009950DD" w:rsidRDefault="009950DD"/>
    <w:p w:rsidR="009950DD" w:rsidRDefault="003F6F81">
      <w:pPr>
        <w:pStyle w:val="enf4"/>
      </w:pPr>
      <w:r>
        <w:t>(1) This Ministerial Order comes into effect as of the date of promulgation.</w:t>
      </w:r>
    </w:p>
    <w:p w:rsidR="009950DD" w:rsidRDefault="003F6F81">
      <w:pPr>
        <w:pStyle w:val="enf4"/>
      </w:pPr>
      <w:r>
        <w:t xml:space="preserve">(2) A document that is based on a form prescribed in the Regulations for Enforcement of the Land Improvement Act, the Regulations for Enforcement of </w:t>
      </w:r>
      <w:r>
        <w:t>the Veterinarians Act, the Ministerial Order on the Free Lending and Transfer of Domestic Animals, the Regulations for Enforcement of the Fertilizer Regulation Act, the Regulations on the Lending of Germ and Pest Control Apparatuses, the Regulations for En</w:t>
      </w:r>
      <w:r>
        <w:t>forcement of the Plant Protection Act, the Regulations for Enforcement of the Act on the Improvement and Increased Production of Livestock, the Dog Export/Import Quarantine Regulations, the Regulations for Enforcement of the Agricultural Chemicals Regulati</w:t>
      </w:r>
      <w:r>
        <w:t>on Act, the Regulations for Enforcement of the Agricultural Products Inspection Act, the Regulations for Enforcement of the Act on Domestic Animal Infectious Disease Control, the Ministerial Order on Certification Exams for Professional Engineers, the Regu</w:t>
      </w:r>
      <w:r>
        <w:t>lations for Enforcement of the Act to Promote Agricultural Mechanization, the Regulations for Enforcement of the Poultry Farming Promotion Act, the Ministerial Order on the Regulation of Commercial Mackerel Angling and Offshore Fisheries in the Joint Regul</w:t>
      </w:r>
      <w:r>
        <w:t xml:space="preserve">ation Zone of Article 2 of the Agreement between Japan and the Republic of Korea on Fisheries, the Regulations for Enforcement of the Act on Seeds and Seedlings Used in Forestry, the Regulations for Enforcement of the Wholesale Market Act, the Ministerial </w:t>
      </w:r>
      <w:r>
        <w:t xml:space="preserve">Order on Coordinating Fishery Operations in the High Seas off the Coast of Japan of Article 1 (1) of the Agreement between the Government of Japan and the Government of the Union of Soviet Socialist Republics concerning Fishery Operations, the Regulations </w:t>
      </w:r>
      <w:r>
        <w:t xml:space="preserve">for Enforcement of the Act on Special Measures concerning Shared Forests, the Regulations for Enforcement of the Act to Facilitate the Exchange of Research Relevant to the Ministry of Agriculture, Forestry and Fisheries, the Ministerial Order on Emergency </w:t>
      </w:r>
      <w:r>
        <w:t>Controls Against Sweet Potato Weevils, the Ministerial Order on the Issuance of Certificates for Use in the Breeding of Purebred Cattle and Swine and of Certificates for Horses Not Subject to Provisional Tariffs, the Ministerial Order on the Issuance of Be</w:t>
      </w:r>
      <w:r>
        <w:t>an Certificates for Use in Growing Vegetables, the Ministerial Order on Necessary Measures for Emergency Protection Against Bacterial Shoot Blight Organisms, and the Ministerial Order on Emergency Protection Against West Indian Sweet Potato Weevils (herein</w:t>
      </w:r>
      <w:r>
        <w:t>after individually referred to as a "related Ministerial Order") as before its amendment by this Ministerial Order may be used until March 31, 1999.</w:t>
      </w:r>
    </w:p>
    <w:p w:rsidR="009950DD" w:rsidRDefault="003F6F81">
      <w:pPr>
        <w:pStyle w:val="enf4"/>
      </w:pPr>
      <w:r>
        <w:t>(4) A document that is based on a form prescribed in a related Ministerial Order as before its amendment by</w:t>
      </w:r>
      <w:r>
        <w:t xml:space="preserve"> this Ministerial Order, and that is used before March 31, 1999 is deemed to be a document that is based on the form prescribed in the related Ministerial Order as amended by this Ministerial Order.</w:t>
      </w:r>
    </w:p>
    <w:p w:rsidR="009950DD" w:rsidRDefault="009950DD"/>
    <w:p w:rsidR="009950DD" w:rsidRDefault="003F6F81">
      <w:pPr>
        <w:pStyle w:val="en2"/>
      </w:pPr>
      <w:r>
        <w:t>Supplementary Provisions  [Order of the Ministry of Agri</w:t>
      </w:r>
      <w:r>
        <w:t>culture, Forestry and Fisheries No. 15 of March 30, 1999]</w:t>
      </w:r>
    </w:p>
    <w:p w:rsidR="009950DD" w:rsidRDefault="009950DD"/>
    <w:p w:rsidR="009950DD" w:rsidRDefault="003F6F81">
      <w:pPr>
        <w:pStyle w:val="enf5"/>
      </w:pPr>
      <w:r>
        <w:t>This Ministerial Order comes into effect as of the date of promulgation.</w:t>
      </w:r>
    </w:p>
    <w:p w:rsidR="009950DD" w:rsidRDefault="009950DD"/>
    <w:p w:rsidR="009950DD" w:rsidRDefault="003F6F81">
      <w:pPr>
        <w:pStyle w:val="en2"/>
      </w:pPr>
      <w:r>
        <w:t>Supplementary Provisions  [Order of the Ministry of Agriculture, Forestry and Fisheries No. 82 of September 1, 2000]  [Extr</w:t>
      </w:r>
      <w:r>
        <w:t>act]</w:t>
      </w:r>
    </w:p>
    <w:p w:rsidR="009950DD" w:rsidRDefault="009950DD"/>
    <w:p w:rsidR="009950DD" w:rsidRDefault="003F6F81">
      <w:pPr>
        <w:pStyle w:val="ena"/>
      </w:pPr>
      <w:r>
        <w:t>(Effective Date)</w:t>
      </w:r>
    </w:p>
    <w:p w:rsidR="009950DD" w:rsidRDefault="003F6F81">
      <w:pPr>
        <w:pStyle w:val="enf3"/>
      </w:pPr>
      <w:r>
        <w:t>Article 1  This Ministerial Order comes into effect as of the date on which the Act Partially Amending the Cabinet Act (Act No. 88 of 1999) comes into effect (January 6, 2001).</w:t>
      </w:r>
    </w:p>
    <w:p w:rsidR="009950DD" w:rsidRDefault="009950DD"/>
    <w:p w:rsidR="009950DD" w:rsidRDefault="003F6F81">
      <w:pPr>
        <w:pStyle w:val="en2"/>
      </w:pPr>
      <w:r>
        <w:t xml:space="preserve">Supplementary Provisions  [Order of the </w:t>
      </w:r>
      <w:r>
        <w:t>Ministry of Agriculture, Forestry and Fisheries No. 59 of March 22, 2001]  [Extract]</w:t>
      </w:r>
    </w:p>
    <w:p w:rsidR="009950DD" w:rsidRDefault="009950DD"/>
    <w:p w:rsidR="009950DD" w:rsidRDefault="003F6F81">
      <w:pPr>
        <w:pStyle w:val="ena"/>
      </w:pPr>
      <w:r>
        <w:t>(Effective Date)</w:t>
      </w:r>
    </w:p>
    <w:p w:rsidR="009950DD" w:rsidRDefault="003F6F81">
      <w:pPr>
        <w:pStyle w:val="enf3"/>
      </w:pPr>
      <w:r>
        <w:t>Article 1  This Ministerial Order comes into effect as of April 1, 2001.</w:t>
      </w:r>
    </w:p>
    <w:p w:rsidR="009950DD" w:rsidRDefault="009950DD"/>
    <w:p w:rsidR="009950DD" w:rsidRDefault="003F6F81">
      <w:pPr>
        <w:pStyle w:val="ena"/>
      </w:pPr>
      <w:r>
        <w:t>(Transitional Measures for Dispositions, Applications, and Other Actions)</w:t>
      </w:r>
    </w:p>
    <w:p w:rsidR="009950DD" w:rsidRDefault="003F6F81">
      <w:pPr>
        <w:pStyle w:val="enf3"/>
      </w:pPr>
      <w:r>
        <w:t>Artic</w:t>
      </w:r>
      <w:r>
        <w:t>le 3  To apply each of the amended Ministerial Orders after the effective date of this Ministerial Order, the granting of approval or a similar administrative disposition or other such action (hereinafter referred to as an "approval or similar action") tha</w:t>
      </w:r>
      <w:r>
        <w:t>t has been taken, before this Ministerial Order comes into effect, pursuant to the provisions of one of the Ministerial Orders prior to its amendment is deemed to be an approval or similar action that has been taken pursuant to the corresponding provisions</w:t>
      </w:r>
      <w:r>
        <w:t xml:space="preserve"> of that Ministerial Order after its amendment, and an action such as the filing of an application for something such as approval (hereinafter referred to as an "application or similar action") that has been taken, as of the time this Ministerial Order com</w:t>
      </w:r>
      <w:r>
        <w:t>es into effect, pursuant to the provisions of one of the Ministerial Orders prior to its amendment is deemed to be an application or similar action that has been taken pursuant to the corresponding provisions of that Ministerial Order after its amendment.</w:t>
      </w:r>
    </w:p>
    <w:p w:rsidR="009950DD" w:rsidRDefault="009950DD"/>
    <w:p w:rsidR="009950DD" w:rsidRDefault="003F6F81">
      <w:pPr>
        <w:pStyle w:val="en2"/>
      </w:pPr>
      <w:r>
        <w:t>Supplementary Provisions  [Order of the Ministry of Agriculture, Forestry and Fisheries No. 77 of March 30, 2001]</w:t>
      </w:r>
    </w:p>
    <w:p w:rsidR="009950DD" w:rsidRDefault="009950DD"/>
    <w:p w:rsidR="009950DD" w:rsidRDefault="003F6F81">
      <w:pPr>
        <w:pStyle w:val="enf5"/>
      </w:pPr>
      <w:r>
        <w:t>This Ministerial Order comes into effect as of April 1, 2001.</w:t>
      </w:r>
    </w:p>
    <w:p w:rsidR="009950DD" w:rsidRDefault="009950DD"/>
    <w:p w:rsidR="009950DD" w:rsidRDefault="003F6F81">
      <w:pPr>
        <w:pStyle w:val="en2"/>
      </w:pPr>
      <w:r>
        <w:t>Supplementary Provisions  [Order of the Ministry of Agriculture, Forestry and</w:t>
      </w:r>
      <w:r>
        <w:t xml:space="preserve"> Fisheries No. 65 of July 19, 2002]</w:t>
      </w:r>
    </w:p>
    <w:p w:rsidR="009950DD" w:rsidRDefault="009950DD"/>
    <w:p w:rsidR="009950DD" w:rsidRDefault="003F6F81">
      <w:pPr>
        <w:pStyle w:val="enf5"/>
      </w:pPr>
      <w:r>
        <w:t>This Ministerial Order comes into effect as of the date of promulgation.</w:t>
      </w:r>
    </w:p>
    <w:p w:rsidR="009950DD" w:rsidRDefault="009950DD"/>
    <w:p w:rsidR="009950DD" w:rsidRDefault="003F6F81">
      <w:pPr>
        <w:pStyle w:val="en2"/>
      </w:pPr>
      <w:r>
        <w:t>Supplementary Provisions  [Order of the Ministry of Agriculture, Forestry and Fisheries No. 13 of March 6, 2003]</w:t>
      </w:r>
    </w:p>
    <w:p w:rsidR="009950DD" w:rsidRDefault="009950DD"/>
    <w:p w:rsidR="009950DD" w:rsidRDefault="003F6F81">
      <w:pPr>
        <w:pStyle w:val="enf4"/>
      </w:pPr>
      <w:r>
        <w:t>(1) This Ministerial Order come</w:t>
      </w:r>
      <w:r>
        <w:t>s into effect as of the date on which the Act Partially Amending the Agricultural Chemicals Regulation Act (Act No. 141 of 2002) comes into effect (March 10, 2003).</w:t>
      </w:r>
    </w:p>
    <w:p w:rsidR="009950DD" w:rsidRDefault="003F6F81">
      <w:pPr>
        <w:pStyle w:val="enf4"/>
      </w:pPr>
      <w:r>
        <w:t>(2) A written application that a person has submitted using Appended Form 1, a written noti</w:t>
      </w:r>
      <w:r>
        <w:t>fication that a person has submitted using Appended Form 5-2, a written notification that a person has submitted using Appended Form 7, an employee identification card that a person has issued using Appended Form 9-2, and a written notification that a pers</w:t>
      </w:r>
      <w:r>
        <w:t>on has submitted using Appended Form 12 of the Regulations for Enforcement of the Agricultural Chemicals Regulation Act from prior to its amendment by this Ministerial Order and before this Ministerial Order enters into force are deemed, respectively, to b</w:t>
      </w:r>
      <w:r>
        <w:t>e a written application that a person has submitted using Appended Form 1, a written notification that a person has submitted using Appended Form 5-2, a written notification that a person has submitted using Appended Form 7, an employee identification card</w:t>
      </w:r>
      <w:r>
        <w:t xml:space="preserve"> that a person has issued using Appended Form 9-2, and a written notification that a person has submitted using Appended Form 12 of the Regulations for Enforcement of the Agricultural Chemicals Regulation Act as amended by this Ministerial Order.</w:t>
      </w:r>
    </w:p>
    <w:p w:rsidR="009950DD" w:rsidRDefault="009950DD"/>
    <w:p w:rsidR="009950DD" w:rsidRDefault="003F6F81">
      <w:pPr>
        <w:pStyle w:val="en2"/>
      </w:pPr>
      <w:r>
        <w:t>Suppleme</w:t>
      </w:r>
      <w:r>
        <w:t>ntary Provisions  [Order of the Ministry of Agriculture, Forestry and Fisheries No. 18 of March 18, 2004]</w:t>
      </w:r>
    </w:p>
    <w:p w:rsidR="009950DD" w:rsidRDefault="009950DD"/>
    <w:p w:rsidR="009950DD" w:rsidRDefault="003F6F81">
      <w:pPr>
        <w:pStyle w:val="enf5"/>
      </w:pPr>
      <w:r>
        <w:t>This Ministerial Order comes into effect as of March 29, 2004.</w:t>
      </w:r>
    </w:p>
    <w:p w:rsidR="009950DD" w:rsidRDefault="009950DD"/>
    <w:p w:rsidR="009950DD" w:rsidRDefault="003F6F81">
      <w:pPr>
        <w:pStyle w:val="en2"/>
      </w:pPr>
      <w:r>
        <w:t xml:space="preserve">Supplementary Provisions  [Order of the Ministry of Agriculture, Forestry and </w:t>
      </w:r>
      <w:r>
        <w:t>Fisheries No. 49 of June 4, 2004]</w:t>
      </w:r>
    </w:p>
    <w:p w:rsidR="009950DD" w:rsidRDefault="009950DD"/>
    <w:p w:rsidR="009950DD" w:rsidRDefault="003F6F81">
      <w:pPr>
        <w:pStyle w:val="enf4"/>
      </w:pPr>
      <w:r>
        <w:t>(1) This Ministerial Order comes into effect as of June 11, 2004.</w:t>
      </w:r>
    </w:p>
    <w:p w:rsidR="009950DD" w:rsidRDefault="003F6F81">
      <w:pPr>
        <w:pStyle w:val="enf4"/>
      </w:pPr>
      <w:r>
        <w:t>(2) An employee identification card that is based on Appended Form 9-2 of the Regulations for Enforcement of the Agricultural Chemicals Regulation Act from</w:t>
      </w:r>
      <w:r>
        <w:t xml:space="preserve"> prior to its amendment by this Ministerial Order and that a person has issued before this Ministerial Order comes into effect is deemed to be an employee identification card that is based on Appended Form 9-2 of the Regulations for Enforcement of the Agri</w:t>
      </w:r>
      <w:r>
        <w:t>cultural Chemicals Regulation Act as amended by this Ministerial Order.</w:t>
      </w:r>
    </w:p>
    <w:p w:rsidR="009950DD" w:rsidRDefault="009950DD"/>
    <w:p w:rsidR="009950DD" w:rsidRDefault="003F6F81">
      <w:pPr>
        <w:pStyle w:val="en2"/>
      </w:pPr>
      <w:r>
        <w:t>Supplementary Provisions  [Order of the Ministry of Agriculture, Forestry and Fisheries No. 54 of June 21, 2004]</w:t>
      </w:r>
    </w:p>
    <w:p w:rsidR="009950DD" w:rsidRDefault="009950DD"/>
    <w:p w:rsidR="009950DD" w:rsidRDefault="003F6F81">
      <w:pPr>
        <w:pStyle w:val="ena"/>
      </w:pPr>
      <w:r>
        <w:t>(Effective Date)</w:t>
      </w:r>
    </w:p>
    <w:p w:rsidR="009950DD" w:rsidRDefault="003F6F81">
      <w:pPr>
        <w:pStyle w:val="enf3"/>
      </w:pPr>
      <w:r>
        <w:t xml:space="preserve">Article 1  This Ministerial Order comes into effect </w:t>
      </w:r>
      <w:r>
        <w:t>on the day that falls one year after the date of promulgation.</w:t>
      </w:r>
    </w:p>
    <w:p w:rsidR="009950DD" w:rsidRDefault="009950DD"/>
    <w:p w:rsidR="009950DD" w:rsidRDefault="003F6F81">
      <w:pPr>
        <w:pStyle w:val="ena"/>
      </w:pPr>
      <w:r>
        <w:t>(Transitional Measures)</w:t>
      </w:r>
    </w:p>
    <w:p w:rsidR="009950DD" w:rsidRDefault="003F6F81">
      <w:pPr>
        <w:pStyle w:val="enf3"/>
      </w:pPr>
      <w:r>
        <w:t>Article 2  (1) A person seeking to apply for the registration referred to in Article 2, paragraph (1) of the Agricultural Chemicals Regulation Act (hereinafter referred</w:t>
      </w:r>
      <w:r>
        <w:t xml:space="preserve"> to as "the Act") may apply for the registration using Appended Form 1 of the Regulations for Enforcement of the Agricultural Chemicals Regulation Act as amended by this Ministerial Order (hereinafter referred to as "the new Regulations") even before this </w:t>
      </w:r>
      <w:r>
        <w:t>Ministerial Order comes into effect.</w:t>
      </w:r>
    </w:p>
    <w:p w:rsidR="009950DD" w:rsidRDefault="003F6F81">
      <w:pPr>
        <w:pStyle w:val="enf4"/>
      </w:pPr>
      <w:r>
        <w:t xml:space="preserve">(2) If a person that has applied for registration pursuant to the provisions of the preceding paragraph and has been registered as referred to in Article 2, paragraph (1) of the Act sells the agricultural chemical that </w:t>
      </w:r>
      <w:r>
        <w:t>the person has manufactured, processed, or imported, the person must do the labeling referred to in Article 7 of the Act in accordance with the provisions of Article 7 of the new Regulations even before this Ministerial Order comes into effect.</w:t>
      </w:r>
    </w:p>
    <w:p w:rsidR="009950DD" w:rsidRDefault="009950DD"/>
    <w:p w:rsidR="009950DD" w:rsidRDefault="003F6F81">
      <w:pPr>
        <w:pStyle w:val="enf3"/>
      </w:pPr>
      <w:r>
        <w:t xml:space="preserve">Article 3 </w:t>
      </w:r>
      <w:r>
        <w:t xml:space="preserve"> Prior laws continue to govern the registration of an agricultural chemical for which a person has filed an application using Appended Form 1 of the Regulations for Enforcement of the Agricultural Chemicals Regulation Act as prior to its amendment by this </w:t>
      </w:r>
      <w:r>
        <w:t>Ministerial Order (hereinafter referred to as "the former Regulations") before this Ministerial Order comes into effect.</w:t>
      </w:r>
    </w:p>
    <w:p w:rsidR="009950DD" w:rsidRDefault="009950DD"/>
    <w:p w:rsidR="009950DD" w:rsidRDefault="003F6F81">
      <w:pPr>
        <w:pStyle w:val="enf3"/>
      </w:pPr>
      <w:r>
        <w:t>Article 4  Prior laws continue to govern the labeling referred to in Article 7 of the Act for an agricultural chemical registered base</w:t>
      </w:r>
      <w:r>
        <w:t>d on an application that a person has filed using Appended Form 1 of the former Regulations.</w:t>
      </w:r>
    </w:p>
    <w:p w:rsidR="009950DD" w:rsidRDefault="009950DD"/>
    <w:p w:rsidR="009950DD" w:rsidRDefault="003F6F81">
      <w:pPr>
        <w:pStyle w:val="enf3"/>
      </w:pPr>
      <w:r>
        <w:t>Article 5  Prior laws continue to govern the applicability of penal provisions to conduct that a person engages in before this Ministerial Order comes into effect</w:t>
      </w:r>
      <w:r>
        <w:t>, and to conduct that a person engages in after the this Ministerial Order comes into effect in a situation that prior laws continue to govern pursuant to the provisions of the preceding Article.</w:t>
      </w:r>
    </w:p>
    <w:p w:rsidR="009950DD" w:rsidRDefault="009950DD"/>
    <w:p w:rsidR="009950DD" w:rsidRDefault="003F6F81">
      <w:pPr>
        <w:pStyle w:val="en2"/>
      </w:pPr>
      <w:r>
        <w:t>Supplementary Provisions  [Order of the Ministry of Agricul</w:t>
      </w:r>
      <w:r>
        <w:t>ture, Forestry and Fisheries No. 6 of March 8, 2007]</w:t>
      </w:r>
    </w:p>
    <w:p w:rsidR="009950DD" w:rsidRDefault="009950DD"/>
    <w:p w:rsidR="009950DD" w:rsidRDefault="003F6F81">
      <w:pPr>
        <w:pStyle w:val="ena"/>
      </w:pPr>
      <w:r>
        <w:t>(Effective Date)</w:t>
      </w:r>
    </w:p>
    <w:p w:rsidR="009950DD" w:rsidRDefault="003F6F81">
      <w:pPr>
        <w:pStyle w:val="enf3"/>
      </w:pPr>
      <w:r>
        <w:t>Article 1  This Ministerial Order comes into effect as of the date of promulgation.</w:t>
      </w:r>
    </w:p>
    <w:p w:rsidR="009950DD" w:rsidRDefault="009950DD"/>
    <w:p w:rsidR="009950DD" w:rsidRDefault="003F6F81">
      <w:pPr>
        <w:pStyle w:val="ena"/>
      </w:pPr>
      <w:r>
        <w:t>(Transitional Measures)</w:t>
      </w:r>
    </w:p>
    <w:p w:rsidR="009950DD" w:rsidRDefault="003F6F81">
      <w:pPr>
        <w:pStyle w:val="enf3"/>
      </w:pPr>
      <w:r>
        <w:t>Article 2  (1) An employee identification card that is based on Appended For</w:t>
      </w:r>
      <w:r>
        <w:t xml:space="preserve">m 9-2 of the Regulations for Enforcement of the Agricultural Chemicals Regulation Act as prior to its amendment by this Ministerial Order (referred to as "the old format" in the following paragraph) and that exists at the time this Ministerial Order comes </w:t>
      </w:r>
      <w:r>
        <w:t>into effect is deemed to be an employee identification card that is based on Appended Form 9-2 of the Regulations for Enforcement of the Agricultural Chemicals Regulation Act as amended by this Ministerial Order.</w:t>
      </w:r>
    </w:p>
    <w:p w:rsidR="009950DD" w:rsidRDefault="003F6F81">
      <w:pPr>
        <w:pStyle w:val="enf4"/>
      </w:pPr>
      <w:r>
        <w:t xml:space="preserve">(2) Even after this Ministerial Order </w:t>
      </w:r>
      <w:r>
        <w:t>comes into effect, until otherwise provided for by law, it is permissible to update and use a blank form that has been created based on the old format and that exists at the time this Ministerial Order comes into effect.</w:t>
      </w:r>
    </w:p>
    <w:p w:rsidR="009950DD" w:rsidRDefault="009950DD"/>
    <w:p w:rsidR="009950DD" w:rsidRDefault="003F6F81">
      <w:pPr>
        <w:pStyle w:val="en2"/>
      </w:pPr>
      <w:r>
        <w:t>Supplementary Provisions  [Order o</w:t>
      </w:r>
      <w:r>
        <w:t>f the Ministry of Agriculture, Forestry and Fisheries No. 28 of March 30, 2007]  [Extract]</w:t>
      </w:r>
    </w:p>
    <w:p w:rsidR="009950DD" w:rsidRDefault="009950DD"/>
    <w:p w:rsidR="009950DD" w:rsidRDefault="003F6F81">
      <w:pPr>
        <w:pStyle w:val="ena"/>
      </w:pPr>
      <w:r>
        <w:t>(Effective Date)</w:t>
      </w:r>
    </w:p>
    <w:p w:rsidR="009950DD" w:rsidRDefault="003F6F81">
      <w:pPr>
        <w:pStyle w:val="enf3"/>
      </w:pPr>
      <w:r>
        <w:t>Article 1  This Ministerial Order comes into effect as of April 1, 2007.</w:t>
      </w:r>
    </w:p>
    <w:p w:rsidR="009950DD" w:rsidRDefault="009950DD"/>
    <w:p w:rsidR="009950DD" w:rsidRDefault="003F6F81">
      <w:pPr>
        <w:pStyle w:val="en2"/>
      </w:pPr>
      <w:r>
        <w:t>Supplementary Provisions  [Order of the Ministry of Agriculture, Forestry</w:t>
      </w:r>
      <w:r>
        <w:t xml:space="preserve"> and Fisheries No. 16 of March 24, 2016]</w:t>
      </w:r>
    </w:p>
    <w:p w:rsidR="009950DD" w:rsidRDefault="009950DD"/>
    <w:p w:rsidR="009950DD" w:rsidRDefault="003F6F81">
      <w:pPr>
        <w:pStyle w:val="enf5"/>
      </w:pPr>
      <w:r>
        <w:t>This Ministerial Order comes into effect as of April 1, 2016.</w:t>
      </w:r>
    </w:p>
    <w:p w:rsidR="009950DD" w:rsidRDefault="009950DD"/>
    <w:p w:rsidR="009950DD" w:rsidRDefault="003F6F81">
      <w:pPr>
        <w:pStyle w:val="en2"/>
      </w:pPr>
      <w:r>
        <w:t>Supplementary Provisions  [Order of the Ministry of Agriculture, Forestry and Fisheries No. 71 of October 31, 2016]</w:t>
      </w:r>
    </w:p>
    <w:p w:rsidR="009950DD" w:rsidRDefault="009950DD"/>
    <w:p w:rsidR="009950DD" w:rsidRDefault="003F6F81">
      <w:pPr>
        <w:pStyle w:val="ena"/>
      </w:pPr>
      <w:r>
        <w:t>(Effective Date)</w:t>
      </w:r>
    </w:p>
    <w:p w:rsidR="009950DD" w:rsidRDefault="003F6F81">
      <w:pPr>
        <w:pStyle w:val="enf4"/>
      </w:pPr>
      <w:r>
        <w:t>(1) This Minister</w:t>
      </w:r>
      <w:r>
        <w:t>ial Order comes into effect as of April 1, 2017.</w:t>
      </w:r>
    </w:p>
    <w:p w:rsidR="009950DD" w:rsidRDefault="009950DD"/>
    <w:p w:rsidR="009950DD" w:rsidRDefault="003F6F81">
      <w:pPr>
        <w:pStyle w:val="ena"/>
      </w:pPr>
      <w:r>
        <w:t>(Transitional Measures)</w:t>
      </w:r>
    </w:p>
    <w:p w:rsidR="009950DD" w:rsidRDefault="003F6F81">
      <w:pPr>
        <w:pStyle w:val="enf4"/>
      </w:pPr>
      <w:r>
        <w:t xml:space="preserve">(2) A written application that a person has submitted before this Ministerial Order comes into effect using Appended Form 1 of the Regulations for Enforcement of the </w:t>
      </w:r>
      <w:r>
        <w:t xml:space="preserve">Agricultural Chemicals Regulation Act from prior to its amendment by this Ministerial Order is deemed to be a written application that a person has submitted using Appended Form 1 of the Regulations for Enforcement of the Agricultural Chemicals Regulation </w:t>
      </w:r>
      <w:r>
        <w:t>Act as amended by this Ministerial Order.</w:t>
      </w:r>
    </w:p>
    <w:p w:rsidR="009950DD" w:rsidRDefault="009950DD"/>
    <w:p w:rsidR="009950DD" w:rsidRDefault="003F6F81">
      <w:pPr>
        <w:pStyle w:val="en2"/>
      </w:pPr>
      <w:r>
        <w:t>Supplementary Provisions  [Order of the Ministry of Agriculture, Forestry and Fisheries No. 75 of November 30, 2018]</w:t>
      </w:r>
    </w:p>
    <w:p w:rsidR="009950DD" w:rsidRDefault="009950DD"/>
    <w:p w:rsidR="009950DD" w:rsidRDefault="003F6F81">
      <w:pPr>
        <w:pStyle w:val="ena"/>
      </w:pPr>
      <w:r>
        <w:t>(Effective Date)</w:t>
      </w:r>
    </w:p>
    <w:p w:rsidR="009950DD" w:rsidRDefault="003F6F81">
      <w:pPr>
        <w:pStyle w:val="enf4"/>
      </w:pPr>
      <w:r>
        <w:t>(1) This Ministerial Order comes into effect as of the date on which the Act P</w:t>
      </w:r>
      <w:r>
        <w:t>artially Amending the Agricultural Chemicals Regulation Act comes into effect (December 1, 2018).</w:t>
      </w:r>
    </w:p>
    <w:p w:rsidR="009950DD" w:rsidRDefault="009950DD"/>
    <w:p w:rsidR="009950DD" w:rsidRDefault="003F6F81">
      <w:pPr>
        <w:pStyle w:val="ena"/>
      </w:pPr>
      <w:r>
        <w:t>(Transitional Measures)</w:t>
      </w:r>
    </w:p>
    <w:p w:rsidR="009950DD" w:rsidRDefault="003F6F81">
      <w:pPr>
        <w:pStyle w:val="enf4"/>
      </w:pPr>
      <w:r>
        <w:t xml:space="preserve">(2) A written notification and application that a person has submitted using Appended Form 2-3 of the Regulations for Enforcement of </w:t>
      </w:r>
      <w:r>
        <w:t>the Agricultural Chemicals Regulation Act from prior to its amendment by the provisions of Article 1 (hereinafter referred to as "the former Order" in this paragraph), a written notification that a person has submitted using Appended Form 3 of the former O</w:t>
      </w:r>
      <w:r>
        <w:t>rder, a written notification and application that a person has submitted using Appended Form 4 of the former Order, a written application that a person has submitted using Appended Form 5 of the former Order, a written notification that a person has submit</w:t>
      </w:r>
      <w:r>
        <w:t xml:space="preserve">ted using Appended Form 5-2 of the former Order, a written notification that a person has submitted using Appended Form 5-3 of the former Order, a written notification that a person has submitted using Appended Form 7 of the former Order, a written report </w:t>
      </w:r>
      <w:r>
        <w:t>that a person has submitted using Appended Form 9 of the former Order, an employee identification card that a person has issued using Appended Form 9-2 of the former Order, a written notification that a person has submitted using Appended Form 10 of the fo</w:t>
      </w:r>
      <w:r>
        <w:t>rmer Order, a written notice through which a person has been notified pursuant to Appended Form 11 of the former Order, a written report that a person has submitted using Appended Form 11-2 of the former Order, or a written notification that a person has s</w:t>
      </w:r>
      <w:r>
        <w:t xml:space="preserve">ubmitted using Appended Form 12 of the former Order before this Ministerial Order comes into effect are deemed, respectively, to be a written notification and application that a person has submitted using Appended Form 5 of the Regulations for Enforcement </w:t>
      </w:r>
      <w:r>
        <w:t>of the Agricultural Chemicals Regulation Act as amended by the provisions of that Article (hereinafter referred to as "the new Order" in this paragraph), a written notification that a person has submitted using Appended Form 6 of the new Order, a written n</w:t>
      </w:r>
      <w:r>
        <w:t>otification and application that a person has submitted using Appended Form 7 of the new Order, a written application that a person has submitted using Appended Form 8 of the new Order, a written notification that a person has submitted using Appended Form</w:t>
      </w:r>
      <w:r>
        <w:t xml:space="preserve"> 9 of the new Order, a written notification that a person has submitted using Appended Form 10 of the new Order, a written notification that a person has submitted using Appended Form 13 of the new Order, a written report that a person has submitted using </w:t>
      </w:r>
      <w:r>
        <w:t xml:space="preserve">Appended Form 14 of the new Order, an employee identification card that a person has issued using Appended Form 15 of the new Order, a written notification that a person has submitted using Appended Form 16 of the new Order, a written notice through which </w:t>
      </w:r>
      <w:r>
        <w:t>a person has been notified pursuant to Appended Form 17 of the new Order, a written report that a person has submitted using Appended Form 18 of the new Order, or a written notification that a person has submitted using Appended Form 19 of the new Order.</w:t>
      </w:r>
    </w:p>
    <w:p w:rsidR="009950DD" w:rsidRDefault="009950DD"/>
    <w:p w:rsidR="009950DD" w:rsidRDefault="003F6F81">
      <w:pPr>
        <w:pStyle w:val="en2"/>
      </w:pPr>
      <w:r>
        <w:t>Supplementary Provisions  [Order of the Ministry of Agriculture, Forestry and Fisheries No. 10 of June 27, 2019]</w:t>
      </w:r>
    </w:p>
    <w:p w:rsidR="009950DD" w:rsidRDefault="009950DD"/>
    <w:p w:rsidR="009950DD" w:rsidRDefault="003F6F81">
      <w:pPr>
        <w:pStyle w:val="ena"/>
      </w:pPr>
      <w:r>
        <w:t>(Effective Date)</w:t>
      </w:r>
    </w:p>
    <w:p w:rsidR="009950DD" w:rsidRDefault="003F6F81">
      <w:pPr>
        <w:pStyle w:val="enf3"/>
      </w:pPr>
      <w:r>
        <w:t xml:space="preserve">Article 1  This Ministerial Order comes into effect as of the date on which the Act Partially Amending the Unfair </w:t>
      </w:r>
      <w:r>
        <w:t>Competition Prevention Act, etc. comes into effect (July 1, 2019).</w:t>
      </w:r>
    </w:p>
    <w:p w:rsidR="009950DD" w:rsidRDefault="009950DD"/>
    <w:p w:rsidR="009950DD" w:rsidRDefault="003F6F81">
      <w:pPr>
        <w:pStyle w:val="ena"/>
      </w:pPr>
      <w:r>
        <w:t>(Transitional Measures)</w:t>
      </w:r>
    </w:p>
    <w:p w:rsidR="009950DD" w:rsidRDefault="003F6F81">
      <w:pPr>
        <w:pStyle w:val="enf3"/>
      </w:pPr>
      <w:r>
        <w:t>Article 2  (1) A document that exists at the time this Ministerial Order comes into effect and that is being used based on a form from prior to its amendment by thi</w:t>
      </w:r>
      <w:r>
        <w:t>s Ministerial Order (referred to as "the old format" in the following paragraph) is deemed to be one that is based on the form as amended by this Ministerial Order.</w:t>
      </w:r>
    </w:p>
    <w:p w:rsidR="009950DD" w:rsidRDefault="003F6F81">
      <w:pPr>
        <w:pStyle w:val="enf4"/>
      </w:pPr>
      <w:r>
        <w:t>(2) Until otherwise provided for by law, it is permissible to update and use a blank form t</w:t>
      </w:r>
      <w:r>
        <w:t>hat is in the old format and that exists at the time this Ministerial Order comes into effect.</w:t>
      </w:r>
    </w:p>
    <w:p w:rsidR="009950DD" w:rsidRDefault="009950DD"/>
    <w:p w:rsidR="009950DD" w:rsidRDefault="003F6F81">
      <w:pPr>
        <w:pStyle w:val="en2"/>
      </w:pPr>
      <w:r>
        <w:t>Supplementary Provisions  [Order of the Ministry of Agriculture, Forestry and Fisheries No. 11 of June 28, 2019]  [Extract]</w:t>
      </w:r>
    </w:p>
    <w:p w:rsidR="009950DD" w:rsidRDefault="009950DD"/>
    <w:p w:rsidR="009950DD" w:rsidRDefault="003F6F81">
      <w:pPr>
        <w:pStyle w:val="ena"/>
      </w:pPr>
      <w:r>
        <w:t>(Effective Date)</w:t>
      </w:r>
    </w:p>
    <w:p w:rsidR="009950DD" w:rsidRDefault="003F6F81">
      <w:pPr>
        <w:pStyle w:val="enf4"/>
      </w:pPr>
      <w:r>
        <w:t>(1) This Ministeri</w:t>
      </w:r>
      <w:r>
        <w:t>al Order comes into effect as of the date on which the provisions set forth in Article 1, item (ii) of the Supplementary Provisions of the Act Partially Amending the Agricultural Chemicals Regulation Act (Act No. 53 of 2018) come into effect (April 1, 2020</w:t>
      </w:r>
      <w:r>
        <w:t xml:space="preserve">); provided, however, that the provisions amending Article 11, paragraph (1), item (i); Article 13; and Article 19, paragraph (1), item (i) of the Regulations for Enforcement of the Agricultural Chemicals Regulation Act in Article 1 come into effect as of </w:t>
      </w:r>
      <w:r>
        <w:t>the date of promulgation.</w:t>
      </w:r>
    </w:p>
    <w:p w:rsidR="009950DD" w:rsidRDefault="009950DD"/>
    <w:p w:rsidR="009950DD" w:rsidRDefault="003F6F81">
      <w:pPr>
        <w:pStyle w:val="en2"/>
      </w:pPr>
      <w:r>
        <w:t>Supplementary Provisions  [Order of the Ministry of Agriculture, Forestry and Fisheries No. 83 of December 21, 2020]</w:t>
      </w:r>
    </w:p>
    <w:p w:rsidR="009950DD" w:rsidRDefault="009950DD"/>
    <w:p w:rsidR="009950DD" w:rsidRDefault="003F6F81">
      <w:pPr>
        <w:pStyle w:val="ena"/>
      </w:pPr>
      <w:r>
        <w:t>(Effective Date)</w:t>
      </w:r>
    </w:p>
    <w:p w:rsidR="009950DD" w:rsidRDefault="003F6F81">
      <w:pPr>
        <w:pStyle w:val="enf3"/>
      </w:pPr>
      <w:r>
        <w:t>Article 1  This Ministerial Order comes into effect as of the date of promulgation.</w:t>
      </w:r>
    </w:p>
    <w:p w:rsidR="009950DD" w:rsidRDefault="009950DD"/>
    <w:p w:rsidR="009950DD" w:rsidRDefault="003F6F81">
      <w:pPr>
        <w:pStyle w:val="ena"/>
      </w:pPr>
      <w:r>
        <w:t>(Transiti</w:t>
      </w:r>
      <w:r>
        <w:t>onal Measures)</w:t>
      </w:r>
    </w:p>
    <w:p w:rsidR="009950DD" w:rsidRDefault="003F6F81">
      <w:pPr>
        <w:pStyle w:val="enf3"/>
      </w:pPr>
      <w:r>
        <w:t>Article 2  (1) A document that exists at the time this Ministerial Order comes into effect and that is being used based on a form from prior to its amendment by this Ministerial Order (referred to as "the old format" in the following paragra</w:t>
      </w:r>
      <w:r>
        <w:t>ph) is deemed to be one that is based on the form as amended by this Ministerial Order.</w:t>
      </w:r>
    </w:p>
    <w:p w:rsidR="009950DD" w:rsidRDefault="003F6F81">
      <w:pPr>
        <w:pStyle w:val="enf4"/>
      </w:pPr>
      <w:r>
        <w:t>(2) Until otherwise provided for by law, it is permissible to update and use a blank form that is in the old format and that exists at the time this Ministerial Order c</w:t>
      </w:r>
      <w:r>
        <w:t>omes into effect.</w:t>
      </w:r>
    </w:p>
    <w:p w:rsidR="009950DD" w:rsidRDefault="009950DD"/>
    <w:p w:rsidR="009950DD" w:rsidRDefault="003F6F81">
      <w:pPr>
        <w:pStyle w:val="enff8"/>
      </w:pPr>
      <w:r>
        <w:t>Appended</w:t>
      </w:r>
    </w:p>
    <w:p w:rsidR="009950DD" w:rsidRDefault="009950DD"/>
    <w:p w:rsidR="009950DD" w:rsidRDefault="003F6F81">
      <w:pPr>
        <w:pStyle w:val="enff8"/>
      </w:pPr>
      <w:r>
        <w:t>Form 1 (Re: Article 1)</w:t>
      </w:r>
    </w:p>
    <w:p w:rsidR="009950DD" w:rsidRDefault="009950DD"/>
    <w:p w:rsidR="009950DD" w:rsidRDefault="003F6F81">
      <w:pPr>
        <w:pStyle w:val="enff8"/>
      </w:pPr>
      <w:r>
        <w:t>Form 2 (Re: Article 2)</w:t>
      </w:r>
    </w:p>
    <w:p w:rsidR="009950DD" w:rsidRDefault="009950DD"/>
    <w:p w:rsidR="009950DD" w:rsidRDefault="003F6F81">
      <w:pPr>
        <w:pStyle w:val="enff8"/>
      </w:pPr>
      <w:r>
        <w:t>Form 3 (Re: Article 4)</w:t>
      </w:r>
    </w:p>
    <w:p w:rsidR="009950DD" w:rsidRDefault="009950DD"/>
    <w:p w:rsidR="009950DD" w:rsidRDefault="003F6F81">
      <w:pPr>
        <w:pStyle w:val="enff8"/>
      </w:pPr>
      <w:r>
        <w:t>Form 4 (Re: Article 5)</w:t>
      </w:r>
    </w:p>
    <w:p w:rsidR="009950DD" w:rsidRDefault="009950DD"/>
    <w:p w:rsidR="009950DD" w:rsidRDefault="003F6F81">
      <w:pPr>
        <w:pStyle w:val="enff8"/>
      </w:pPr>
      <w:r>
        <w:t>Form 5 (Re: Article 8)</w:t>
      </w:r>
    </w:p>
    <w:p w:rsidR="009950DD" w:rsidRDefault="009950DD"/>
    <w:p w:rsidR="009950DD" w:rsidRDefault="003F6F81">
      <w:pPr>
        <w:pStyle w:val="enff8"/>
      </w:pPr>
      <w:r>
        <w:t>Form 6 (Re: Article 10)</w:t>
      </w:r>
    </w:p>
    <w:p w:rsidR="009950DD" w:rsidRDefault="009950DD"/>
    <w:p w:rsidR="009950DD" w:rsidRDefault="003F6F81">
      <w:pPr>
        <w:pStyle w:val="enff8"/>
      </w:pPr>
      <w:r>
        <w:t>Form 7 (Re: Article 10)</w:t>
      </w:r>
    </w:p>
    <w:p w:rsidR="009950DD" w:rsidRDefault="009950DD"/>
    <w:p w:rsidR="009950DD" w:rsidRDefault="003F6F81">
      <w:pPr>
        <w:pStyle w:val="enff8"/>
      </w:pPr>
      <w:r>
        <w:t>Form 8 (Re: Article 10)</w:t>
      </w:r>
    </w:p>
    <w:p w:rsidR="009950DD" w:rsidRDefault="009950DD"/>
    <w:p w:rsidR="009950DD" w:rsidRDefault="003F6F81">
      <w:pPr>
        <w:pStyle w:val="enff8"/>
      </w:pPr>
      <w:r>
        <w:t>Form 9 (Re: Article 10)</w:t>
      </w:r>
    </w:p>
    <w:p w:rsidR="009950DD" w:rsidRDefault="009950DD"/>
    <w:p w:rsidR="009950DD" w:rsidRDefault="003F6F81">
      <w:pPr>
        <w:pStyle w:val="enff8"/>
      </w:pPr>
      <w:r>
        <w:t>Form 10 (Re: Article 10)</w:t>
      </w:r>
    </w:p>
    <w:p w:rsidR="009950DD" w:rsidRDefault="009950DD"/>
    <w:p w:rsidR="009950DD" w:rsidRDefault="003F6F81">
      <w:pPr>
        <w:pStyle w:val="enff8"/>
      </w:pPr>
      <w:r>
        <w:t>Form 11 (Re: Article 11)</w:t>
      </w:r>
    </w:p>
    <w:p w:rsidR="009950DD" w:rsidRDefault="009950DD"/>
    <w:p w:rsidR="009950DD" w:rsidRDefault="003F6F81">
      <w:pPr>
        <w:pStyle w:val="enff8"/>
      </w:pPr>
      <w:r>
        <w:t>Form 12 (Re: Article 12)</w:t>
      </w:r>
    </w:p>
    <w:p w:rsidR="009950DD" w:rsidRDefault="009950DD"/>
    <w:p w:rsidR="009950DD" w:rsidRDefault="003F6F81">
      <w:pPr>
        <w:pStyle w:val="enff8"/>
      </w:pPr>
      <w:r>
        <w:t>Form 13 (Re: Article 15)</w:t>
      </w:r>
    </w:p>
    <w:p w:rsidR="009950DD" w:rsidRDefault="009950DD"/>
    <w:p w:rsidR="009950DD" w:rsidRDefault="003F6F81">
      <w:pPr>
        <w:pStyle w:val="enff8"/>
      </w:pPr>
      <w:r>
        <w:t>Form 14 (Re: Article 18)</w:t>
      </w:r>
    </w:p>
    <w:p w:rsidR="009950DD" w:rsidRDefault="009950DD"/>
    <w:p w:rsidR="009950DD" w:rsidRDefault="003F6F81">
      <w:pPr>
        <w:pStyle w:val="enff8"/>
      </w:pPr>
      <w:r>
        <w:t>Form 15 (Re: Article 20)</w:t>
      </w:r>
    </w:p>
    <w:p w:rsidR="009950DD" w:rsidRDefault="009950DD"/>
    <w:p w:rsidR="009950DD" w:rsidRDefault="003F6F81">
      <w:pPr>
        <w:pStyle w:val="enff8"/>
      </w:pPr>
      <w:r>
        <w:t>Form 16 (Re: Article 21)</w:t>
      </w:r>
    </w:p>
    <w:p w:rsidR="009950DD" w:rsidRDefault="009950DD"/>
    <w:p w:rsidR="009950DD" w:rsidRDefault="003F6F81">
      <w:pPr>
        <w:pStyle w:val="enff8"/>
      </w:pPr>
      <w:r>
        <w:t>Form 17 (Re: Article 22)</w:t>
      </w:r>
    </w:p>
    <w:p w:rsidR="009950DD" w:rsidRDefault="009950DD"/>
    <w:p w:rsidR="009950DD" w:rsidRDefault="003F6F81">
      <w:pPr>
        <w:pStyle w:val="enff8"/>
      </w:pPr>
      <w:r>
        <w:t>Form 18 (Re: Article 24)</w:t>
      </w:r>
    </w:p>
    <w:p w:rsidR="009950DD" w:rsidRDefault="009950DD"/>
    <w:p w:rsidR="009950DD" w:rsidRDefault="003F6F81">
      <w:pPr>
        <w:pStyle w:val="enff8"/>
      </w:pPr>
      <w:r>
        <w:t xml:space="preserve">Form 19 (Re: </w:t>
      </w:r>
      <w:r>
        <w:t>Article 25)</w:t>
      </w:r>
    </w:p>
    <w:sectPr w:rsidR="009950DD" w:rsidSect="009950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50DD" w:rsidRDefault="009950DD" w:rsidP="009950DD">
      <w:r>
        <w:separator/>
      </w:r>
    </w:p>
  </w:endnote>
  <w:endnote w:type="continuationSeparator" w:id="0">
    <w:p w:rsidR="009950DD" w:rsidRDefault="009950DD" w:rsidP="0099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0DD" w:rsidRDefault="009950DD">
    <w:pPr>
      <w:pStyle w:val="a3"/>
    </w:pPr>
    <w:r>
      <w:fldChar w:fldCharType="begin"/>
    </w:r>
    <w:r>
      <w:instrText xml:space="preserve"> PAGE  \* MERGEFORMAT </w:instrText>
    </w:r>
    <w:r>
      <w:fldChar w:fldCharType="separate"/>
    </w:r>
    <w:r w:rsidR="003F6F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50DD" w:rsidRDefault="009950DD" w:rsidP="009950DD">
      <w:r>
        <w:separator/>
      </w:r>
    </w:p>
  </w:footnote>
  <w:footnote w:type="continuationSeparator" w:id="0">
    <w:p w:rsidR="009950DD" w:rsidRDefault="009950DD" w:rsidP="0099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F74"/>
    <w:multiLevelType w:val="multilevel"/>
    <w:tmpl w:val="BC92E1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7154AF"/>
    <w:multiLevelType w:val="multilevel"/>
    <w:tmpl w:val="0A4426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3D1047"/>
    <w:multiLevelType w:val="multilevel"/>
    <w:tmpl w:val="4D2A93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7179FD"/>
    <w:multiLevelType w:val="multilevel"/>
    <w:tmpl w:val="54EA01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B816EC"/>
    <w:multiLevelType w:val="multilevel"/>
    <w:tmpl w:val="181C52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C949F8"/>
    <w:multiLevelType w:val="multilevel"/>
    <w:tmpl w:val="C79AE1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B5266C"/>
    <w:multiLevelType w:val="multilevel"/>
    <w:tmpl w:val="37005B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D456C7"/>
    <w:multiLevelType w:val="multilevel"/>
    <w:tmpl w:val="C74EAB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910DD9"/>
    <w:multiLevelType w:val="multilevel"/>
    <w:tmpl w:val="BA4C75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2C0154"/>
    <w:multiLevelType w:val="multilevel"/>
    <w:tmpl w:val="3274DF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B6EA2"/>
    <w:multiLevelType w:val="multilevel"/>
    <w:tmpl w:val="175CA1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00BA2"/>
    <w:multiLevelType w:val="multilevel"/>
    <w:tmpl w:val="D9DC8C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67205"/>
    <w:multiLevelType w:val="multilevel"/>
    <w:tmpl w:val="DC52F8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12"/>
  </w:num>
  <w:num w:numId="4">
    <w:abstractNumId w:val="7"/>
  </w:num>
  <w:num w:numId="5">
    <w:abstractNumId w:val="0"/>
  </w:num>
  <w:num w:numId="6">
    <w:abstractNumId w:val="2"/>
  </w:num>
  <w:num w:numId="7">
    <w:abstractNumId w:val="1"/>
  </w:num>
  <w:num w:numId="8">
    <w:abstractNumId w:val="8"/>
  </w:num>
  <w:num w:numId="9">
    <w:abstractNumId w:val="3"/>
  </w:num>
  <w:num w:numId="10">
    <w:abstractNumId w:val="9"/>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50DD"/>
    <w:rsid w:val="003F6F81"/>
    <w:rsid w:val="009950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0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50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50DD"/>
    <w:rPr>
      <w:rFonts w:ascii="Century" w:eastAsia="Century" w:hAnsi="Century"/>
    </w:rPr>
  </w:style>
  <w:style w:type="paragraph" w:customStyle="1" w:styleId="ja0">
    <w:name w:val="款（ja）"/>
    <w:basedOn w:val="a"/>
    <w:rsid w:val="009950DD"/>
    <w:pPr>
      <w:widowControl w:val="0"/>
      <w:ind w:left="1321" w:hanging="221"/>
    </w:pPr>
    <w:rPr>
      <w:rFonts w:ascii="ＭＳ 明朝" w:eastAsia="ＭＳ 明朝" w:hAnsi="ＭＳ 明朝" w:cs="ＭＳ 明朝"/>
      <w:b/>
    </w:rPr>
  </w:style>
  <w:style w:type="paragraph" w:customStyle="1" w:styleId="en0">
    <w:name w:val="款（en）"/>
    <w:basedOn w:val="ja0"/>
    <w:rsid w:val="009950DD"/>
    <w:rPr>
      <w:rFonts w:ascii="Century" w:eastAsia="Century" w:hAnsi="Century" w:cs="Century"/>
    </w:rPr>
  </w:style>
  <w:style w:type="paragraph" w:customStyle="1" w:styleId="ja1">
    <w:name w:val="前文（ja）"/>
    <w:basedOn w:val="a"/>
    <w:rsid w:val="009950DD"/>
    <w:pPr>
      <w:widowControl w:val="0"/>
      <w:ind w:firstLine="219"/>
    </w:pPr>
    <w:rPr>
      <w:rFonts w:ascii="ＭＳ 明朝" w:eastAsia="ＭＳ 明朝" w:hAnsi="ＭＳ 明朝" w:cs="ＭＳ 明朝"/>
    </w:rPr>
  </w:style>
  <w:style w:type="paragraph" w:customStyle="1" w:styleId="en1">
    <w:name w:val="前文（en）"/>
    <w:basedOn w:val="ja1"/>
    <w:rsid w:val="009950DD"/>
    <w:rPr>
      <w:rFonts w:ascii="Century" w:eastAsia="Century" w:hAnsi="Century" w:cs="Century"/>
    </w:rPr>
  </w:style>
  <w:style w:type="paragraph" w:customStyle="1" w:styleId="ja2">
    <w:name w:val="附則（ja）"/>
    <w:basedOn w:val="a"/>
    <w:rsid w:val="009950DD"/>
    <w:pPr>
      <w:widowControl w:val="0"/>
      <w:ind w:left="881" w:hanging="221"/>
    </w:pPr>
    <w:rPr>
      <w:rFonts w:ascii="ＭＳ 明朝" w:eastAsia="ＭＳ 明朝" w:hAnsi="ＭＳ 明朝" w:cs="ＭＳ 明朝"/>
      <w:b/>
    </w:rPr>
  </w:style>
  <w:style w:type="paragraph" w:customStyle="1" w:styleId="en2">
    <w:name w:val="附則（en）"/>
    <w:basedOn w:val="ja2"/>
    <w:rsid w:val="009950DD"/>
    <w:rPr>
      <w:rFonts w:ascii="Century" w:hAnsi="Century" w:cs="Century"/>
    </w:rPr>
  </w:style>
  <w:style w:type="paragraph" w:customStyle="1" w:styleId="ja3">
    <w:name w:val="章（ja）"/>
    <w:basedOn w:val="a"/>
    <w:rsid w:val="009950DD"/>
    <w:pPr>
      <w:widowControl w:val="0"/>
      <w:ind w:left="881" w:hanging="221"/>
    </w:pPr>
    <w:rPr>
      <w:rFonts w:ascii="ＭＳ 明朝" w:eastAsia="ＭＳ 明朝" w:hAnsi="ＭＳ 明朝" w:cs="ＭＳ 明朝"/>
      <w:b/>
    </w:rPr>
  </w:style>
  <w:style w:type="paragraph" w:customStyle="1" w:styleId="en3">
    <w:name w:val="章（en）"/>
    <w:basedOn w:val="ja3"/>
    <w:rsid w:val="009950DD"/>
    <w:rPr>
      <w:rFonts w:ascii="Century" w:eastAsia="Century" w:hAnsi="Century" w:cs="Century"/>
    </w:rPr>
  </w:style>
  <w:style w:type="paragraph" w:customStyle="1" w:styleId="ja4">
    <w:name w:val="目次編（ja）"/>
    <w:basedOn w:val="a"/>
    <w:rsid w:val="009950DD"/>
    <w:pPr>
      <w:widowControl w:val="0"/>
      <w:ind w:left="219" w:hanging="219"/>
    </w:pPr>
    <w:rPr>
      <w:rFonts w:ascii="ＭＳ 明朝" w:eastAsia="ＭＳ 明朝" w:hAnsi="ＭＳ 明朝"/>
    </w:rPr>
  </w:style>
  <w:style w:type="paragraph" w:customStyle="1" w:styleId="en4">
    <w:name w:val="目次編（en）"/>
    <w:basedOn w:val="ja4"/>
    <w:rsid w:val="009950DD"/>
    <w:rPr>
      <w:rFonts w:ascii="Century" w:eastAsia="Century" w:hAnsi="Century"/>
    </w:rPr>
  </w:style>
  <w:style w:type="paragraph" w:customStyle="1" w:styleId="ja5">
    <w:name w:val="目次章（ja）"/>
    <w:basedOn w:val="a"/>
    <w:rsid w:val="009950DD"/>
    <w:pPr>
      <w:widowControl w:val="0"/>
      <w:ind w:left="439" w:hanging="219"/>
    </w:pPr>
    <w:rPr>
      <w:rFonts w:ascii="ＭＳ 明朝" w:eastAsia="ＭＳ 明朝" w:hAnsi="ＭＳ 明朝"/>
    </w:rPr>
  </w:style>
  <w:style w:type="paragraph" w:customStyle="1" w:styleId="en5">
    <w:name w:val="目次章（en）"/>
    <w:basedOn w:val="ja5"/>
    <w:rsid w:val="009950DD"/>
    <w:rPr>
      <w:rFonts w:ascii="Century" w:eastAsia="Century" w:hAnsi="Century"/>
    </w:rPr>
  </w:style>
  <w:style w:type="paragraph" w:customStyle="1" w:styleId="ja6">
    <w:name w:val="目次節（ja）"/>
    <w:basedOn w:val="a"/>
    <w:rsid w:val="009950DD"/>
    <w:pPr>
      <w:widowControl w:val="0"/>
      <w:ind w:left="659" w:hanging="219"/>
    </w:pPr>
    <w:rPr>
      <w:rFonts w:ascii="ＭＳ 明朝" w:eastAsia="ＭＳ 明朝" w:hAnsi="ＭＳ 明朝"/>
    </w:rPr>
  </w:style>
  <w:style w:type="paragraph" w:customStyle="1" w:styleId="en6">
    <w:name w:val="目次節（en）"/>
    <w:basedOn w:val="ja6"/>
    <w:rsid w:val="009950DD"/>
    <w:rPr>
      <w:rFonts w:ascii="Century" w:eastAsia="Century" w:hAnsi="Century"/>
    </w:rPr>
  </w:style>
  <w:style w:type="paragraph" w:customStyle="1" w:styleId="ja7">
    <w:name w:val="目次款（ja）"/>
    <w:basedOn w:val="a"/>
    <w:rsid w:val="009950DD"/>
    <w:pPr>
      <w:widowControl w:val="0"/>
      <w:ind w:left="879" w:hanging="219"/>
    </w:pPr>
    <w:rPr>
      <w:rFonts w:ascii="ＭＳ 明朝" w:eastAsia="ＭＳ 明朝" w:hAnsi="ＭＳ 明朝" w:cs="Kochi Mincho"/>
    </w:rPr>
  </w:style>
  <w:style w:type="paragraph" w:customStyle="1" w:styleId="en7">
    <w:name w:val="目次款（en）"/>
    <w:basedOn w:val="ja7"/>
    <w:rsid w:val="009950DD"/>
    <w:rPr>
      <w:rFonts w:ascii="Century" w:eastAsia="Century" w:hAnsi="Century"/>
    </w:rPr>
  </w:style>
  <w:style w:type="paragraph" w:customStyle="1" w:styleId="ja8">
    <w:name w:val="別表名（ja）"/>
    <w:basedOn w:val="a"/>
    <w:rsid w:val="009950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50DD"/>
    <w:rPr>
      <w:rFonts w:ascii="Century" w:eastAsia="Century" w:hAnsi="Century" w:cs="Century"/>
    </w:rPr>
  </w:style>
  <w:style w:type="paragraph" w:customStyle="1" w:styleId="ja9">
    <w:name w:val="目（ja）"/>
    <w:basedOn w:val="a"/>
    <w:rsid w:val="009950DD"/>
    <w:pPr>
      <w:widowControl w:val="0"/>
      <w:ind w:left="1541" w:hanging="221"/>
    </w:pPr>
    <w:rPr>
      <w:rFonts w:ascii="ＭＳ 明朝" w:eastAsia="ＭＳ 明朝" w:hAnsi="ＭＳ 明朝" w:cs="ＭＳ 明朝"/>
      <w:b/>
    </w:rPr>
  </w:style>
  <w:style w:type="paragraph" w:customStyle="1" w:styleId="en9">
    <w:name w:val="目（en）"/>
    <w:basedOn w:val="ja9"/>
    <w:rsid w:val="009950DD"/>
    <w:rPr>
      <w:rFonts w:ascii="Century" w:eastAsia="Century" w:hAnsi="Century" w:cs="Century"/>
    </w:rPr>
  </w:style>
  <w:style w:type="paragraph" w:customStyle="1" w:styleId="jaa">
    <w:name w:val="見出し（ja）"/>
    <w:basedOn w:val="a"/>
    <w:rsid w:val="009950DD"/>
    <w:pPr>
      <w:widowControl w:val="0"/>
      <w:ind w:left="439" w:hanging="219"/>
    </w:pPr>
    <w:rPr>
      <w:rFonts w:ascii="ＭＳ 明朝" w:eastAsia="ＭＳ 明朝" w:hAnsi="ＭＳ 明朝" w:cs="ＭＳ 明朝"/>
    </w:rPr>
  </w:style>
  <w:style w:type="paragraph" w:customStyle="1" w:styleId="ena">
    <w:name w:val="見出し（en）"/>
    <w:basedOn w:val="jaa"/>
    <w:rsid w:val="009950DD"/>
    <w:rPr>
      <w:rFonts w:ascii="Century" w:eastAsia="Century" w:hAnsi="Century" w:cs="Century"/>
    </w:rPr>
  </w:style>
  <w:style w:type="paragraph" w:styleId="a3">
    <w:name w:val="footer"/>
    <w:basedOn w:val="a"/>
    <w:rsid w:val="009950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50DD"/>
    <w:pPr>
      <w:widowControl w:val="0"/>
      <w:ind w:left="1099" w:hanging="219"/>
    </w:pPr>
    <w:rPr>
      <w:rFonts w:ascii="ＭＳ 明朝" w:eastAsia="ＭＳ 明朝" w:hAnsi="ＭＳ 明朝" w:cs="Kochi Mincho"/>
    </w:rPr>
  </w:style>
  <w:style w:type="paragraph" w:customStyle="1" w:styleId="enb">
    <w:name w:val="目次目（en）"/>
    <w:basedOn w:val="jab"/>
    <w:rsid w:val="009950DD"/>
    <w:rPr>
      <w:rFonts w:ascii="Century" w:eastAsia="Century" w:hAnsi="Century"/>
    </w:rPr>
  </w:style>
  <w:style w:type="paragraph" w:customStyle="1" w:styleId="jac">
    <w:name w:val="目次附則（ja）"/>
    <w:basedOn w:val="a"/>
    <w:rsid w:val="009950DD"/>
    <w:pPr>
      <w:widowControl w:val="0"/>
      <w:ind w:left="439" w:hanging="219"/>
    </w:pPr>
    <w:rPr>
      <w:rFonts w:ascii="ＭＳ 明朝" w:eastAsia="ＭＳ 明朝" w:hAnsi="ＭＳ 明朝" w:cs="Kochi Mincho"/>
    </w:rPr>
  </w:style>
  <w:style w:type="paragraph" w:customStyle="1" w:styleId="enc">
    <w:name w:val="目次附則（en）"/>
    <w:basedOn w:val="jac"/>
    <w:rsid w:val="009950DD"/>
    <w:rPr>
      <w:rFonts w:ascii="Century" w:eastAsia="Century" w:hAnsi="Century" w:cs="Century"/>
    </w:rPr>
  </w:style>
  <w:style w:type="paragraph" w:customStyle="1" w:styleId="jad">
    <w:name w:val="目次前文（ja）"/>
    <w:basedOn w:val="jac"/>
    <w:rsid w:val="009950DD"/>
  </w:style>
  <w:style w:type="paragraph" w:customStyle="1" w:styleId="end">
    <w:name w:val="目次前文（en）"/>
    <w:basedOn w:val="enc"/>
    <w:rsid w:val="009950DD"/>
  </w:style>
  <w:style w:type="paragraph" w:customStyle="1" w:styleId="jae">
    <w:name w:val="制定文（ja）"/>
    <w:basedOn w:val="a"/>
    <w:rsid w:val="009950DD"/>
    <w:pPr>
      <w:widowControl w:val="0"/>
      <w:ind w:firstLine="219"/>
    </w:pPr>
    <w:rPr>
      <w:rFonts w:ascii="ＭＳ 明朝" w:eastAsia="ＭＳ 明朝" w:hAnsi="ＭＳ 明朝" w:cs="ＭＳ 明朝"/>
    </w:rPr>
  </w:style>
  <w:style w:type="paragraph" w:customStyle="1" w:styleId="ene">
    <w:name w:val="制定文（en）"/>
    <w:basedOn w:val="jae"/>
    <w:rsid w:val="009950DD"/>
    <w:rPr>
      <w:rFonts w:ascii="Century" w:eastAsia="Century" w:hAnsi="Century" w:cs="Century"/>
    </w:rPr>
  </w:style>
  <w:style w:type="paragraph" w:customStyle="1" w:styleId="jaf">
    <w:name w:val="法令番号（ja）"/>
    <w:basedOn w:val="a"/>
    <w:rsid w:val="009950DD"/>
    <w:pPr>
      <w:widowControl w:val="0"/>
      <w:jc w:val="right"/>
    </w:pPr>
    <w:rPr>
      <w:rFonts w:ascii="ＭＳ 明朝" w:eastAsia="ＭＳ 明朝" w:hAnsi="ＭＳ 明朝" w:cs="Kochi Mincho"/>
    </w:rPr>
  </w:style>
  <w:style w:type="paragraph" w:customStyle="1" w:styleId="enf">
    <w:name w:val="法令番号（en）"/>
    <w:basedOn w:val="jaf"/>
    <w:rsid w:val="009950DD"/>
    <w:rPr>
      <w:rFonts w:ascii="Century" w:eastAsia="Century" w:hAnsi="Century" w:cs="Century"/>
    </w:rPr>
  </w:style>
  <w:style w:type="paragraph" w:customStyle="1" w:styleId="jaf0">
    <w:name w:val="目次（ja）"/>
    <w:basedOn w:val="a"/>
    <w:rsid w:val="009950DD"/>
    <w:rPr>
      <w:rFonts w:ascii="ＭＳ 明朝" w:eastAsia="ＭＳ 明朝" w:hAnsi="ＭＳ 明朝"/>
    </w:rPr>
  </w:style>
  <w:style w:type="paragraph" w:customStyle="1" w:styleId="enf0">
    <w:name w:val="目次（en）"/>
    <w:basedOn w:val="jaf0"/>
    <w:rsid w:val="009950DD"/>
    <w:rPr>
      <w:rFonts w:ascii="Century" w:eastAsia="Century" w:hAnsi="Century"/>
    </w:rPr>
  </w:style>
  <w:style w:type="paragraph" w:customStyle="1" w:styleId="jaf1">
    <w:name w:val="編（ja）"/>
    <w:basedOn w:val="a"/>
    <w:rsid w:val="009950DD"/>
    <w:pPr>
      <w:widowControl w:val="0"/>
      <w:ind w:left="661" w:hanging="221"/>
    </w:pPr>
    <w:rPr>
      <w:rFonts w:ascii="ＭＳ 明朝" w:eastAsia="ＭＳ 明朝" w:hAnsi="ＭＳ 明朝" w:cs="ＭＳ 明朝"/>
      <w:b/>
    </w:rPr>
  </w:style>
  <w:style w:type="paragraph" w:customStyle="1" w:styleId="enf1">
    <w:name w:val="編（en）"/>
    <w:basedOn w:val="jaf1"/>
    <w:rsid w:val="009950DD"/>
    <w:rPr>
      <w:rFonts w:ascii="Century" w:eastAsia="Century" w:hAnsi="Century" w:cs="Century"/>
    </w:rPr>
  </w:style>
  <w:style w:type="paragraph" w:customStyle="1" w:styleId="jaf2">
    <w:name w:val="節（ja）"/>
    <w:basedOn w:val="a"/>
    <w:rsid w:val="009950DD"/>
    <w:pPr>
      <w:widowControl w:val="0"/>
      <w:ind w:left="1101" w:hanging="221"/>
    </w:pPr>
    <w:rPr>
      <w:rFonts w:ascii="ＭＳ 明朝" w:eastAsia="ＭＳ 明朝" w:hAnsi="ＭＳ 明朝" w:cs="ＭＳ 明朝"/>
      <w:b/>
    </w:rPr>
  </w:style>
  <w:style w:type="paragraph" w:customStyle="1" w:styleId="enf2">
    <w:name w:val="節（en）"/>
    <w:basedOn w:val="jaf2"/>
    <w:rsid w:val="009950DD"/>
    <w:rPr>
      <w:rFonts w:ascii="Century" w:eastAsia="Century" w:hAnsi="Century" w:cs="Century"/>
    </w:rPr>
  </w:style>
  <w:style w:type="paragraph" w:customStyle="1" w:styleId="jaf3">
    <w:name w:val="条（ja）"/>
    <w:basedOn w:val="a"/>
    <w:rsid w:val="009950DD"/>
    <w:pPr>
      <w:widowControl w:val="0"/>
      <w:ind w:left="219" w:hanging="219"/>
    </w:pPr>
    <w:rPr>
      <w:rFonts w:ascii="ＭＳ 明朝" w:eastAsia="ＭＳ 明朝" w:hAnsi="ＭＳ 明朝" w:cs="ＭＳ 明朝"/>
    </w:rPr>
  </w:style>
  <w:style w:type="paragraph" w:customStyle="1" w:styleId="enf3">
    <w:name w:val="条（en）"/>
    <w:basedOn w:val="jaf3"/>
    <w:rsid w:val="009950DD"/>
    <w:rPr>
      <w:rFonts w:ascii="Century" w:eastAsia="Century" w:hAnsi="Century" w:cs="Century"/>
    </w:rPr>
  </w:style>
  <w:style w:type="paragraph" w:customStyle="1" w:styleId="jaf4">
    <w:name w:val="項（ja）"/>
    <w:basedOn w:val="a"/>
    <w:rsid w:val="009950DD"/>
    <w:pPr>
      <w:widowControl w:val="0"/>
      <w:ind w:left="219" w:hanging="219"/>
    </w:pPr>
    <w:rPr>
      <w:rFonts w:ascii="ＭＳ 明朝" w:eastAsia="ＭＳ 明朝" w:hAnsi="ＭＳ 明朝" w:cs="ＭＳ 明朝"/>
    </w:rPr>
  </w:style>
  <w:style w:type="paragraph" w:customStyle="1" w:styleId="enf4">
    <w:name w:val="項（en）"/>
    <w:basedOn w:val="jaf4"/>
    <w:rsid w:val="009950DD"/>
    <w:rPr>
      <w:rFonts w:ascii="Century" w:eastAsia="Century" w:hAnsi="Century" w:cs="Century"/>
    </w:rPr>
  </w:style>
  <w:style w:type="paragraph" w:customStyle="1" w:styleId="jaf5">
    <w:name w:val="項　番号なし（ja）"/>
    <w:basedOn w:val="a"/>
    <w:rsid w:val="009950DD"/>
    <w:pPr>
      <w:widowControl w:val="0"/>
      <w:ind w:firstLine="221"/>
    </w:pPr>
    <w:rPr>
      <w:rFonts w:ascii="ＭＳ 明朝" w:eastAsia="ＭＳ 明朝" w:hAnsi="ＭＳ 明朝" w:cs="ＭＳ 明朝"/>
    </w:rPr>
  </w:style>
  <w:style w:type="paragraph" w:customStyle="1" w:styleId="enf5">
    <w:name w:val="項　番号なし（en）"/>
    <w:basedOn w:val="jaf5"/>
    <w:rsid w:val="009950DD"/>
    <w:rPr>
      <w:rFonts w:ascii="Century" w:eastAsia="Century" w:hAnsi="Century" w:cs="Century"/>
    </w:rPr>
  </w:style>
  <w:style w:type="paragraph" w:customStyle="1" w:styleId="jaf6">
    <w:name w:val="号（ja）"/>
    <w:basedOn w:val="a"/>
    <w:rsid w:val="009950DD"/>
    <w:pPr>
      <w:widowControl w:val="0"/>
      <w:ind w:left="439" w:hanging="219"/>
    </w:pPr>
    <w:rPr>
      <w:rFonts w:ascii="ＭＳ 明朝" w:eastAsia="ＭＳ 明朝" w:hAnsi="ＭＳ 明朝" w:cs="ＭＳ 明朝"/>
    </w:rPr>
  </w:style>
  <w:style w:type="paragraph" w:customStyle="1" w:styleId="enf6">
    <w:name w:val="号（en）"/>
    <w:basedOn w:val="jaf6"/>
    <w:rsid w:val="009950DD"/>
    <w:rPr>
      <w:rFonts w:ascii="Century" w:eastAsia="Century" w:hAnsi="Century" w:cs="Century"/>
    </w:rPr>
  </w:style>
  <w:style w:type="paragraph" w:customStyle="1" w:styleId="jaf7">
    <w:name w:val="号　番号なし（ja）"/>
    <w:basedOn w:val="a"/>
    <w:rsid w:val="009950DD"/>
    <w:pPr>
      <w:widowControl w:val="0"/>
      <w:ind w:left="221" w:firstLine="221"/>
    </w:pPr>
    <w:rPr>
      <w:rFonts w:ascii="ＭＳ 明朝" w:eastAsia="ＭＳ 明朝" w:hAnsi="ＭＳ 明朝" w:cs="ＭＳ 明朝"/>
    </w:rPr>
  </w:style>
  <w:style w:type="paragraph" w:customStyle="1" w:styleId="enf7">
    <w:name w:val="号　番号なし（en）"/>
    <w:basedOn w:val="jaf7"/>
    <w:rsid w:val="009950DD"/>
    <w:rPr>
      <w:rFonts w:ascii="Century" w:eastAsia="Century" w:hAnsi="Century" w:cs="Century"/>
    </w:rPr>
  </w:style>
  <w:style w:type="paragraph" w:customStyle="1" w:styleId="jaf8">
    <w:name w:val="備考号（ja）"/>
    <w:basedOn w:val="a"/>
    <w:rsid w:val="009950DD"/>
    <w:pPr>
      <w:widowControl w:val="0"/>
      <w:ind w:left="659" w:hanging="219"/>
    </w:pPr>
    <w:rPr>
      <w:rFonts w:ascii="ＭＳ 明朝" w:eastAsia="ＭＳ 明朝" w:hAnsi="ＭＳ 明朝" w:cs="ＭＳ 明朝"/>
    </w:rPr>
  </w:style>
  <w:style w:type="paragraph" w:customStyle="1" w:styleId="enf8">
    <w:name w:val="備考号（en）"/>
    <w:basedOn w:val="jaf8"/>
    <w:rsid w:val="009950DD"/>
    <w:rPr>
      <w:rFonts w:ascii="Century" w:eastAsia="Century" w:hAnsi="Century" w:cs="Century"/>
    </w:rPr>
  </w:style>
  <w:style w:type="paragraph" w:customStyle="1" w:styleId="jaf9">
    <w:name w:val="号細分（ja）"/>
    <w:basedOn w:val="a"/>
    <w:rsid w:val="009950DD"/>
    <w:pPr>
      <w:widowControl w:val="0"/>
      <w:ind w:left="659" w:hanging="219"/>
    </w:pPr>
    <w:rPr>
      <w:rFonts w:ascii="ＭＳ 明朝" w:eastAsia="ＭＳ 明朝" w:hAnsi="ＭＳ 明朝" w:cs="ＭＳ 明朝"/>
    </w:rPr>
  </w:style>
  <w:style w:type="paragraph" w:customStyle="1" w:styleId="enf9">
    <w:name w:val="号細分（en）"/>
    <w:basedOn w:val="jaf9"/>
    <w:rsid w:val="009950DD"/>
    <w:rPr>
      <w:rFonts w:ascii="Century" w:eastAsia="Century" w:hAnsi="Century" w:cs="Century"/>
    </w:rPr>
  </w:style>
  <w:style w:type="paragraph" w:customStyle="1" w:styleId="jafa">
    <w:name w:val="号細分　番号なし（ja）"/>
    <w:basedOn w:val="a"/>
    <w:rsid w:val="009950DD"/>
    <w:pPr>
      <w:widowControl w:val="0"/>
      <w:ind w:left="439"/>
    </w:pPr>
    <w:rPr>
      <w:rFonts w:ascii="ＭＳ 明朝" w:eastAsia="ＭＳ 明朝" w:hAnsi="ＭＳ 明朝" w:cs="ＭＳ 明朝"/>
    </w:rPr>
  </w:style>
  <w:style w:type="paragraph" w:customStyle="1" w:styleId="enfa">
    <w:name w:val="号細分　番号なし（en）"/>
    <w:basedOn w:val="jafa"/>
    <w:rsid w:val="009950DD"/>
    <w:rPr>
      <w:rFonts w:ascii="Century" w:eastAsia="Century" w:hAnsi="Century" w:cs="Century"/>
    </w:rPr>
  </w:style>
  <w:style w:type="paragraph" w:customStyle="1" w:styleId="jafb">
    <w:name w:val="備考号細分（ja）"/>
    <w:basedOn w:val="a"/>
    <w:rsid w:val="009950DD"/>
    <w:pPr>
      <w:widowControl w:val="0"/>
      <w:ind w:left="1099" w:hanging="439"/>
    </w:pPr>
    <w:rPr>
      <w:rFonts w:ascii="ＭＳ 明朝" w:eastAsia="ＭＳ 明朝" w:hAnsi="ＭＳ 明朝" w:cs="ＭＳ 明朝"/>
    </w:rPr>
  </w:style>
  <w:style w:type="paragraph" w:customStyle="1" w:styleId="enfb">
    <w:name w:val="備考号細分（en）"/>
    <w:basedOn w:val="jafb"/>
    <w:rsid w:val="009950DD"/>
    <w:rPr>
      <w:rFonts w:ascii="Century" w:eastAsia="Century" w:hAnsi="Century" w:cs="Century"/>
    </w:rPr>
  </w:style>
  <w:style w:type="paragraph" w:customStyle="1" w:styleId="jafc">
    <w:name w:val="号細細分（ja）"/>
    <w:basedOn w:val="a"/>
    <w:rsid w:val="009950DD"/>
    <w:pPr>
      <w:widowControl w:val="0"/>
      <w:ind w:left="1099" w:hanging="439"/>
    </w:pPr>
    <w:rPr>
      <w:rFonts w:ascii="ＭＳ 明朝" w:eastAsia="ＭＳ 明朝" w:hAnsi="ＭＳ 明朝" w:cs="ＭＳ 明朝"/>
    </w:rPr>
  </w:style>
  <w:style w:type="paragraph" w:customStyle="1" w:styleId="enfc">
    <w:name w:val="号細細分（en）"/>
    <w:basedOn w:val="jafc"/>
    <w:rsid w:val="009950DD"/>
    <w:rPr>
      <w:rFonts w:ascii="Century" w:eastAsia="Century" w:hAnsi="Century" w:cs="Century"/>
    </w:rPr>
  </w:style>
  <w:style w:type="paragraph" w:customStyle="1" w:styleId="jafd">
    <w:name w:val="号細細分　番号なし（ja）"/>
    <w:basedOn w:val="a"/>
    <w:rsid w:val="009950DD"/>
    <w:pPr>
      <w:widowControl w:val="0"/>
      <w:ind w:left="659"/>
    </w:pPr>
    <w:rPr>
      <w:rFonts w:ascii="ＭＳ 明朝" w:eastAsia="ＭＳ 明朝" w:hAnsi="ＭＳ 明朝" w:cs="ＭＳ 明朝"/>
    </w:rPr>
  </w:style>
  <w:style w:type="paragraph" w:customStyle="1" w:styleId="enfd">
    <w:name w:val="号細細分　番号なし（en）"/>
    <w:basedOn w:val="jafd"/>
    <w:rsid w:val="009950DD"/>
    <w:rPr>
      <w:rFonts w:ascii="Century" w:eastAsia="Century" w:hAnsi="Century" w:cs="Century"/>
    </w:rPr>
  </w:style>
  <w:style w:type="paragraph" w:customStyle="1" w:styleId="jafe">
    <w:name w:val="備考号細細分（ja）"/>
    <w:basedOn w:val="a"/>
    <w:rsid w:val="009950DD"/>
    <w:pPr>
      <w:widowControl w:val="0"/>
      <w:ind w:left="1319" w:hanging="439"/>
    </w:pPr>
    <w:rPr>
      <w:rFonts w:ascii="ＭＳ 明朝" w:eastAsia="ＭＳ 明朝" w:hAnsi="ＭＳ 明朝" w:cs="ＭＳ 明朝"/>
    </w:rPr>
  </w:style>
  <w:style w:type="paragraph" w:customStyle="1" w:styleId="enfe">
    <w:name w:val="備考号細細分（en）"/>
    <w:basedOn w:val="jafe"/>
    <w:rsid w:val="009950DD"/>
    <w:rPr>
      <w:rFonts w:ascii="Century" w:eastAsia="Century" w:hAnsi="Century" w:cs="Century"/>
    </w:rPr>
  </w:style>
  <w:style w:type="paragraph" w:customStyle="1" w:styleId="jaff">
    <w:name w:val="号細細細分（ja）"/>
    <w:basedOn w:val="a"/>
    <w:rsid w:val="009950DD"/>
    <w:pPr>
      <w:widowControl w:val="0"/>
      <w:ind w:left="1319" w:hanging="439"/>
    </w:pPr>
    <w:rPr>
      <w:rFonts w:ascii="ＭＳ 明朝" w:eastAsia="ＭＳ 明朝" w:hAnsi="ＭＳ 明朝" w:cs="ＭＳ 明朝"/>
    </w:rPr>
  </w:style>
  <w:style w:type="paragraph" w:customStyle="1" w:styleId="enff">
    <w:name w:val="号細細細分（en）"/>
    <w:basedOn w:val="jaff"/>
    <w:rsid w:val="009950DD"/>
    <w:rPr>
      <w:rFonts w:ascii="Century" w:eastAsia="Century" w:hAnsi="Century" w:cs="Century"/>
    </w:rPr>
  </w:style>
  <w:style w:type="paragraph" w:customStyle="1" w:styleId="jaff0">
    <w:name w:val="号細細細分　番号なし（ja）"/>
    <w:basedOn w:val="a"/>
    <w:rsid w:val="009950DD"/>
    <w:pPr>
      <w:widowControl w:val="0"/>
      <w:ind w:left="879"/>
    </w:pPr>
    <w:rPr>
      <w:rFonts w:ascii="ＭＳ 明朝" w:eastAsia="ＭＳ 明朝" w:hAnsi="ＭＳ 明朝" w:cs="ＭＳ 明朝"/>
    </w:rPr>
  </w:style>
  <w:style w:type="paragraph" w:customStyle="1" w:styleId="enff0">
    <w:name w:val="号細細細分　番号なし（en）"/>
    <w:basedOn w:val="jaff0"/>
    <w:rsid w:val="009950DD"/>
    <w:rPr>
      <w:rFonts w:ascii="Century" w:eastAsia="Century" w:hAnsi="Century" w:cs="Century"/>
    </w:rPr>
  </w:style>
  <w:style w:type="paragraph" w:customStyle="1" w:styleId="jaff1">
    <w:name w:val="備考号細細細分（ja）"/>
    <w:basedOn w:val="a"/>
    <w:rsid w:val="009950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50DD"/>
    <w:rPr>
      <w:rFonts w:ascii="Century" w:eastAsia="Century" w:hAnsi="Century" w:cs="Century"/>
    </w:rPr>
  </w:style>
  <w:style w:type="paragraph" w:customStyle="1" w:styleId="jaff2">
    <w:name w:val="類（ja）"/>
    <w:basedOn w:val="a"/>
    <w:rsid w:val="009950DD"/>
    <w:pPr>
      <w:widowControl w:val="0"/>
      <w:ind w:left="439" w:hanging="219"/>
    </w:pPr>
    <w:rPr>
      <w:rFonts w:ascii="ＭＳ 明朝" w:eastAsia="ＭＳ 明朝" w:hAnsi="ＭＳ 明朝" w:cs="ＭＳ 明朝"/>
    </w:rPr>
  </w:style>
  <w:style w:type="paragraph" w:customStyle="1" w:styleId="enff2">
    <w:name w:val="類（en）"/>
    <w:basedOn w:val="jaff2"/>
    <w:rsid w:val="009950DD"/>
    <w:rPr>
      <w:rFonts w:ascii="Century" w:eastAsia="Century" w:hAnsi="Century" w:cs="Century"/>
    </w:rPr>
  </w:style>
  <w:style w:type="paragraph" w:customStyle="1" w:styleId="jaff3">
    <w:name w:val="公布文（ja）"/>
    <w:basedOn w:val="a"/>
    <w:rsid w:val="009950DD"/>
    <w:pPr>
      <w:widowControl w:val="0"/>
      <w:ind w:firstLine="219"/>
    </w:pPr>
    <w:rPr>
      <w:rFonts w:ascii="ＭＳ 明朝" w:eastAsia="ＭＳ 明朝" w:hAnsi="ＭＳ 明朝" w:cs="ＭＳ 明朝"/>
    </w:rPr>
  </w:style>
  <w:style w:type="paragraph" w:customStyle="1" w:styleId="enff3">
    <w:name w:val="公布文（en）"/>
    <w:basedOn w:val="jaff3"/>
    <w:rsid w:val="009950DD"/>
    <w:rPr>
      <w:rFonts w:ascii="Century" w:eastAsia="Century" w:hAnsi="Century" w:cs="Century"/>
    </w:rPr>
  </w:style>
  <w:style w:type="paragraph" w:customStyle="1" w:styleId="jaen">
    <w:name w:val="表（ja：en）"/>
    <w:basedOn w:val="a"/>
    <w:rsid w:val="009950DD"/>
    <w:pPr>
      <w:widowControl w:val="0"/>
      <w:snapToGrid w:val="0"/>
    </w:pPr>
    <w:rPr>
      <w:rFonts w:ascii="Century" w:eastAsia="ＭＳ 明朝" w:hAnsi="Century"/>
    </w:rPr>
  </w:style>
  <w:style w:type="paragraph" w:customStyle="1" w:styleId="jaff4">
    <w:name w:val="備考（ja）"/>
    <w:basedOn w:val="a"/>
    <w:rsid w:val="009950DD"/>
    <w:pPr>
      <w:widowControl w:val="0"/>
      <w:ind w:left="439" w:hanging="219"/>
    </w:pPr>
    <w:rPr>
      <w:rFonts w:ascii="ＭＳ 明朝" w:eastAsia="ＭＳ 明朝" w:hAnsi="ＭＳ 明朝" w:cs="ＭＳ 明朝"/>
    </w:rPr>
  </w:style>
  <w:style w:type="paragraph" w:customStyle="1" w:styleId="enff4">
    <w:name w:val="備考（en）"/>
    <w:basedOn w:val="jaff4"/>
    <w:rsid w:val="009950DD"/>
    <w:rPr>
      <w:rFonts w:ascii="Century" w:eastAsia="Century" w:hAnsi="Century" w:cs="Century"/>
    </w:rPr>
  </w:style>
  <w:style w:type="paragraph" w:customStyle="1" w:styleId="jaff5">
    <w:name w:val="表タイトル（ja）"/>
    <w:basedOn w:val="a"/>
    <w:rsid w:val="009950DD"/>
    <w:pPr>
      <w:widowControl w:val="0"/>
      <w:ind w:left="219"/>
    </w:pPr>
    <w:rPr>
      <w:rFonts w:ascii="ＭＳ 明朝" w:eastAsia="ＭＳ 明朝" w:hAnsi="ＭＳ 明朝" w:cs="ＭＳ 明朝"/>
    </w:rPr>
  </w:style>
  <w:style w:type="paragraph" w:customStyle="1" w:styleId="enff5">
    <w:name w:val="表タイトル（en）"/>
    <w:basedOn w:val="jaff5"/>
    <w:rsid w:val="009950DD"/>
    <w:rPr>
      <w:rFonts w:ascii="Century" w:eastAsia="Century" w:hAnsi="Century" w:cs="Century"/>
    </w:rPr>
  </w:style>
  <w:style w:type="paragraph" w:customStyle="1" w:styleId="jaff6">
    <w:name w:val="改正規定文（ja）"/>
    <w:basedOn w:val="a"/>
    <w:rsid w:val="009950DD"/>
    <w:pPr>
      <w:widowControl w:val="0"/>
      <w:ind w:left="219" w:firstLine="219"/>
    </w:pPr>
    <w:rPr>
      <w:rFonts w:ascii="ＭＳ 明朝" w:eastAsia="ＭＳ 明朝" w:hAnsi="ＭＳ 明朝" w:cs="ＭＳ 明朝"/>
    </w:rPr>
  </w:style>
  <w:style w:type="paragraph" w:customStyle="1" w:styleId="enff6">
    <w:name w:val="改正規定文（en）"/>
    <w:basedOn w:val="jaff6"/>
    <w:rsid w:val="009950DD"/>
    <w:rPr>
      <w:rFonts w:ascii="Century" w:eastAsia="Century" w:hAnsi="Century" w:cs="Century"/>
    </w:rPr>
  </w:style>
  <w:style w:type="paragraph" w:customStyle="1" w:styleId="jaff7">
    <w:name w:val="付記（ja）"/>
    <w:basedOn w:val="a"/>
    <w:rsid w:val="009950DD"/>
    <w:pPr>
      <w:widowControl w:val="0"/>
      <w:ind w:left="219" w:firstLine="219"/>
    </w:pPr>
    <w:rPr>
      <w:rFonts w:ascii="ＭＳ 明朝" w:eastAsia="ＭＳ 明朝" w:hAnsi="ＭＳ 明朝" w:cs="ＭＳ 明朝"/>
    </w:rPr>
  </w:style>
  <w:style w:type="paragraph" w:customStyle="1" w:styleId="enff7">
    <w:name w:val="付記（en）"/>
    <w:basedOn w:val="jaff7"/>
    <w:rsid w:val="009950DD"/>
    <w:rPr>
      <w:rFonts w:ascii="Century" w:eastAsia="Century" w:hAnsi="Century" w:cs="Century"/>
    </w:rPr>
  </w:style>
  <w:style w:type="paragraph" w:customStyle="1" w:styleId="jaff8">
    <w:name w:val="様式名（ja）"/>
    <w:basedOn w:val="a"/>
    <w:rsid w:val="009950DD"/>
    <w:pPr>
      <w:widowControl w:val="0"/>
      <w:ind w:left="439" w:hanging="219"/>
    </w:pPr>
    <w:rPr>
      <w:rFonts w:ascii="ＭＳ 明朝" w:eastAsia="ＭＳ 明朝" w:hAnsi="ＭＳ 明朝" w:cs="ＭＳ 明朝"/>
    </w:rPr>
  </w:style>
  <w:style w:type="paragraph" w:customStyle="1" w:styleId="enff8">
    <w:name w:val="様式名（en）"/>
    <w:basedOn w:val="jaff8"/>
    <w:rsid w:val="009950DD"/>
    <w:rPr>
      <w:rFonts w:ascii="Century" w:eastAsia="Century" w:hAnsi="Century" w:cs="Century"/>
    </w:rPr>
  </w:style>
  <w:style w:type="paragraph" w:customStyle="1" w:styleId="jaff9">
    <w:name w:val="様式項目（ja）"/>
    <w:basedOn w:val="a"/>
    <w:rsid w:val="009950DD"/>
    <w:pPr>
      <w:widowControl w:val="0"/>
      <w:ind w:left="221" w:firstLine="221"/>
    </w:pPr>
    <w:rPr>
      <w:rFonts w:ascii="ＭＳ 明朝" w:eastAsia="ＭＳ 明朝" w:hAnsi="ＭＳ 明朝" w:cs="ＭＳ 明朝"/>
    </w:rPr>
  </w:style>
  <w:style w:type="paragraph" w:customStyle="1" w:styleId="enff9">
    <w:name w:val="様式項目（en）"/>
    <w:basedOn w:val="jaff9"/>
    <w:rsid w:val="009950DD"/>
    <w:rPr>
      <w:rFonts w:ascii="Century" w:eastAsia="Century" w:hAnsi="Century" w:cs="Century"/>
    </w:rPr>
  </w:style>
  <w:style w:type="table" w:customStyle="1" w:styleId="1">
    <w:name w:val="表1"/>
    <w:rsid w:val="009950DD"/>
    <w:tblPr>
      <w:tblInd w:w="340" w:type="dxa"/>
      <w:tblCellMar>
        <w:top w:w="0" w:type="dxa"/>
        <w:left w:w="0" w:type="dxa"/>
        <w:bottom w:w="0" w:type="dxa"/>
        <w:right w:w="0" w:type="dxa"/>
      </w:tblCellMar>
    </w:tblPr>
  </w:style>
  <w:style w:type="numbering" w:customStyle="1" w:styleId="WW8Num1">
    <w:name w:val="WW8Num1"/>
    <w:rsid w:val="009950DD"/>
    <w:pPr>
      <w:numPr>
        <w:numId w:val="2"/>
      </w:numPr>
    </w:pPr>
  </w:style>
  <w:style w:type="numbering" w:customStyle="1" w:styleId="WW8Num2">
    <w:name w:val="WW8Num2"/>
    <w:rsid w:val="009950DD"/>
    <w:pPr>
      <w:numPr>
        <w:numId w:val="3"/>
      </w:numPr>
    </w:pPr>
  </w:style>
  <w:style w:type="numbering" w:customStyle="1" w:styleId="WW8Num3">
    <w:name w:val="WW8Num3"/>
    <w:rsid w:val="009950DD"/>
    <w:pPr>
      <w:numPr>
        <w:numId w:val="4"/>
      </w:numPr>
    </w:pPr>
  </w:style>
  <w:style w:type="numbering" w:customStyle="1" w:styleId="WW8Num4">
    <w:name w:val="WW8Num4"/>
    <w:rsid w:val="009950DD"/>
    <w:pPr>
      <w:numPr>
        <w:numId w:val="5"/>
      </w:numPr>
    </w:pPr>
  </w:style>
  <w:style w:type="numbering" w:customStyle="1" w:styleId="WW8Num5">
    <w:name w:val="WW8Num5"/>
    <w:rsid w:val="009950DD"/>
    <w:pPr>
      <w:numPr>
        <w:numId w:val="6"/>
      </w:numPr>
    </w:pPr>
  </w:style>
  <w:style w:type="numbering" w:customStyle="1" w:styleId="WW8Num6">
    <w:name w:val="WW8Num6"/>
    <w:rsid w:val="009950DD"/>
    <w:pPr>
      <w:numPr>
        <w:numId w:val="7"/>
      </w:numPr>
    </w:pPr>
  </w:style>
  <w:style w:type="numbering" w:customStyle="1" w:styleId="WW8Num7">
    <w:name w:val="WW8Num7"/>
    <w:rsid w:val="009950DD"/>
    <w:pPr>
      <w:numPr>
        <w:numId w:val="8"/>
      </w:numPr>
    </w:pPr>
  </w:style>
  <w:style w:type="numbering" w:customStyle="1" w:styleId="WW8Num8">
    <w:name w:val="WW8Num8"/>
    <w:rsid w:val="009950DD"/>
    <w:pPr>
      <w:numPr>
        <w:numId w:val="9"/>
      </w:numPr>
    </w:pPr>
  </w:style>
  <w:style w:type="numbering" w:customStyle="1" w:styleId="WW8Num9">
    <w:name w:val="WW8Num9"/>
    <w:rsid w:val="009950DD"/>
    <w:pPr>
      <w:numPr>
        <w:numId w:val="10"/>
      </w:numPr>
    </w:pPr>
  </w:style>
  <w:style w:type="numbering" w:customStyle="1" w:styleId="WW8Num10">
    <w:name w:val="WW8Num10"/>
    <w:rsid w:val="009950DD"/>
    <w:pPr>
      <w:numPr>
        <w:numId w:val="11"/>
      </w:numPr>
    </w:pPr>
  </w:style>
  <w:style w:type="numbering" w:customStyle="1" w:styleId="WW8Num11">
    <w:name w:val="WW8Num11"/>
    <w:rsid w:val="009950DD"/>
    <w:pPr>
      <w:numPr>
        <w:numId w:val="12"/>
      </w:numPr>
    </w:pPr>
  </w:style>
  <w:style w:type="numbering" w:customStyle="1" w:styleId="WW8Num12">
    <w:name w:val="WW8Num12"/>
    <w:rsid w:val="009950DD"/>
    <w:pPr>
      <w:numPr>
        <w:numId w:val="13"/>
      </w:numPr>
    </w:pPr>
  </w:style>
  <w:style w:type="paragraph" w:styleId="a4">
    <w:name w:val="header"/>
    <w:basedOn w:val="a"/>
    <w:link w:val="a5"/>
    <w:uiPriority w:val="99"/>
    <w:unhideWhenUsed/>
    <w:rsid w:val="003F6F81"/>
    <w:pPr>
      <w:tabs>
        <w:tab w:val="center" w:pos="4252"/>
        <w:tab w:val="right" w:pos="8504"/>
      </w:tabs>
      <w:snapToGrid w:val="0"/>
    </w:pPr>
  </w:style>
  <w:style w:type="character" w:customStyle="1" w:styleId="a5">
    <w:name w:val="ヘッダー (文字)"/>
    <w:basedOn w:val="a0"/>
    <w:link w:val="a4"/>
    <w:uiPriority w:val="99"/>
    <w:rsid w:val="003F6F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8002</Words>
  <Characters>45617</Characters>
  <Application>Microsoft Office Word</Application>
  <DocSecurity>0</DocSecurity>
  <Lines>380</Lines>
  <Paragraphs>107</Paragraphs>
  <ScaleCrop>false</ScaleCrop>
  <Company/>
  <LinksUpToDate>false</LinksUpToDate>
  <CharactersWithSpaces>53512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2022-01-04T13:52:00Z</dcterms:created>
  <dcterms:modified xsi:type="dcterms:W3CDTF">2022-01-04T13:52:00Z</dcterms:modified>
</cp:coreProperties>
</file>