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240" w:rsidRDefault="004D324E">
      <w:pPr>
        <w:pStyle w:val="en"/>
      </w:pPr>
      <w:r>
        <w:t>Act on the Promotion of Public Utilization of the Specific Advanced Large Research Facilities</w:t>
      </w:r>
    </w:p>
    <w:p w:rsidR="003C3240" w:rsidRDefault="003C3240"/>
    <w:p w:rsidR="003C3240" w:rsidRDefault="004D324E">
      <w:pPr>
        <w:pStyle w:val="enf"/>
      </w:pPr>
      <w:r>
        <w:t>(Act No. 78 of June 29, 1994)</w:t>
      </w:r>
    </w:p>
    <w:p w:rsidR="003C3240" w:rsidRDefault="003C3240"/>
    <w:p w:rsidR="003C3240" w:rsidRDefault="004D324E">
      <w:pPr>
        <w:pStyle w:val="en5"/>
      </w:pPr>
      <w:r>
        <w:t>Chapter I General Provisions (Articles 1 through 3)</w:t>
      </w:r>
    </w:p>
    <w:p w:rsidR="003C3240" w:rsidRDefault="004D324E">
      <w:pPr>
        <w:pStyle w:val="en5"/>
      </w:pPr>
      <w:r>
        <w:t>Chapter II Basic Policy (Article 4)</w:t>
      </w:r>
    </w:p>
    <w:p w:rsidR="003C3240" w:rsidRDefault="004D324E">
      <w:pPr>
        <w:pStyle w:val="en5"/>
      </w:pPr>
      <w:r>
        <w:t xml:space="preserve">Chapter III Business of Entity </w:t>
      </w:r>
      <w:r>
        <w:t>Establishing the Specific Advanced Large Research Facilities (Articles 5 through 7)</w:t>
      </w:r>
    </w:p>
    <w:p w:rsidR="003C3240" w:rsidRDefault="004D324E">
      <w:pPr>
        <w:pStyle w:val="en5"/>
      </w:pPr>
      <w:r>
        <w:t>Chapter IV Registered Institution for Promoting Use of Facilities (Articles 8 through 28)</w:t>
      </w:r>
    </w:p>
    <w:p w:rsidR="003C3240" w:rsidRDefault="004D324E">
      <w:pPr>
        <w:pStyle w:val="en5"/>
      </w:pPr>
      <w:r>
        <w:t>Chapter V Penal Provisions (Articles 29 through 31)</w:t>
      </w:r>
    </w:p>
    <w:p w:rsidR="003C3240" w:rsidRDefault="004D324E">
      <w:pPr>
        <w:pStyle w:val="enc"/>
      </w:pPr>
      <w:r>
        <w:t>Supplementary Provisions</w:t>
      </w:r>
    </w:p>
    <w:p w:rsidR="003C3240" w:rsidRDefault="003C3240"/>
    <w:p w:rsidR="003C3240" w:rsidRDefault="004D324E">
      <w:pPr>
        <w:pStyle w:val="en3"/>
      </w:pPr>
      <w:r>
        <w:t>Chap</w:t>
      </w:r>
      <w:r>
        <w:t>ter I General Provisions</w:t>
      </w:r>
    </w:p>
    <w:p w:rsidR="003C3240" w:rsidRDefault="003C3240"/>
    <w:p w:rsidR="003C3240" w:rsidRDefault="004D324E">
      <w:pPr>
        <w:pStyle w:val="ena"/>
      </w:pPr>
      <w:r>
        <w:t>(Purpose)</w:t>
      </w:r>
    </w:p>
    <w:p w:rsidR="003C3240" w:rsidRDefault="004D324E">
      <w:pPr>
        <w:pStyle w:val="enf3"/>
      </w:pPr>
      <w:r>
        <w:t>Article 1  The purpose of this Act is, by taking measures for promoting public utilization of advanced large research facilities by persons engaged in testing, research and development (hereinafter referred to as the "re</w:t>
      </w:r>
      <w:r>
        <w:t>searchers, etc.") concerning science and technology (excluding those pertaining only to humanities and social sciences; the same applies hereinafter) (hereinafter referred to as the "research, etc."), to strengthen the basis of the research, etc. as well a</w:t>
      </w:r>
      <w:r>
        <w:t>s integrate various knowledge held by the researchers, etc. through exchange among institutions pertaining to the research, etc. and the researchers, etc., thereby contributing to the development of science and technology.</w:t>
      </w:r>
    </w:p>
    <w:p w:rsidR="003C3240" w:rsidRDefault="003C3240"/>
    <w:p w:rsidR="003C3240" w:rsidRDefault="004D324E">
      <w:pPr>
        <w:pStyle w:val="ena"/>
      </w:pPr>
      <w:r>
        <w:t>(Definitions)</w:t>
      </w:r>
    </w:p>
    <w:p w:rsidR="003C3240" w:rsidRDefault="004D324E">
      <w:pPr>
        <w:pStyle w:val="enf3"/>
      </w:pPr>
      <w:r>
        <w:t>Article 2  (1) The</w:t>
      </w:r>
      <w:r>
        <w:t xml:space="preserve"> term "advanced large research facilities" as used in this Act means the large research facilities that are found inappropriate to be redundantly established in one national testing and research institution or independent administrative agency (meaning an </w:t>
      </w:r>
      <w:r>
        <w:t>independent administrative agency prescribed in Article 2, paragraph (1) of the Act for the General Rules for Incorporated Administrative Agencies (Act No. 103 of 1999)) engaged in the research, etc. due to requiring huge expenses and, with their incompara</w:t>
      </w:r>
      <w:r>
        <w:t>ble functions in the field of advanced science and technology, the value of which is to be maximized to the fullest extent by being utilized for various research, etc. in a wide range of fields of science and technology.</w:t>
      </w:r>
    </w:p>
    <w:p w:rsidR="003C3240" w:rsidRDefault="004D324E">
      <w:pPr>
        <w:pStyle w:val="enf4"/>
      </w:pPr>
      <w:r>
        <w:t>(2) The term "specific advanced lar</w:t>
      </w:r>
      <w:r>
        <w:t xml:space="preserve">ge research facilities" as used in this Act </w:t>
      </w:r>
      <w:r>
        <w:lastRenderedPageBreak/>
        <w:t>means the advanced large research facilities that fall under either of the following sub-items;</w:t>
      </w:r>
    </w:p>
    <w:p w:rsidR="003C3240" w:rsidRDefault="004D324E">
      <w:pPr>
        <w:pStyle w:val="enf6"/>
      </w:pPr>
      <w:r>
        <w:t>(i) specific synchrotron radiation facilities;</w:t>
      </w:r>
    </w:p>
    <w:p w:rsidR="003C3240" w:rsidRDefault="004D324E">
      <w:pPr>
        <w:pStyle w:val="enf6"/>
      </w:pPr>
      <w:r>
        <w:t>(ii) specific high-speed computer facilities</w:t>
      </w:r>
    </w:p>
    <w:p w:rsidR="003C3240" w:rsidRDefault="004D324E">
      <w:pPr>
        <w:pStyle w:val="enf4"/>
      </w:pPr>
      <w:r>
        <w:t>(3) The term "specific s</w:t>
      </w:r>
      <w:r>
        <w:t>ynchrotron radiation facilities" as used in this Act means the facilities for conducting the research, etc. utilizing highly-directional and high-intensity electromagnetic waves emitted from accelerated electrons or positrons (hereinafter referred to as th</w:t>
      </w:r>
      <w:r>
        <w:t>e "synchrotron radiation"), established by the Institute of Physical and Chemical Research (hereinafter referred to as "RIKEN"), specified by Order of the Ministry of Education, Culture, Sports, Science and Technology.</w:t>
      </w:r>
    </w:p>
    <w:p w:rsidR="003C3240" w:rsidRDefault="004D324E">
      <w:pPr>
        <w:pStyle w:val="enf4"/>
      </w:pPr>
      <w:r>
        <w:t>(4) The term "specific high-speed com</w:t>
      </w:r>
      <w:r>
        <w:t>puter facilities" as used in this Act means the facilities for conducting the research, etc. utilizing computers capable of performing highly advanced arithmetic processing (hereinafter referred to as the "supercomputers"), established by the RIKEN, specif</w:t>
      </w:r>
      <w:r>
        <w:t>ied by Order of the Ministry of Education, Culture, Sports, Science and Technology.</w:t>
      </w:r>
    </w:p>
    <w:p w:rsidR="003C3240" w:rsidRDefault="004D324E">
      <w:pPr>
        <w:pStyle w:val="enf4"/>
      </w:pPr>
      <w:r>
        <w:t>(5) The term "shared facilities for synchrotron radiation" as used in this Act means the part of the specific synchrotron radiation facilities that is made available for pu</w:t>
      </w:r>
      <w:r>
        <w:t>blic utilization by the researchers, etc.</w:t>
      </w:r>
    </w:p>
    <w:p w:rsidR="003C3240" w:rsidRDefault="004D324E">
      <w:pPr>
        <w:pStyle w:val="enf4"/>
      </w:pPr>
      <w:r>
        <w:t>(6) The term "dedicated facilities for synchrotron radiation" as used in this Act means the facilities established by any person other than the RIKEN and used for conducting the research, etc. utilizing the synchro</w:t>
      </w:r>
      <w:r>
        <w:t>tron radiation pertaining to the specific synchrotron radiation facilities.</w:t>
      </w:r>
    </w:p>
    <w:p w:rsidR="003C3240" w:rsidRDefault="003C3240"/>
    <w:p w:rsidR="003C3240" w:rsidRDefault="004D324E">
      <w:pPr>
        <w:pStyle w:val="ena"/>
      </w:pPr>
      <w:r>
        <w:t>(Responsibility of the Government)</w:t>
      </w:r>
    </w:p>
    <w:p w:rsidR="003C3240" w:rsidRDefault="004D324E">
      <w:pPr>
        <w:pStyle w:val="enf3"/>
      </w:pPr>
      <w:r>
        <w:t xml:space="preserve">Article 3  For achieving the purpose of this Act, the government must endeavor to support persons engaged in the research, etc. </w:t>
      </w:r>
      <w:r>
        <w:t>utilizing the part of the specific advanced large research facilities that is made available for public utilization by the researchers, etc. or the dedicated facilities for synchrotron radiation (hereinafter referred to as the "research utilizing facilitie</w:t>
      </w:r>
      <w:r>
        <w:t>s"), advance research and studies concerning policies for promoting the research utilizing facilities, promote international exchanges that contribute to the promotion of the research utilizing facilities and take other necessary measures to promote public</w:t>
      </w:r>
      <w:r>
        <w:t xml:space="preserve"> utilization of the specific advanced large research facilities.</w:t>
      </w:r>
    </w:p>
    <w:p w:rsidR="003C3240" w:rsidRDefault="003C3240"/>
    <w:p w:rsidR="003C3240" w:rsidRDefault="004D324E">
      <w:pPr>
        <w:pStyle w:val="en3"/>
      </w:pPr>
      <w:r>
        <w:t>Chapter II Basic Policy</w:t>
      </w:r>
    </w:p>
    <w:p w:rsidR="003C3240" w:rsidRDefault="003C3240"/>
    <w:p w:rsidR="003C3240" w:rsidRDefault="004D324E">
      <w:pPr>
        <w:pStyle w:val="enf3"/>
      </w:pPr>
      <w:r>
        <w:t>Article 4  (1) The Minister of Education, Culture, Sports, Science and Technology must set forth the basic policy concerning the promotion of public utilization (her</w:t>
      </w:r>
      <w:r>
        <w:t>einafter referred to as the "basic policy") for each of the specific advanced large research facilities listed in each item of Article 2, paragraph (2).</w:t>
      </w:r>
    </w:p>
    <w:p w:rsidR="003C3240" w:rsidRDefault="004D324E">
      <w:pPr>
        <w:pStyle w:val="enf4"/>
      </w:pPr>
      <w:r>
        <w:lastRenderedPageBreak/>
        <w:t>(2) The basic policy is to provide for the following matters:</w:t>
      </w:r>
    </w:p>
    <w:p w:rsidR="003C3240" w:rsidRDefault="004D324E">
      <w:pPr>
        <w:pStyle w:val="enf6"/>
      </w:pPr>
      <w:r>
        <w:t>(i) basic course of action concerning the</w:t>
      </w:r>
      <w:r>
        <w:t xml:space="preserve"> promotion of public utilization of the specific advanced large research facilities;</w:t>
      </w:r>
    </w:p>
    <w:p w:rsidR="003C3240" w:rsidRDefault="004D324E">
      <w:pPr>
        <w:pStyle w:val="enf6"/>
      </w:pPr>
      <w:r>
        <w:t>(ii) matters concerning the research, etc. utilizing the part of the specific advanced large research facilities that is made available for public utilization by the resea</w:t>
      </w:r>
      <w:r>
        <w:t>rchers, etc.;</w:t>
      </w:r>
    </w:p>
    <w:p w:rsidR="003C3240" w:rsidRDefault="004D324E">
      <w:pPr>
        <w:pStyle w:val="enf6"/>
      </w:pPr>
      <w:r>
        <w:t>(iii) matters concerning the development and improvement of the part of the specific advanced large research facilities that is made available for public utilization by the researchers, etc.;</w:t>
      </w:r>
    </w:p>
    <w:p w:rsidR="003C3240" w:rsidRDefault="004D324E">
      <w:pPr>
        <w:pStyle w:val="enf6"/>
      </w:pPr>
      <w:r>
        <w:t xml:space="preserve">(iv) matters concerning the operation of the part </w:t>
      </w:r>
      <w:r>
        <w:t>of the specific advanced large research facilities that is made available for public utilization by the researchers, etc.; and</w:t>
      </w:r>
    </w:p>
    <w:p w:rsidR="003C3240" w:rsidRDefault="004D324E">
      <w:pPr>
        <w:pStyle w:val="enf6"/>
      </w:pPr>
      <w:r>
        <w:t>(v) other matters that should be taken account of in the course of promoting public utilization of the specific advanced large re</w:t>
      </w:r>
      <w:r>
        <w:t>search facilities.</w:t>
      </w:r>
    </w:p>
    <w:p w:rsidR="003C3240" w:rsidRDefault="004D324E">
      <w:pPr>
        <w:pStyle w:val="enf4"/>
      </w:pPr>
      <w:r>
        <w:t>(3) Beyond what is set forth in each item of the preceding paragraph, the matters concerning the research, etc. utilizing the dedicated facilities for synchrotron radiation as well as the establishment and use of the dedicated facilities</w:t>
      </w:r>
      <w:r>
        <w:t xml:space="preserve"> for synchrotron radiation, are to be provided for in the basic policy pertaining to the specific synchrotron radiation facilities.</w:t>
      </w:r>
    </w:p>
    <w:p w:rsidR="003C3240" w:rsidRDefault="004D324E">
      <w:pPr>
        <w:pStyle w:val="enf4"/>
      </w:pPr>
      <w:r>
        <w:t xml:space="preserve">(4) The Minister of Education, Culture, Sports, Science and Technology must make public announcement without delay when the </w:t>
      </w:r>
      <w:r>
        <w:t>Minister sets forth or changes the basic policy.</w:t>
      </w:r>
    </w:p>
    <w:p w:rsidR="003C3240" w:rsidRDefault="003C3240"/>
    <w:p w:rsidR="003C3240" w:rsidRDefault="004D324E">
      <w:pPr>
        <w:pStyle w:val="en3"/>
      </w:pPr>
      <w:r>
        <w:t>Chapter III Business of Entity Establishing Specific Advanced Large Research Facilities</w:t>
      </w:r>
    </w:p>
    <w:p w:rsidR="003C3240" w:rsidRDefault="003C3240"/>
    <w:p w:rsidR="003C3240" w:rsidRDefault="004D324E">
      <w:pPr>
        <w:pStyle w:val="ena"/>
      </w:pPr>
      <w:r>
        <w:t>(Business of Entity Establishing Specific Advanced Large Research Facilities)</w:t>
      </w:r>
    </w:p>
    <w:p w:rsidR="003C3240" w:rsidRDefault="004D324E">
      <w:pPr>
        <w:pStyle w:val="enf3"/>
      </w:pPr>
      <w:r>
        <w:t>Article 5  For achieving the purpose of</w:t>
      </w:r>
      <w:r>
        <w:t xml:space="preserve"> this Act, the RIKEN, as an entity establishing the specific advanced large research facilities, is to undertake the business listed in the right-hand column of the following Table in accordance with the classification of the facilities listed in the left-</w:t>
      </w:r>
      <w:r>
        <w:t>hand column of the same Table, respectively.</w:t>
      </w:r>
    </w:p>
    <w:p w:rsidR="003C3240" w:rsidRDefault="003C32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3C3240">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Specified Synchrotron Radiation Facilities</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(i) to construct, maintain and manage the shared facilities for synchrotron radiation, and make the facilities available for shared use by the researchers, etc.</w:t>
            </w:r>
          </w:p>
        </w:tc>
      </w:tr>
      <w:tr w:rsidR="003C3240">
        <w:tblPrEx>
          <w:tblCellMar>
            <w:top w:w="0" w:type="dxa"/>
            <w:left w:w="0" w:type="dxa"/>
            <w:bottom w:w="0" w:type="dxa"/>
            <w:right w:w="0" w:type="dxa"/>
          </w:tblCellMar>
        </w:tblPrEx>
        <w:trPr>
          <w:cantSplit/>
        </w:trPr>
        <w:tc>
          <w:tcPr>
            <w:tcW w:w="2601" w:type="dxa"/>
            <w:tcBorders>
              <w:left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098" w:type="dxa"/>
            <w:tcBorders>
              <w:left w:val="single" w:sz="4" w:space="0" w:color="auto"/>
              <w:right w:val="single" w:sz="4" w:space="0" w:color="auto"/>
            </w:tcBorders>
            <w:tcMar>
              <w:top w:w="0" w:type="dxa"/>
              <w:left w:w="108" w:type="dxa"/>
              <w:bottom w:w="0" w:type="dxa"/>
              <w:right w:w="108" w:type="dxa"/>
            </w:tcMar>
          </w:tcPr>
          <w:p w:rsidR="003C3240" w:rsidRDefault="004D324E">
            <w:pPr>
              <w:pStyle w:val="jaen"/>
            </w:pPr>
            <w:r>
              <w:t>(ii) to establish the dedicated facilities for synchrotron radiation and provide the persons engaged in the research, etc. utilizing the facilities with the synchrotron radiation and other convenience necessary for the research, etc.</w:t>
            </w:r>
          </w:p>
        </w:tc>
      </w:tr>
      <w:tr w:rsidR="003C3240">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(iii) to perform bus</w:t>
            </w:r>
            <w:r>
              <w:t>iness incidental to the business set forth in the preceding two items</w:t>
            </w:r>
          </w:p>
        </w:tc>
      </w:tr>
      <w:tr w:rsidR="003C3240">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Specified High-Speed Computer Facilities</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(i) to develop supercomputers, construct, maintain and manage the specified high-speed computer facilities, and make the facilities available fo</w:t>
            </w:r>
            <w:r>
              <w:t>r shared use by the researchers, etc.</w:t>
            </w:r>
          </w:p>
        </w:tc>
      </w:tr>
      <w:tr w:rsidR="003C3240">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(ii) to perform business incidental to the business set forth in the preceding item</w:t>
            </w:r>
          </w:p>
        </w:tc>
      </w:tr>
    </w:tbl>
    <w:p w:rsidR="003C3240" w:rsidRDefault="003C3240"/>
    <w:p w:rsidR="003C3240" w:rsidRDefault="004D324E">
      <w:pPr>
        <w:pStyle w:val="ena"/>
      </w:pPr>
      <w:r>
        <w:t>(Implementation Plan)</w:t>
      </w:r>
    </w:p>
    <w:p w:rsidR="003C3240" w:rsidRDefault="004D324E">
      <w:pPr>
        <w:pStyle w:val="enf3"/>
      </w:pPr>
      <w:r>
        <w:t xml:space="preserve">Article 6  (1) Pursuant to the Order of the Ministry of Education, Culture, Sports, Science and </w:t>
      </w:r>
      <w:r>
        <w:t xml:space="preserve">Technology, the RIKEN, as an entity establishing the specific advanced large research facilities, is to prepare an implementation plan for the business listed in the right-hand column of the Table prescribed in the preceding Article in accordance with the </w:t>
      </w:r>
      <w:r>
        <w:t>classification of the facilities listed in the left-hand column of the same Table (excluding business that is considered not to be undertaken by the RIKEN pursuant to the provisions of Article 9, paragraph (1)), respectively, and obtain approval of the Min</w:t>
      </w:r>
      <w:r>
        <w:t>ister of Education, Culture, Sports, Science and Technology each business year. The same applies when making changes to the implementation plan.</w:t>
      </w:r>
    </w:p>
    <w:p w:rsidR="003C3240" w:rsidRDefault="004D324E">
      <w:pPr>
        <w:pStyle w:val="enf4"/>
      </w:pPr>
      <w:r>
        <w:t>(2) The implementation plan referred to in the preceding paragraph must be established in line with the purport</w:t>
      </w:r>
      <w:r>
        <w:t xml:space="preserve"> of the basic policy pertaining to the facilities.</w:t>
      </w:r>
    </w:p>
    <w:p w:rsidR="003C3240" w:rsidRDefault="003C3240"/>
    <w:p w:rsidR="003C3240" w:rsidRDefault="004D324E">
      <w:pPr>
        <w:pStyle w:val="ena"/>
      </w:pPr>
      <w:r>
        <w:t>(Special Provisions for Incorporated Administrative Agency Rikagaku Kenkyusho Act)</w:t>
      </w:r>
    </w:p>
    <w:p w:rsidR="003C3240" w:rsidRDefault="004D324E">
      <w:pPr>
        <w:pStyle w:val="enf3"/>
      </w:pPr>
      <w:r>
        <w:t>Article 7  When business of the RIKEN is performed pursuant to the provisions of Article 5, the term "this Act" in Articl</w:t>
      </w:r>
      <w:r>
        <w:t>e 24, item (i) of the Incorporated Administrative Agency Rikagaku Kenkyusho Act (Act No. 160 of 2002) is deemed to be replaced with "this Act or the Act on the Promotion of Public Utilization of the Specific Advanced Large Research Facilities."</w:t>
      </w:r>
    </w:p>
    <w:p w:rsidR="003C3240" w:rsidRDefault="003C3240"/>
    <w:p w:rsidR="003C3240" w:rsidRDefault="004D324E">
      <w:pPr>
        <w:pStyle w:val="en3"/>
      </w:pPr>
      <w:r>
        <w:t>Chapter IV</w:t>
      </w:r>
      <w:r>
        <w:t xml:space="preserve"> Registered Institution Promoting Use of Facilities</w:t>
      </w:r>
    </w:p>
    <w:p w:rsidR="003C3240" w:rsidRDefault="003C3240"/>
    <w:p w:rsidR="003C3240" w:rsidRDefault="004D324E">
      <w:pPr>
        <w:pStyle w:val="ena"/>
      </w:pPr>
      <w:r>
        <w:t>(Registration)</w:t>
      </w:r>
    </w:p>
    <w:p w:rsidR="003C3240" w:rsidRDefault="004D324E">
      <w:pPr>
        <w:pStyle w:val="enf3"/>
      </w:pPr>
      <w:r>
        <w:t>Article 8  (1) The Minister of Education, Culture, Sports, Science and Technology may entrust a person registered by the Minister (hereinafter referred to as the "registered institution pr</w:t>
      </w:r>
      <w:r>
        <w:t>omoting use of facilities ") to perform all of the business listed in the following sub-items (or, if the registered institution for promoting use of facilities performs all of the business listed in the following sub-items in accordance with the classific</w:t>
      </w:r>
      <w:r>
        <w:t>ation of use of the specific advanced large research facilities specified by Order of the Ministry of Education, Culture, Sports, Science and Technology, that part of business) among the business that the RIKEN is to perform as an entity establishing the s</w:t>
      </w:r>
      <w:r>
        <w:t>pecific advanced large research facilities pursuant to the provisions of Article 5:</w:t>
      </w:r>
    </w:p>
    <w:p w:rsidR="003C3240" w:rsidRDefault="004D324E">
      <w:pPr>
        <w:pStyle w:val="enf6"/>
      </w:pPr>
      <w:r>
        <w:t xml:space="preserve">(i) to select a person that conducts the research utilizing facilities and perform the business incidental thereto (hereinafter referred to as the "user selection </w:t>
      </w:r>
      <w:r>
        <w:t>services"); and</w:t>
      </w:r>
    </w:p>
    <w:p w:rsidR="003C3240" w:rsidRDefault="004D324E">
      <w:pPr>
        <w:pStyle w:val="enf6"/>
      </w:pPr>
      <w:r>
        <w:t>(ii) to provide information, consultation and other support in relation to the implementation of the research utilizing facilities (hereinafter referred to as the "usage support services").</w:t>
      </w:r>
    </w:p>
    <w:p w:rsidR="003C3240" w:rsidRDefault="004D324E">
      <w:pPr>
        <w:pStyle w:val="enf4"/>
      </w:pPr>
      <w:r>
        <w:t>(2) The registration set forth in the preceding pa</w:t>
      </w:r>
      <w:r>
        <w:t>ragraph (hereinafter referred to as the "registration") is to be made upon an application filed by a person seeking to perform the user selection services and the usage support services (hereinafter referred to as the "usage promotion services") for each o</w:t>
      </w:r>
      <w:r>
        <w:t>f the specific advanced large research facilities listed in each item of Article 2, paragraph (2).</w:t>
      </w:r>
    </w:p>
    <w:p w:rsidR="003C3240" w:rsidRDefault="003C3240"/>
    <w:p w:rsidR="003C3240" w:rsidRDefault="004D324E">
      <w:pPr>
        <w:pStyle w:val="ena"/>
      </w:pPr>
      <w:r>
        <w:t>(Performance of Usage Promotion Services by Registered Institution Promoting Use of Facilities)</w:t>
      </w:r>
    </w:p>
    <w:p w:rsidR="003C3240" w:rsidRDefault="004D324E">
      <w:pPr>
        <w:pStyle w:val="enf3"/>
      </w:pPr>
      <w:r>
        <w:t>Article 9  (1) If the Minister of Education, Culture, Sports</w:t>
      </w:r>
      <w:r>
        <w:t>, Science and Technology decides to entrust the registered institution for promoting use of facilities to perform the usage promotion services in whole or in part, pursuant to the provisions of the preceding Article, paragraph (1), the RIKEN is not to perf</w:t>
      </w:r>
      <w:r>
        <w:t>orm the services.</w:t>
      </w:r>
    </w:p>
    <w:p w:rsidR="003C3240" w:rsidRDefault="004D324E">
      <w:pPr>
        <w:pStyle w:val="enf4"/>
      </w:pPr>
      <w:r>
        <w:t>(2) If a registered institution promoting use of facilities performs the usage promotion services, the RIKEN and the registered institution promoting use of facilities must coordinate with each other so that the usage promotion services a</w:t>
      </w:r>
      <w:r>
        <w:t>re performed smoothly.</w:t>
      </w:r>
    </w:p>
    <w:p w:rsidR="003C3240" w:rsidRDefault="003C3240"/>
    <w:p w:rsidR="003C3240" w:rsidRDefault="004D324E">
      <w:pPr>
        <w:pStyle w:val="ena"/>
      </w:pPr>
      <w:r>
        <w:t>(Disqualification Clause)</w:t>
      </w:r>
    </w:p>
    <w:p w:rsidR="003C3240" w:rsidRDefault="004D324E">
      <w:pPr>
        <w:pStyle w:val="enf3"/>
      </w:pPr>
      <w:r>
        <w:t>Article 10  A person that falls under any of the following items may not be registered:</w:t>
      </w:r>
    </w:p>
    <w:p w:rsidR="003C3240" w:rsidRDefault="004D324E">
      <w:pPr>
        <w:pStyle w:val="enf6"/>
      </w:pPr>
      <w:r>
        <w:t xml:space="preserve">(i) a person punished by a fine for violation of this Act or an order hereunder, and for whom a period of two </w:t>
      </w:r>
      <w:r>
        <w:t>years has not elapsed since the day the punishment was completed or suspended;</w:t>
      </w:r>
    </w:p>
    <w:p w:rsidR="003C3240" w:rsidRDefault="004D324E">
      <w:pPr>
        <w:pStyle w:val="enf6"/>
      </w:pPr>
      <w:r>
        <w:t>(ii) a person whose registration was rescinded pursuant to the provisions of Article 27, and for whom a period of two years has not elapsed since the day of the rescission;</w:t>
      </w:r>
    </w:p>
    <w:p w:rsidR="003C3240" w:rsidRDefault="004D324E">
      <w:pPr>
        <w:pStyle w:val="enf6"/>
      </w:pPr>
      <w:r>
        <w:t>(iii</w:t>
      </w:r>
      <w:r>
        <w:t>) a corporation that has an officer executing its business who falls under either of the preceding two items.</w:t>
      </w:r>
    </w:p>
    <w:p w:rsidR="003C3240" w:rsidRDefault="003C3240"/>
    <w:p w:rsidR="003C3240" w:rsidRDefault="004D324E">
      <w:pPr>
        <w:pStyle w:val="ena"/>
      </w:pPr>
      <w:r>
        <w:t>(Criteria for Registration)</w:t>
      </w:r>
    </w:p>
    <w:p w:rsidR="003C3240" w:rsidRDefault="004D324E">
      <w:pPr>
        <w:pStyle w:val="enf3"/>
      </w:pPr>
      <w:r>
        <w:t>Article 11  (1) The Minister of Education, Culture, Sports, Science and Technology must register a person that has ap</w:t>
      </w:r>
      <w:r>
        <w:t>plied for the registration pursuant to the provisions of Article 8, paragraph (2), if the applicant complies with all of the following requirements. In this case, the necessary procedures for the registration are specified by Order of the Ministry of Educa</w:t>
      </w:r>
      <w:r>
        <w:t>tion, Culture, Sports, Science and Technology:</w:t>
      </w:r>
    </w:p>
    <w:p w:rsidR="003C3240" w:rsidRDefault="004D324E">
      <w:pPr>
        <w:pStyle w:val="enf6"/>
      </w:pPr>
      <w:r>
        <w:t>(i) a full-time manager is designated in the department performing the user selection services, for securing the credibility of the user selection services;</w:t>
      </w:r>
    </w:p>
    <w:p w:rsidR="003C3240" w:rsidRDefault="004D324E">
      <w:r>
        <w:t>(ii) the usage support services are undertaken by th</w:t>
      </w:r>
      <w:r>
        <w:t>e persons listed in each item of the right-hand column of the following Table in accordance with the classification of the specific advanced large research facilities listed in the left-hand column of the same Table, and the number of the persons is not le</w:t>
      </w:r>
      <w:r>
        <w:t>ss than the number specified by Order of the Ministry of Education, Culture, Sports, Science and Technology; and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3C324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Classification of Specific Advanced Large Research Facilities</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Persons undertaking the Usage Support Services</w:t>
            </w:r>
          </w:p>
        </w:tc>
      </w:tr>
      <w:tr w:rsidR="003C324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Specific Synchrotron Radiation F</w:t>
            </w:r>
            <w:r>
              <w:t>acilities</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(i) research implementation consultant (meaning a person with the experience of research, etc. utilizing the synchrotron radiation for five years or more after graduating from a university under the School Education Act (Act No. 26 of 1947) (excl</w:t>
            </w:r>
            <w:r>
              <w:t>uding junior colleges; hereinafter the same applies in this Table) with completion of a science or engineering course or other courses comparable to the course, or a person with equivalent or superior knowledge and experience, who provides consulting servi</w:t>
            </w:r>
            <w:r>
              <w:t>ces for the researchers, etc. related to the implementation of the research utilizing facilities at specified synchrotron radiation facilities)</w:t>
            </w:r>
          </w:p>
        </w:tc>
      </w:tr>
      <w:tr w:rsidR="003C324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 xml:space="preserve">(ii) safety manager (meaning a person with the experience of being engaged in the services </w:t>
            </w:r>
            <w:r>
              <w:t>concerning protection of safety pertaining to radiation for three years or more after obtaining the license for Type-I radiation protection supervisor under the Act on Prevention of Radiation Disease Due to Radioisotopes, etc. (Act No. 167 of 1957), or a p</w:t>
            </w:r>
            <w:r>
              <w:t>erson with equivalent or superior knowledge and experience, who provides the services for securing the safety of the researchers, etc. at specified synchrotron radiation facilities)</w:t>
            </w:r>
          </w:p>
        </w:tc>
      </w:tr>
      <w:tr w:rsidR="003C324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Specific High-Speed Computer Facilities</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3C3240" w:rsidRDefault="004D324E">
            <w:pPr>
              <w:pStyle w:val="jaen"/>
            </w:pPr>
            <w:r>
              <w:t>(i) research implementation consu</w:t>
            </w:r>
            <w:r>
              <w:t>ltant (meaning a person with the practical experience concerning operation of computers for three years or more after graduating from a university under the School Education Act with completion of an information engineering or communication engineering cou</w:t>
            </w:r>
            <w:r>
              <w:t>rse or other courses comparable to the course, or a person with equivalent or superior knowledge and experience, who provides consulting services for the researchers, etc. related to the implementation of the research utilizing facilities at specified high</w:t>
            </w:r>
            <w:r>
              <w:t>-speed computer facilities)</w:t>
            </w:r>
          </w:p>
        </w:tc>
      </w:tr>
      <w:tr w:rsidR="003C3240">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820" w:type="dxa"/>
            <w:tcBorders>
              <w:left w:val="single" w:sz="4" w:space="0" w:color="auto"/>
              <w:right w:val="single" w:sz="4" w:space="0" w:color="auto"/>
            </w:tcBorders>
            <w:tcMar>
              <w:top w:w="0" w:type="dxa"/>
              <w:left w:w="108" w:type="dxa"/>
              <w:bottom w:w="0" w:type="dxa"/>
              <w:right w:w="108" w:type="dxa"/>
            </w:tcMar>
          </w:tcPr>
          <w:p w:rsidR="003C3240" w:rsidRDefault="004D324E">
            <w:pPr>
              <w:pStyle w:val="jaen"/>
            </w:pPr>
            <w:r>
              <w:t>(ii) network manager (meaning a person with the practical experience concerning operation of an information communication network system (meaning the system for distribution of information in electronic or magnetic form and in</w:t>
            </w:r>
            <w:r>
              <w:t>formation processing by connecting multiple computers through electric communication lines; hereinafter the same applies in this Table) for three years or more after graduating from a university under the School Education Act with completion of an informat</w:t>
            </w:r>
            <w:r>
              <w:t>ion engineering or communication engineering course or other courses comparable to the course, or a person with equivalent or superior knowledge and experience, who provides the services for operating the information communication network system at specifi</w:t>
            </w:r>
            <w:r>
              <w:t>ed high-speed computer facilities)</w:t>
            </w:r>
          </w:p>
        </w:tc>
      </w:tr>
      <w:tr w:rsidR="003C324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3C3240">
            <w:pPr>
              <w:pStyle w:val="jaen"/>
            </w:pP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3C3240" w:rsidRDefault="004D324E">
            <w:pPr>
              <w:pStyle w:val="jaen"/>
            </w:pPr>
            <w:r>
              <w:t>(iii) information processing safety manager (meaning a person with the practical experience concerning protection of safety and credibility of information processing for three years or more after graduating from a unive</w:t>
            </w:r>
            <w:r>
              <w:t>rsity under the School Education Act with completion of an information engineering or communication engineering course or other courses comparable to the course, or a person with equivalent or superior knowledge and experience, who provides the services fo</w:t>
            </w:r>
            <w:r>
              <w:t>r securing the safety and credibility of information processing at specified high-speed computer facilities)</w:t>
            </w:r>
          </w:p>
        </w:tc>
      </w:tr>
    </w:tbl>
    <w:p w:rsidR="003C3240" w:rsidRDefault="003C3240"/>
    <w:p w:rsidR="003C3240" w:rsidRDefault="003C3240">
      <w:pPr>
        <w:pStyle w:val="enf6"/>
      </w:pPr>
    </w:p>
    <w:p w:rsidR="003C3240" w:rsidRDefault="004D324E">
      <w:pPr>
        <w:pStyle w:val="enf6"/>
      </w:pPr>
      <w:r>
        <w:t>(iii) the applicant is not in the state of insolvency.</w:t>
      </w:r>
    </w:p>
    <w:p w:rsidR="003C3240" w:rsidRDefault="004D324E">
      <w:pPr>
        <w:pStyle w:val="enf4"/>
      </w:pPr>
      <w:r>
        <w:t xml:space="preserve">(2) The registration is to be made by stating the following information in the </w:t>
      </w:r>
      <w:r>
        <w:t>register of the registered institution promoting use of facilities:</w:t>
      </w:r>
    </w:p>
    <w:p w:rsidR="003C3240" w:rsidRDefault="004D324E">
      <w:pPr>
        <w:pStyle w:val="enf6"/>
      </w:pPr>
      <w:r>
        <w:t>(i) the registration date and the registration number;</w:t>
      </w:r>
    </w:p>
    <w:p w:rsidR="003C3240" w:rsidRDefault="004D324E">
      <w:pPr>
        <w:pStyle w:val="enf6"/>
      </w:pPr>
      <w:r>
        <w:t>(ii) the name and address of the registered institution promoting use of facilities and, in case of a corporation, the name of the re</w:t>
      </w:r>
      <w:r>
        <w:t>presentative;</w:t>
      </w:r>
    </w:p>
    <w:p w:rsidR="003C3240" w:rsidRDefault="004D324E">
      <w:pPr>
        <w:pStyle w:val="enf6"/>
      </w:pPr>
      <w:r>
        <w:t>(iii) the type of the specific advanced large research facilities at which the registered institution promoting use of facilities perform the usage promotion services; and</w:t>
      </w:r>
    </w:p>
    <w:p w:rsidR="003C3240" w:rsidRDefault="004D324E">
      <w:pPr>
        <w:pStyle w:val="enf6"/>
      </w:pPr>
      <w:r>
        <w:t>(iv) the name and address of the office where the registered instituti</w:t>
      </w:r>
      <w:r>
        <w:t>on promoting use of facilities performs the usage promotion services.</w:t>
      </w:r>
    </w:p>
    <w:p w:rsidR="003C3240" w:rsidRDefault="004D324E">
      <w:pPr>
        <w:pStyle w:val="enf4"/>
      </w:pPr>
      <w:r>
        <w:t>(3) If the registered institution promoting use of facilities seeks to change an information listed in item (ii) or (iv) of the preceding paragraph, it must notify the fact to the Minist</w:t>
      </w:r>
      <w:r>
        <w:t>er of Education, Culture, Sports, Science and Technology at least two weeks prior to the day the change is to be made.</w:t>
      </w:r>
    </w:p>
    <w:p w:rsidR="003C3240" w:rsidRDefault="003C3240"/>
    <w:p w:rsidR="003C3240" w:rsidRDefault="004D324E">
      <w:pPr>
        <w:pStyle w:val="ena"/>
      </w:pPr>
      <w:r>
        <w:t>(Use by Registered Institution Promoting the Use of Facilities)</w:t>
      </w:r>
    </w:p>
    <w:p w:rsidR="003C3240" w:rsidRDefault="004D324E">
      <w:pPr>
        <w:pStyle w:val="enf3"/>
      </w:pPr>
      <w:r>
        <w:t>Article 12  A registered institution promoting use of facilities must ob</w:t>
      </w:r>
      <w:r>
        <w:t>tain approval of the Minister of Education, Culture, Sports, Science and Technology when it seeks to use the part of the specific advanced large research facilities that is made available for public utilization by the researchers, etc. for the purpose of r</w:t>
      </w:r>
      <w:r>
        <w:t>esearch and study of policies for promoting the research utilizing facilities or for other purposes.</w:t>
      </w:r>
    </w:p>
    <w:p w:rsidR="003C3240" w:rsidRDefault="003C3240"/>
    <w:p w:rsidR="003C3240" w:rsidRDefault="004D324E">
      <w:pPr>
        <w:pStyle w:val="ena"/>
      </w:pPr>
      <w:r>
        <w:t>(Application, Mutatis Mutandis)</w:t>
      </w:r>
    </w:p>
    <w:p w:rsidR="003C3240" w:rsidRDefault="004D324E">
      <w:pPr>
        <w:pStyle w:val="enf3"/>
      </w:pPr>
      <w:r>
        <w:t>Article 13  The provisions of Article 6 apply mutatis mutandis to the cases where the registered institution promoting use</w:t>
      </w:r>
      <w:r>
        <w:t xml:space="preserve"> of facilities performs the usage promotion services. In this case, the phrase "the RIKEN, as an entity establishing the specific advanced large research facilities, is to" in paragraph (1) of the same Article, is deemed to be replaced with "the registered</w:t>
      </w:r>
      <w:r>
        <w:t xml:space="preserve"> institution promoting use of facilities is to" and the phrase "the business listed in the right-hand column of the Table in the preceding Article in accordance with the classification of the facilities listed in the left-hand column of the same Table (exc</w:t>
      </w:r>
      <w:r>
        <w:t>luding the business that are considered not to be undertaken by the RIKEN pursuant to the provisions of Article 9, paragraph (1)), respectively," with "the usage promotion services."</w:t>
      </w:r>
    </w:p>
    <w:p w:rsidR="003C3240" w:rsidRDefault="003C3240"/>
    <w:p w:rsidR="003C3240" w:rsidRDefault="004D324E">
      <w:pPr>
        <w:pStyle w:val="ena"/>
      </w:pPr>
      <w:r>
        <w:t>(Renewal of Registration)</w:t>
      </w:r>
    </w:p>
    <w:p w:rsidR="003C3240" w:rsidRDefault="004D324E">
      <w:pPr>
        <w:pStyle w:val="enf3"/>
      </w:pPr>
      <w:r>
        <w:t>Article 14  (1) The registration loses its eff</w:t>
      </w:r>
      <w:r>
        <w:t>ect due to the expiration of the period unless it is renewed every five years.</w:t>
      </w:r>
    </w:p>
    <w:p w:rsidR="003C3240" w:rsidRDefault="004D324E">
      <w:pPr>
        <w:pStyle w:val="enf4"/>
      </w:pPr>
      <w:r>
        <w:t>(2) The provisions of Article 8, paragraph (2), Article 10 and Article 11, paragraphs (1) and (2) apply mutatis mutandis to the renewal of the registration set forth in the prec</w:t>
      </w:r>
      <w:r>
        <w:t>eding paragraph.</w:t>
      </w:r>
    </w:p>
    <w:p w:rsidR="003C3240" w:rsidRDefault="003C3240"/>
    <w:p w:rsidR="003C3240" w:rsidRDefault="004D324E">
      <w:pPr>
        <w:pStyle w:val="ena"/>
      </w:pPr>
      <w:r>
        <w:t>(Obligations Pertaining to Performance of Usage Promotion Services)</w:t>
      </w:r>
    </w:p>
    <w:p w:rsidR="003C3240" w:rsidRDefault="004D324E">
      <w:pPr>
        <w:pStyle w:val="enf3"/>
      </w:pPr>
      <w:r>
        <w:t>Article 15  (1) A registered institution promoting use of facilities must perform the usage promotion services without delay when required to do so by the Minister of Edu</w:t>
      </w:r>
      <w:r>
        <w:t>cation, Culture, Sports, Science and Technology, unless there are legitimate grounds.</w:t>
      </w:r>
    </w:p>
    <w:p w:rsidR="003C3240" w:rsidRDefault="004D324E">
      <w:pPr>
        <w:pStyle w:val="enf4"/>
      </w:pPr>
      <w:r>
        <w:t>(2) A registered institution promoting use of facilities must perform the usage promotion services in a fair manner and in a method complying with the standards specified</w:t>
      </w:r>
      <w:r>
        <w:t xml:space="preserve"> by Order of the Ministry of Education, Culture, Sports, Science and Technology, according to the implementation plan prepared pursuant to the provisions of Article 6, paragraph (1) as applied mutatis mutandis pursuant to Article 13 following the deemed re</w:t>
      </w:r>
      <w:r>
        <w:t>placement of terms, and approved by the Minister of Education, Culture, Sports, Science and Technology.</w:t>
      </w:r>
    </w:p>
    <w:p w:rsidR="003C3240" w:rsidRDefault="003C3240"/>
    <w:p w:rsidR="003C3240" w:rsidRDefault="004D324E">
      <w:pPr>
        <w:pStyle w:val="ena"/>
      </w:pPr>
      <w:r>
        <w:t>(Selection Committee)</w:t>
      </w:r>
    </w:p>
    <w:p w:rsidR="003C3240" w:rsidRDefault="004D324E">
      <w:pPr>
        <w:pStyle w:val="enf3"/>
      </w:pPr>
      <w:r>
        <w:t>Article 16  A registered institution promoting use of facilities, when making a selection under the provisions of Article 8, para</w:t>
      </w:r>
      <w:r>
        <w:t>graph (1), item (i), must set up a selection committee consisting of persons with relevant expertise on the research utilizing facilities and hear the opinions of the committee.</w:t>
      </w:r>
    </w:p>
    <w:p w:rsidR="003C3240" w:rsidRDefault="003C3240"/>
    <w:p w:rsidR="003C3240" w:rsidRDefault="004D324E">
      <w:pPr>
        <w:pStyle w:val="ena"/>
      </w:pPr>
      <w:r>
        <w:t>(Approval of Rules of Service)</w:t>
      </w:r>
    </w:p>
    <w:p w:rsidR="003C3240" w:rsidRDefault="004D324E">
      <w:pPr>
        <w:pStyle w:val="enf3"/>
      </w:pPr>
      <w:r>
        <w:t>Article 17  (1) A registered institution promo</w:t>
      </w:r>
      <w:r>
        <w:t>ting use of facilities, in performing the usage promotion services, must establish the rules concerning the services (hereinafter referred to as the "rules of service") and obtain approval of the Minister of Education, Culture, Sports, Science and Technolo</w:t>
      </w:r>
      <w:r>
        <w:t>gy prior to the commencement of the services. The same applies when changes are to be made to the rules of service.</w:t>
      </w:r>
    </w:p>
    <w:p w:rsidR="003C3240" w:rsidRDefault="004D324E">
      <w:pPr>
        <w:pStyle w:val="enf4"/>
      </w:pPr>
      <w:r>
        <w:t xml:space="preserve">(2) The Minister of Education, Culture, Sports, Science and Technology may order changes be made to the rules of service approved </w:t>
      </w:r>
      <w:r>
        <w:t>pursuant to the preceding paragraph when the Minister finds that the rules of service have become inappropriate for proper and steady performance of the usage promotion services.</w:t>
      </w:r>
    </w:p>
    <w:p w:rsidR="003C3240" w:rsidRDefault="004D324E">
      <w:pPr>
        <w:pStyle w:val="enf4"/>
      </w:pPr>
      <w:r>
        <w:t>(3) The matters to be stated in the rules of service are specified by Order o</w:t>
      </w:r>
      <w:r>
        <w:t>f the Ministry of Education, Culture, Sports, Science and Technology.</w:t>
      </w:r>
    </w:p>
    <w:p w:rsidR="003C3240" w:rsidRDefault="003C3240"/>
    <w:p w:rsidR="003C3240" w:rsidRDefault="004D324E">
      <w:pPr>
        <w:pStyle w:val="ena"/>
      </w:pPr>
      <w:r>
        <w:t>(Suspension and Discontinuation of Usage Promotion Services)</w:t>
      </w:r>
    </w:p>
    <w:p w:rsidR="003C3240" w:rsidRDefault="004D324E">
      <w:pPr>
        <w:pStyle w:val="enf3"/>
      </w:pPr>
      <w:r>
        <w:t>Article 18  A registered institution promoting use of facilities may not suspend or discontinue the usage promotion services</w:t>
      </w:r>
      <w:r>
        <w:t xml:space="preserve"> in whole or in part, without obtaining permission of the Minister of Education, Culture, Sports, Science and Technology.</w:t>
      </w:r>
    </w:p>
    <w:p w:rsidR="003C3240" w:rsidRDefault="003C3240"/>
    <w:p w:rsidR="003C3240" w:rsidRDefault="004D324E">
      <w:pPr>
        <w:pStyle w:val="ena"/>
      </w:pPr>
      <w:r>
        <w:t>(Keeping and Inspection of Financial Statements)</w:t>
      </w:r>
    </w:p>
    <w:p w:rsidR="003C3240" w:rsidRDefault="004D324E">
      <w:pPr>
        <w:pStyle w:val="enf3"/>
      </w:pPr>
      <w:r>
        <w:t xml:space="preserve">Article 19  (1) Within three months after the end of each business year, a </w:t>
      </w:r>
      <w:r>
        <w:t>registered institution promoting use of facilities must prepare an inventory of assets, balance sheet, profit and loss statement or income and expenditure account statement, and business report (including electronic or magnetic records (meaning the records</w:t>
      </w:r>
      <w:r>
        <w:t xml:space="preserve"> made by an electronic form, a magnetic form or any other form not recognizable to human perception, which is used for information processing by computers; hereinafter the same applies in this Article) in cases where electronic or magnetic records are prep</w:t>
      </w:r>
      <w:r>
        <w:t>ared in lieu of those documents; hereinafter referred to as the "financial statements, etc.") for the business year, submit them to the Minister of Education, Culture, Sports, Science and Technology, and keep them at its office for five years.</w:t>
      </w:r>
    </w:p>
    <w:p w:rsidR="003C3240" w:rsidRDefault="004D324E">
      <w:pPr>
        <w:pStyle w:val="enf4"/>
      </w:pPr>
      <w:r>
        <w:t>(2) A person</w:t>
      </w:r>
      <w:r>
        <w:t xml:space="preserve"> who seeks to conduct the research utilizing facilities or any other interested person may make the following requests to a registered institution promoting use of facilities at any time during the business hours of the registered institution promoting use</w:t>
      </w:r>
      <w:r>
        <w:t xml:space="preserve"> of facilities; provided, however, that when making a request set forth in item (ii) or (iv), the person must pay the fees specified by the registered institution promoting use of facilities:</w:t>
      </w:r>
    </w:p>
    <w:p w:rsidR="003C3240" w:rsidRDefault="004D324E">
      <w:pPr>
        <w:pStyle w:val="enf6"/>
      </w:pPr>
      <w:r>
        <w:t xml:space="preserve">(i) when the financial statements, etc. are prepared as written </w:t>
      </w:r>
      <w:r>
        <w:t>documents, a request for inspection or reproducing the documents;</w:t>
      </w:r>
    </w:p>
    <w:p w:rsidR="003C3240" w:rsidRDefault="004D324E">
      <w:pPr>
        <w:pStyle w:val="enf6"/>
      </w:pPr>
      <w:r>
        <w:t>(ii) a request for a transcript or extract of the written documents set forth in the preceding item;</w:t>
      </w:r>
    </w:p>
    <w:p w:rsidR="003C3240" w:rsidRDefault="004D324E">
      <w:pPr>
        <w:pStyle w:val="enf6"/>
      </w:pPr>
      <w:r>
        <w:t>(iii) when the financial statements, etc. are prepared as electronic or magnetic records,</w:t>
      </w:r>
      <w:r>
        <w:t xml:space="preserve"> a request for inspection or reproduction of the matters recorded on the electronic or magnetic records which are indicated by means specified by Order of the Ministry of Education, Culture, Sports, Science and Technology; or</w:t>
      </w:r>
    </w:p>
    <w:p w:rsidR="003C3240" w:rsidRDefault="004D324E">
      <w:pPr>
        <w:pStyle w:val="enf6"/>
      </w:pPr>
      <w:r>
        <w:t>(iv) a request for provision o</w:t>
      </w:r>
      <w:r>
        <w:t>f the matters recorded on the electronic or magnetic records set forth in the preceding item by electronic or magnetic means (meaning the means utilizing an electronic data processing system or other means utilizing information and communications technolog</w:t>
      </w:r>
      <w:r>
        <w:t>y which are specified by Order of the Ministry of Education, Culture, Sports, Science and Technology) or a request for delivery of the written documents stating the matters</w:t>
      </w:r>
    </w:p>
    <w:p w:rsidR="003C3240" w:rsidRDefault="003C3240"/>
    <w:p w:rsidR="003C3240" w:rsidRDefault="004D324E">
      <w:pPr>
        <w:pStyle w:val="ena"/>
      </w:pPr>
      <w:r>
        <w:t>(Separate Accounting)</w:t>
      </w:r>
    </w:p>
    <w:p w:rsidR="003C3240" w:rsidRDefault="004D324E">
      <w:pPr>
        <w:pStyle w:val="enf3"/>
      </w:pPr>
      <w:r>
        <w:t>Article 20  A registered institution promoting use of facili</w:t>
      </w:r>
      <w:r>
        <w:t>ties, when performing its usage promotion services, must organize and maintain the accounting procedures pertaining to the usage promotion services separately from other accounting procedures.</w:t>
      </w:r>
    </w:p>
    <w:p w:rsidR="003C3240" w:rsidRDefault="003C3240"/>
    <w:p w:rsidR="003C3240" w:rsidRDefault="004D324E">
      <w:pPr>
        <w:pStyle w:val="ena"/>
      </w:pPr>
      <w:r>
        <w:t>(Grants)</w:t>
      </w:r>
    </w:p>
    <w:p w:rsidR="003C3240" w:rsidRDefault="004D324E">
      <w:pPr>
        <w:pStyle w:val="enf3"/>
      </w:pPr>
      <w:r>
        <w:t>Article 21  The State may grant a registered institut</w:t>
      </w:r>
      <w:r>
        <w:t>ion promoting use of facilities subsidies in the amount corresponding to the whole or a part of the costs required for the usage promotion services, within the scope of the budget.</w:t>
      </w:r>
    </w:p>
    <w:p w:rsidR="003C3240" w:rsidRDefault="003C3240"/>
    <w:p w:rsidR="003C3240" w:rsidRDefault="004D324E">
      <w:pPr>
        <w:pStyle w:val="ena"/>
      </w:pPr>
      <w:r>
        <w:t>(Appointment and Dismissal of Officers)</w:t>
      </w:r>
    </w:p>
    <w:p w:rsidR="003C3240" w:rsidRDefault="004D324E">
      <w:pPr>
        <w:pStyle w:val="enf3"/>
      </w:pPr>
      <w:r>
        <w:t>Article 22  If a registered instit</w:t>
      </w:r>
      <w:r>
        <w:t>ution promoting use of facilities is a corporation, it must notify the Minister of Education, Culture, Sports, Science and Technology of any appointment or dismissal of its officers without delay.</w:t>
      </w:r>
    </w:p>
    <w:p w:rsidR="003C3240" w:rsidRDefault="003C3240"/>
    <w:p w:rsidR="003C3240" w:rsidRDefault="004D324E">
      <w:pPr>
        <w:pStyle w:val="ena"/>
      </w:pPr>
      <w:r>
        <w:t>(Nature of Officers and Staff Members as Public Employees)</w:t>
      </w:r>
    </w:p>
    <w:p w:rsidR="003C3240" w:rsidRDefault="004D324E">
      <w:pPr>
        <w:pStyle w:val="enf3"/>
      </w:pPr>
      <w:r>
        <w:t>Article 23  A registered institution promoting use of facilities (or its officers in case of a corporation) or the staff members thereof who are engaged in the user selection services are deemed to be officials engaged in public duties pursuant to the law</w:t>
      </w:r>
      <w:r>
        <w:t>s and regulations, in terms of the application of the Criminal Code (Act No. 45 of 1907) and other penal provisions.</w:t>
      </w:r>
    </w:p>
    <w:p w:rsidR="003C3240" w:rsidRDefault="003C3240"/>
    <w:p w:rsidR="003C3240" w:rsidRDefault="004D324E">
      <w:pPr>
        <w:pStyle w:val="ena"/>
      </w:pPr>
      <w:r>
        <w:t>(Reports and Inspections)</w:t>
      </w:r>
    </w:p>
    <w:p w:rsidR="003C3240" w:rsidRDefault="004D324E">
      <w:pPr>
        <w:pStyle w:val="enf3"/>
      </w:pPr>
      <w:r>
        <w:t xml:space="preserve">Article 24  (1) To the extent necessary for the implementation of this Act, the Minister of Education, Culture, </w:t>
      </w:r>
      <w:r>
        <w:t>Sports, Science and Technology may require a registered institution promoting use of facilities to report the usage promotion services, or have their officials enter the office of a registered institution promoting use of facilities and inspect the situati</w:t>
      </w:r>
      <w:r>
        <w:t>on of the usage promotion services or the books, documents or other objects, or to ask questions to the persons concerned.</w:t>
      </w:r>
    </w:p>
    <w:p w:rsidR="003C3240" w:rsidRDefault="004D324E">
      <w:pPr>
        <w:pStyle w:val="enf4"/>
      </w:pPr>
      <w:r>
        <w:t xml:space="preserve">(2) The officials who conduct an on-site inspection pursuant to the provisions of the preceding paragraph must carry their </w:t>
      </w:r>
      <w:r>
        <w:t>identification cards and present them at the request of the persons concerned.</w:t>
      </w:r>
    </w:p>
    <w:p w:rsidR="003C3240" w:rsidRDefault="004D324E">
      <w:pPr>
        <w:pStyle w:val="enf4"/>
      </w:pPr>
      <w:r>
        <w:t>(3) The authority granted pursuant to paragraph (1) may not be interpreted as being granted for the purpose of criminal investigation.</w:t>
      </w:r>
    </w:p>
    <w:p w:rsidR="003C3240" w:rsidRDefault="003C3240"/>
    <w:p w:rsidR="003C3240" w:rsidRDefault="004D324E">
      <w:pPr>
        <w:pStyle w:val="ena"/>
      </w:pPr>
      <w:r>
        <w:t>(Order for Compliance)</w:t>
      </w:r>
    </w:p>
    <w:p w:rsidR="003C3240" w:rsidRDefault="004D324E">
      <w:pPr>
        <w:pStyle w:val="enf3"/>
      </w:pPr>
      <w:r>
        <w:t>Article 25  The Mi</w:t>
      </w:r>
      <w:r>
        <w:t>nister of Education, Culture, Sports, Science and Technology, when they find that a registered institution promoting use of facilities has come to fail to comply with any of the items of Article 11, paragraph (1), may order the registered institution promo</w:t>
      </w:r>
      <w:r>
        <w:t>ting use of facilities to take necessary measures in order to comply with the provisions.</w:t>
      </w:r>
    </w:p>
    <w:p w:rsidR="003C3240" w:rsidRDefault="003C3240"/>
    <w:p w:rsidR="003C3240" w:rsidRDefault="004D324E">
      <w:pPr>
        <w:pStyle w:val="ena"/>
      </w:pPr>
      <w:r>
        <w:t>(Order for Improvement)</w:t>
      </w:r>
    </w:p>
    <w:p w:rsidR="003C3240" w:rsidRDefault="004D324E">
      <w:pPr>
        <w:pStyle w:val="enf3"/>
      </w:pPr>
      <w:r>
        <w:t>Article 26  The Minister of Education, Culture, Sports, Science and Technology, when they find that a registered institution promoting use of</w:t>
      </w:r>
      <w:r>
        <w:t xml:space="preserve"> facilities is violating the provisions of Article 15, may order the registered institution promoting use of facilities to perform the usage promotion services or to take necessary measures for improving the methods of the usage promotion services.</w:t>
      </w:r>
    </w:p>
    <w:p w:rsidR="003C3240" w:rsidRDefault="003C3240"/>
    <w:p w:rsidR="003C3240" w:rsidRDefault="004D324E">
      <w:pPr>
        <w:pStyle w:val="ena"/>
      </w:pPr>
      <w:r>
        <w:t>(Resci</w:t>
      </w:r>
      <w:r>
        <w:t>ssion of Registration)</w:t>
      </w:r>
    </w:p>
    <w:p w:rsidR="003C3240" w:rsidRDefault="004D324E">
      <w:pPr>
        <w:pStyle w:val="enf3"/>
      </w:pPr>
      <w:r>
        <w:t xml:space="preserve">Article 27  The Minister of Education, Culture, Sports, Science and Technology may rescind the registration or order suspension of the usage promotion services in whole or in part, for a specified period, if a registered institution </w:t>
      </w:r>
      <w:r>
        <w:t>promoting use of facilities falls under any of the following sub-items:</w:t>
      </w:r>
    </w:p>
    <w:p w:rsidR="003C3240" w:rsidRDefault="004D324E">
      <w:pPr>
        <w:pStyle w:val="enf6"/>
      </w:pPr>
      <w:r>
        <w:t>(i) when it comes to fall under Article 10, item (i) or (iii);</w:t>
      </w:r>
    </w:p>
    <w:p w:rsidR="003C3240" w:rsidRDefault="004D324E">
      <w:pPr>
        <w:pStyle w:val="enf6"/>
      </w:pPr>
      <w:r>
        <w:t>(ii) when it violates the provisions of Article 11, paragraph (3), Article 12, Article 18, Article 19, paragraph (1), Art</w:t>
      </w:r>
      <w:r>
        <w:t>icle 20 or Article 22;</w:t>
      </w:r>
    </w:p>
    <w:p w:rsidR="003C3240" w:rsidRDefault="004D324E">
      <w:pPr>
        <w:pStyle w:val="enf6"/>
      </w:pPr>
      <w:r>
        <w:t>(iii) when it performs usage promotion services without complying with the rules of service approved pursuant to Article 17, paragraph (1);</w:t>
      </w:r>
    </w:p>
    <w:p w:rsidR="003C3240" w:rsidRDefault="004D324E">
      <w:pPr>
        <w:pStyle w:val="enf6"/>
      </w:pPr>
      <w:r>
        <w:t>(iv) when it violates the order issued pursuant to the provisions of Article 17, paragraph (2</w:t>
      </w:r>
      <w:r>
        <w:t>) or the preceding two Articles;</w:t>
      </w:r>
    </w:p>
    <w:p w:rsidR="003C3240" w:rsidRDefault="004D324E">
      <w:pPr>
        <w:pStyle w:val="enf6"/>
      </w:pPr>
      <w:r>
        <w:t>(v) when it rejects a request made pursuant to the provisions of each item of Article 19, paragraph (2) without legitimate grounds; or</w:t>
      </w:r>
    </w:p>
    <w:p w:rsidR="003C3240" w:rsidRDefault="004D324E">
      <w:pPr>
        <w:pStyle w:val="enf6"/>
      </w:pPr>
      <w:r>
        <w:t>(vi) when it obtains registration by wrongful means.</w:t>
      </w:r>
    </w:p>
    <w:p w:rsidR="003C3240" w:rsidRDefault="003C3240"/>
    <w:p w:rsidR="003C3240" w:rsidRDefault="004D324E">
      <w:pPr>
        <w:pStyle w:val="ena"/>
      </w:pPr>
      <w:r>
        <w:t>(Public Notice)</w:t>
      </w:r>
    </w:p>
    <w:p w:rsidR="003C3240" w:rsidRDefault="004D324E">
      <w:pPr>
        <w:pStyle w:val="enf3"/>
      </w:pPr>
      <w:r>
        <w:t>Article 28  (1) Th</w:t>
      </w:r>
      <w:r>
        <w:t>e Minister of Education, Culture, Sports, Science and Technology must give public notice in the official gazette in the following cases:</w:t>
      </w:r>
    </w:p>
    <w:p w:rsidR="003C3240" w:rsidRDefault="004D324E">
      <w:pPr>
        <w:pStyle w:val="enf6"/>
      </w:pPr>
      <w:r>
        <w:t>(i) when registration is made;</w:t>
      </w:r>
    </w:p>
    <w:p w:rsidR="003C3240" w:rsidRDefault="004D324E">
      <w:pPr>
        <w:pStyle w:val="enf6"/>
      </w:pPr>
      <w:r>
        <w:t>(ii) when the notification pursuant to the provisions of Article 11, paragraph (3) is ma</w:t>
      </w:r>
      <w:r>
        <w:t>de;</w:t>
      </w:r>
    </w:p>
    <w:p w:rsidR="003C3240" w:rsidRDefault="004D324E">
      <w:pPr>
        <w:pStyle w:val="enf6"/>
      </w:pPr>
      <w:r>
        <w:t>(iii) when the permission set forth in Article 18 is granted; or</w:t>
      </w:r>
    </w:p>
    <w:p w:rsidR="003C3240" w:rsidRDefault="004D324E">
      <w:pPr>
        <w:pStyle w:val="enf6"/>
      </w:pPr>
      <w:r>
        <w:t>(iv) when the registration is rescinded or the suspension of the usage promotion services is ordered pursuant to the provisions of the preceding Article.</w:t>
      </w:r>
    </w:p>
    <w:p w:rsidR="003C3240" w:rsidRDefault="004D324E">
      <w:pPr>
        <w:pStyle w:val="enf4"/>
      </w:pPr>
      <w:r>
        <w:t>(2) The Minister of Education, Cu</w:t>
      </w:r>
      <w:r>
        <w:t xml:space="preserve">lture, Sports, Science and Technology must give public notice of the following matters in advance when the Minister entrusts a registered institution promoting use of facilities to perform the usage promotion services pursuant to the provisions of Article </w:t>
      </w:r>
      <w:r>
        <w:t>8, paragraph (1);</w:t>
      </w:r>
    </w:p>
    <w:p w:rsidR="003C3240" w:rsidRDefault="004D324E">
      <w:pPr>
        <w:pStyle w:val="enf6"/>
      </w:pPr>
      <w:r>
        <w:t>(i) matters listed in each item of Article 11, paragraph (2);</w:t>
      </w:r>
    </w:p>
    <w:p w:rsidR="003C3240" w:rsidRDefault="004D324E">
      <w:pPr>
        <w:pStyle w:val="enf6"/>
      </w:pPr>
      <w:r>
        <w:t>(ii) content of the usage promotion services performed by the registered institution promoting use of facilities; and</w:t>
      </w:r>
    </w:p>
    <w:p w:rsidR="003C3240" w:rsidRDefault="004D324E">
      <w:pPr>
        <w:pStyle w:val="enf6"/>
      </w:pPr>
      <w:r>
        <w:t>(iii) the day on which the registered institution promotin</w:t>
      </w:r>
      <w:r>
        <w:t>g use of facilities commences the usage promotion services.</w:t>
      </w:r>
    </w:p>
    <w:p w:rsidR="003C3240" w:rsidRDefault="003C3240"/>
    <w:p w:rsidR="003C3240" w:rsidRDefault="004D324E">
      <w:pPr>
        <w:pStyle w:val="en3"/>
      </w:pPr>
      <w:r>
        <w:t>Chapter V Penal Provisions</w:t>
      </w:r>
    </w:p>
    <w:p w:rsidR="003C3240" w:rsidRDefault="003C3240"/>
    <w:p w:rsidR="003C3240" w:rsidRDefault="004D324E">
      <w:pPr>
        <w:pStyle w:val="enf3"/>
      </w:pPr>
      <w:r>
        <w:t>Article 29  A person falling under either of the following items is punished by a fine of not more than three hundred thousand yen:</w:t>
      </w:r>
    </w:p>
    <w:p w:rsidR="003C3240" w:rsidRDefault="004D324E">
      <w:pPr>
        <w:pStyle w:val="enf6"/>
      </w:pPr>
      <w:r>
        <w:t xml:space="preserve">(i) a person who </w:t>
      </w:r>
      <w:r>
        <w:t>discontinues all of the usage promotion services without obtaining permission pursuant to Article 18; or</w:t>
      </w:r>
    </w:p>
    <w:p w:rsidR="003C3240" w:rsidRDefault="004D324E">
      <w:pPr>
        <w:pStyle w:val="enf6"/>
      </w:pPr>
      <w:r>
        <w:t>(ii) a person who fails to submit reports pursuant to the provisions of Article 24, paragraph (1) or makes false reports, or rejects, interferes with o</w:t>
      </w:r>
      <w:r>
        <w:t>r evades the inspection to be conducted pursuant to the provisions of the same paragraph, or fails to make statements or makes false statements in response to the questions made pursuant to the provisions of the same paragraph.</w:t>
      </w:r>
    </w:p>
    <w:p w:rsidR="003C3240" w:rsidRDefault="003C3240"/>
    <w:p w:rsidR="003C3240" w:rsidRDefault="004D324E">
      <w:pPr>
        <w:pStyle w:val="enf3"/>
      </w:pPr>
      <w:r>
        <w:t>Article 30  When the repres</w:t>
      </w:r>
      <w:r>
        <w:t>entative of a corporation or the agent, employee or other workers of a corporation or an individual has committed a violation set forth in the preceding Article with regard to the business of the corporation or individual, not only the offender but also th</w:t>
      </w:r>
      <w:r>
        <w:t>e corporation or individual is punished by the penalty prescribed in the same Article.</w:t>
      </w:r>
    </w:p>
    <w:p w:rsidR="003C3240" w:rsidRDefault="003C3240"/>
    <w:p w:rsidR="003C3240" w:rsidRDefault="004D324E">
      <w:pPr>
        <w:pStyle w:val="enf3"/>
      </w:pPr>
      <w:r>
        <w:t>Article 31  A person who has failed to keep the financial statements, etc., has failed to enter the matters to be entered or has made false entries in the financial sta</w:t>
      </w:r>
      <w:r>
        <w:t>tements, etc. in violation of the provisions of Article 19, paragraph (1), or has refused a request made under each item of paragraph (2) of the same Article without legitimate grounds is punished by a civil fine of not more than two hundred thousand yen.</w:t>
      </w:r>
    </w:p>
    <w:p w:rsidR="003C3240" w:rsidRDefault="003C3240"/>
    <w:p w:rsidR="003C3240" w:rsidRDefault="004D324E">
      <w:pPr>
        <w:pStyle w:val="en2"/>
      </w:pPr>
      <w:r>
        <w:t>Supplementary Provisions  [Extract]</w:t>
      </w:r>
    </w:p>
    <w:p w:rsidR="003C3240" w:rsidRDefault="003C3240"/>
    <w:p w:rsidR="003C3240" w:rsidRDefault="004D324E">
      <w:pPr>
        <w:pStyle w:val="ena"/>
      </w:pPr>
      <w:r>
        <w:t>(Effective Date)</w:t>
      </w:r>
    </w:p>
    <w:p w:rsidR="003C3240" w:rsidRDefault="004D324E">
      <w:pPr>
        <w:pStyle w:val="enf3"/>
      </w:pPr>
      <w:r>
        <w:t>Article 1  This Act comes into effect as of the day specified by Cabinet Order within a period not exceeding six months from the date of promulgation.</w:t>
      </w:r>
    </w:p>
    <w:p w:rsidR="003C3240" w:rsidRDefault="003C3240"/>
    <w:p w:rsidR="003C3240" w:rsidRDefault="004D324E">
      <w:pPr>
        <w:pStyle w:val="ena"/>
      </w:pPr>
      <w:r>
        <w:t>(Transitional Measures concerning Penal Provision</w:t>
      </w:r>
      <w:r>
        <w:t>s)</w:t>
      </w:r>
    </w:p>
    <w:p w:rsidR="003C3240" w:rsidRDefault="004D324E">
      <w:pPr>
        <w:pStyle w:val="enf3"/>
      </w:pPr>
      <w:r>
        <w:t>Article 2  With regard to the application of penal provisions to acts committed prior to the implementation of this Act, the provisions then in force remain applicable.</w:t>
      </w:r>
    </w:p>
    <w:p w:rsidR="003C3240" w:rsidRDefault="003C3240"/>
    <w:p w:rsidR="003C3240" w:rsidRDefault="004D324E">
      <w:pPr>
        <w:pStyle w:val="en2"/>
      </w:pPr>
      <w:r>
        <w:t>Supplementary Provisions  [Act No. 160 of December 22, 1999]  [Extract]</w:t>
      </w:r>
    </w:p>
    <w:p w:rsidR="003C3240" w:rsidRDefault="003C3240"/>
    <w:p w:rsidR="003C3240" w:rsidRDefault="004D324E">
      <w:pPr>
        <w:pStyle w:val="ena"/>
      </w:pPr>
      <w:r>
        <w:t>(Effective Date)</w:t>
      </w:r>
    </w:p>
    <w:p w:rsidR="003C3240" w:rsidRDefault="004D324E">
      <w:pPr>
        <w:pStyle w:val="enf3"/>
      </w:pPr>
      <w:r>
        <w:t>Article 1  This Act (excluding Article 2 and Article 3) comes into effect as from January 6, 2001.</w:t>
      </w:r>
    </w:p>
    <w:p w:rsidR="003C3240" w:rsidRDefault="003C3240"/>
    <w:p w:rsidR="003C3240" w:rsidRDefault="004D324E">
      <w:pPr>
        <w:pStyle w:val="en2"/>
      </w:pPr>
      <w:r>
        <w:t>Supplementary Provisions  [Act No. 160 of December 13, 2002]  [Extract]</w:t>
      </w:r>
    </w:p>
    <w:p w:rsidR="003C3240" w:rsidRDefault="003C3240"/>
    <w:p w:rsidR="003C3240" w:rsidRDefault="004D324E">
      <w:pPr>
        <w:pStyle w:val="ena"/>
      </w:pPr>
      <w:r>
        <w:t>(Effective Date)</w:t>
      </w:r>
    </w:p>
    <w:p w:rsidR="003C3240" w:rsidRDefault="004D324E">
      <w:pPr>
        <w:pStyle w:val="enf3"/>
      </w:pPr>
      <w:r>
        <w:t>Article 1  This Act comes into effect as of the d</w:t>
      </w:r>
      <w:r>
        <w:t>ate of promulgation; provided, however, that the provisions listed in each of the following items come into effect as of the date specified in each item.</w:t>
      </w:r>
    </w:p>
    <w:p w:rsidR="003C3240" w:rsidRDefault="004D324E">
      <w:pPr>
        <w:pStyle w:val="enf6"/>
      </w:pPr>
      <w:r>
        <w:t xml:space="preserve">(i) The provisions of Articles 5 through 8, Article 10, Article 11, and Article 13 of the </w:t>
      </w:r>
      <w:r>
        <w:t>Supplementary Provisions: October 1, 2003</w:t>
      </w:r>
    </w:p>
    <w:p w:rsidR="003C3240" w:rsidRDefault="003C3240"/>
    <w:p w:rsidR="003C3240" w:rsidRDefault="004D324E">
      <w:pPr>
        <w:pStyle w:val="en2"/>
      </w:pPr>
      <w:r>
        <w:t>Supplementary Provisions  [Act No. 155 of December 3, 2004]  [Extract]</w:t>
      </w:r>
    </w:p>
    <w:p w:rsidR="003C3240" w:rsidRDefault="003C3240"/>
    <w:p w:rsidR="003C3240" w:rsidRDefault="004D324E">
      <w:pPr>
        <w:pStyle w:val="ena"/>
      </w:pPr>
      <w:r>
        <w:t>(Effective Date)</w:t>
      </w:r>
    </w:p>
    <w:p w:rsidR="003C3240" w:rsidRDefault="004D324E">
      <w:pPr>
        <w:pStyle w:val="enf3"/>
      </w:pPr>
      <w:r>
        <w:t xml:space="preserve">Article 1  This Act comes into effect as of the date of promulgation; provided, however, that the provisions of Articles 10 </w:t>
      </w:r>
      <w:r>
        <w:t>through 12, Articles 14 through 17, Article 18, paragraphs (1) and (3), and Articles 19 through 32 of the Supplementary Provisions come into effect as from October 1, 2005.</w:t>
      </w:r>
    </w:p>
    <w:p w:rsidR="003C3240" w:rsidRDefault="003C3240"/>
    <w:p w:rsidR="003C3240" w:rsidRDefault="004D324E">
      <w:pPr>
        <w:pStyle w:val="en2"/>
      </w:pPr>
      <w:r>
        <w:t>Supplementary Provisions  [Act No. 37 of May 17, 2006]  [Extract]</w:t>
      </w:r>
    </w:p>
    <w:p w:rsidR="003C3240" w:rsidRDefault="003C3240"/>
    <w:p w:rsidR="003C3240" w:rsidRDefault="004D324E">
      <w:pPr>
        <w:pStyle w:val="ena"/>
      </w:pPr>
      <w:r>
        <w:t>(Effective Date</w:t>
      </w:r>
      <w:r>
        <w:t>)</w:t>
      </w:r>
    </w:p>
    <w:p w:rsidR="003C3240" w:rsidRDefault="004D324E">
      <w:pPr>
        <w:pStyle w:val="enf3"/>
      </w:pPr>
      <w:r>
        <w:t>Article 1  This Act comes into effect as from July 1, 2006; provided, however, that the provisions of the following Article and the provisions of Article 6 of the Supplementary Provisions come into effect as of the date of promulgation.</w:t>
      </w:r>
    </w:p>
    <w:p w:rsidR="003C3240" w:rsidRDefault="003C3240"/>
    <w:p w:rsidR="003C3240" w:rsidRDefault="004D324E">
      <w:pPr>
        <w:pStyle w:val="ena"/>
      </w:pPr>
      <w:r>
        <w:t>(Preparation pri</w:t>
      </w:r>
      <w:r>
        <w:t>or to Implementation)</w:t>
      </w:r>
    </w:p>
    <w:p w:rsidR="003C3240" w:rsidRDefault="004D324E">
      <w:pPr>
        <w:pStyle w:val="enf3"/>
      </w:pPr>
      <w:r>
        <w:t xml:space="preserve">Article 2  A person who seeks to obtain the registration pursuant to Article 8, paragraph (1) of the Act on the Promotion of Public Utilization of the Specific Advanced Large Research Facilities amended by the provisions of Article 2 </w:t>
      </w:r>
      <w:r>
        <w:t>(hereinafter referred to as the "New Act") may apply for the registration prior to the implementation of this Act.</w:t>
      </w:r>
    </w:p>
    <w:p w:rsidR="003C3240" w:rsidRDefault="003C3240"/>
    <w:p w:rsidR="003C3240" w:rsidRDefault="004D324E">
      <w:pPr>
        <w:pStyle w:val="ena"/>
      </w:pPr>
      <w:r>
        <w:t>(Transitional Measures concerning Partial Amendment of the Act for the Promotion of Public Utilization of the Specific Synchrotron Radiation</w:t>
      </w:r>
      <w:r>
        <w:t xml:space="preserve"> Facilities)</w:t>
      </w:r>
    </w:p>
    <w:p w:rsidR="003C3240" w:rsidRDefault="004D324E">
      <w:pPr>
        <w:pStyle w:val="enf3"/>
      </w:pPr>
      <w:r>
        <w:t>Article 3  (1) A person who has already received the designation, at the time of the implementation of this Act, pursuant to the provisions of Article 8, paragraph (1) of the Act for the Promotion of Public Utilization of the Specific Synchrot</w:t>
      </w:r>
      <w:r>
        <w:t>ron Radiation Facilities prior to the amendment pursuant to the provisions of Article 2 (hereinafter referred to as the "Former Act") is deemed to have received the registration pursuant to Article 8, paragraph (1) of the New Act pertaining to the Specific</w:t>
      </w:r>
      <w:r>
        <w:t xml:space="preserve"> Synchrotron Radiation Facilities until the day nine months have elapsed from the date on which this Act comes into effect.</w:t>
      </w:r>
    </w:p>
    <w:p w:rsidR="003C3240" w:rsidRDefault="004D324E">
      <w:pPr>
        <w:pStyle w:val="enf4"/>
      </w:pPr>
      <w:r>
        <w:t>(2) With respect to the business report, balance sheet, income and expenditure account statement and inventory of assets of a person</w:t>
      </w:r>
      <w:r>
        <w:t xml:space="preserve"> who has already received the designation, at the time of the implementation of this Act, pursuant to the provisions of Article 8, paragraph (1) of the Former Act pertaining to the business year including the preceding day of the date on which this Act com</w:t>
      </w:r>
      <w:r>
        <w:t>es into effect, the provisions of Article 14, paragraph (2) and Article 24 (limited to the part pertaining to item (iii)) of the Former Act remain in force.</w:t>
      </w:r>
    </w:p>
    <w:p w:rsidR="003C3240" w:rsidRDefault="003C3240"/>
    <w:p w:rsidR="003C3240" w:rsidRDefault="004D324E">
      <w:pPr>
        <w:pStyle w:val="enf3"/>
      </w:pPr>
      <w:r>
        <w:t>Article 4  Beyond what is set forth in the preceding Article, a disposition, procedure or any othe</w:t>
      </w:r>
      <w:r>
        <w:t xml:space="preserve">r act made or taken prior to the implementation of this Act pursuant to the provisions of the Former Act (including orders issued thereunder), if the New Act (including orders issued thereunder) has corresponding provisions, is deemed to have been made or </w:t>
      </w:r>
      <w:r>
        <w:t>taken under the corresponding provisions.</w:t>
      </w:r>
    </w:p>
    <w:p w:rsidR="003C3240" w:rsidRDefault="003C3240"/>
    <w:p w:rsidR="003C3240" w:rsidRDefault="004D324E">
      <w:pPr>
        <w:pStyle w:val="enf3"/>
      </w:pPr>
      <w:r>
        <w:t>Article 5  With regard to the application of penal provisions to acts committed prior to the implementation of this Act, the provisions then in force remain applicable.</w:t>
      </w:r>
    </w:p>
    <w:p w:rsidR="003C3240" w:rsidRDefault="003C3240"/>
    <w:p w:rsidR="003C3240" w:rsidRDefault="004D324E">
      <w:pPr>
        <w:pStyle w:val="ena"/>
      </w:pPr>
      <w:r>
        <w:t>(Delegation to Cabinet Order)</w:t>
      </w:r>
    </w:p>
    <w:p w:rsidR="003C3240" w:rsidRDefault="004D324E">
      <w:pPr>
        <w:pStyle w:val="enf3"/>
      </w:pPr>
      <w:r>
        <w:t>Article 6  Be</w:t>
      </w:r>
      <w:r>
        <w:t>yond what is set forth in Article 2 through the preceding Article of the Supplementary Provisions, transitional measures necessary for the implementation of this Act are specified by Cabinet Order.</w:t>
      </w:r>
    </w:p>
    <w:p w:rsidR="003C3240" w:rsidRDefault="003C3240"/>
    <w:p w:rsidR="003C3240" w:rsidRDefault="004D324E">
      <w:pPr>
        <w:pStyle w:val="ena"/>
      </w:pPr>
      <w:r>
        <w:t>(Review)</w:t>
      </w:r>
    </w:p>
    <w:p w:rsidR="003C3240" w:rsidRDefault="004D324E">
      <w:pPr>
        <w:pStyle w:val="enf3"/>
      </w:pPr>
      <w:r>
        <w:t>Article 7  At the time five years have elapsed f</w:t>
      </w:r>
      <w:r>
        <w:t>rom the implementation of this Act, the government is to review the provisions of the New Act, and take any necessary measures based on the results thereof when it finds it necessary by taking into account the implementation status of the New Act.</w:t>
      </w:r>
    </w:p>
    <w:sectPr w:rsidR="003C3240" w:rsidSect="003C32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240" w:rsidRDefault="003C3240" w:rsidP="003C3240">
      <w:r>
        <w:separator/>
      </w:r>
    </w:p>
  </w:endnote>
  <w:endnote w:type="continuationSeparator" w:id="0">
    <w:p w:rsidR="003C3240" w:rsidRDefault="003C3240" w:rsidP="003C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240" w:rsidRDefault="003C3240">
    <w:pPr>
      <w:pStyle w:val="a3"/>
    </w:pPr>
    <w:r>
      <w:fldChar w:fldCharType="begin"/>
    </w:r>
    <w:r>
      <w:instrText xml:space="preserve"> PAGE  \* MERGEFORMAT </w:instrText>
    </w:r>
    <w:r>
      <w:fldChar w:fldCharType="separate"/>
    </w:r>
    <w:r w:rsidR="004D32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240" w:rsidRDefault="003C3240" w:rsidP="003C3240">
      <w:r>
        <w:separator/>
      </w:r>
    </w:p>
  </w:footnote>
  <w:footnote w:type="continuationSeparator" w:id="0">
    <w:p w:rsidR="003C3240" w:rsidRDefault="003C3240" w:rsidP="003C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1F5"/>
    <w:multiLevelType w:val="multilevel"/>
    <w:tmpl w:val="EB666E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71187"/>
    <w:multiLevelType w:val="multilevel"/>
    <w:tmpl w:val="18BE73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86412"/>
    <w:multiLevelType w:val="multilevel"/>
    <w:tmpl w:val="AB380A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20429B"/>
    <w:multiLevelType w:val="multilevel"/>
    <w:tmpl w:val="F050F3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003A3A"/>
    <w:multiLevelType w:val="multilevel"/>
    <w:tmpl w:val="E3920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E60D1"/>
    <w:multiLevelType w:val="multilevel"/>
    <w:tmpl w:val="FEE8C1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67F72"/>
    <w:multiLevelType w:val="multilevel"/>
    <w:tmpl w:val="0A7E01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83443"/>
    <w:multiLevelType w:val="multilevel"/>
    <w:tmpl w:val="5AD2C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34156"/>
    <w:multiLevelType w:val="multilevel"/>
    <w:tmpl w:val="7D8CEA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034A6"/>
    <w:multiLevelType w:val="multilevel"/>
    <w:tmpl w:val="F3DE42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75426"/>
    <w:multiLevelType w:val="multilevel"/>
    <w:tmpl w:val="F258A0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2757B"/>
    <w:multiLevelType w:val="multilevel"/>
    <w:tmpl w:val="9CBA13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E1D81"/>
    <w:multiLevelType w:val="multilevel"/>
    <w:tmpl w:val="B274B7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4"/>
  </w:num>
  <w:num w:numId="4">
    <w:abstractNumId w:val="3"/>
  </w:num>
  <w:num w:numId="5">
    <w:abstractNumId w:val="9"/>
  </w:num>
  <w:num w:numId="6">
    <w:abstractNumId w:val="10"/>
  </w:num>
  <w:num w:numId="7">
    <w:abstractNumId w:val="11"/>
  </w:num>
  <w:num w:numId="8">
    <w:abstractNumId w:val="6"/>
  </w:num>
  <w:num w:numId="9">
    <w:abstractNumId w:val="0"/>
  </w:num>
  <w:num w:numId="10">
    <w:abstractNumId w:val="8"/>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3240"/>
    <w:rsid w:val="003C3240"/>
    <w:rsid w:val="004D32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2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32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3240"/>
    <w:rPr>
      <w:rFonts w:ascii="Century" w:eastAsia="Century" w:hAnsi="Century"/>
    </w:rPr>
  </w:style>
  <w:style w:type="paragraph" w:customStyle="1" w:styleId="ja0">
    <w:name w:val="款（ja）"/>
    <w:basedOn w:val="a"/>
    <w:rsid w:val="003C3240"/>
    <w:pPr>
      <w:widowControl w:val="0"/>
      <w:ind w:left="1321" w:hanging="221"/>
    </w:pPr>
    <w:rPr>
      <w:rFonts w:ascii="ＭＳ 明朝" w:eastAsia="ＭＳ 明朝" w:hAnsi="ＭＳ 明朝" w:cs="ＭＳ 明朝"/>
      <w:b/>
    </w:rPr>
  </w:style>
  <w:style w:type="paragraph" w:customStyle="1" w:styleId="en0">
    <w:name w:val="款（en）"/>
    <w:basedOn w:val="ja0"/>
    <w:rsid w:val="003C3240"/>
    <w:rPr>
      <w:rFonts w:ascii="Century" w:eastAsia="Century" w:hAnsi="Century" w:cs="Century"/>
    </w:rPr>
  </w:style>
  <w:style w:type="paragraph" w:customStyle="1" w:styleId="ja1">
    <w:name w:val="前文（ja）"/>
    <w:basedOn w:val="a"/>
    <w:rsid w:val="003C3240"/>
    <w:pPr>
      <w:widowControl w:val="0"/>
      <w:ind w:firstLine="219"/>
    </w:pPr>
    <w:rPr>
      <w:rFonts w:ascii="ＭＳ 明朝" w:eastAsia="ＭＳ 明朝" w:hAnsi="ＭＳ 明朝" w:cs="ＭＳ 明朝"/>
    </w:rPr>
  </w:style>
  <w:style w:type="paragraph" w:customStyle="1" w:styleId="en1">
    <w:name w:val="前文（en）"/>
    <w:basedOn w:val="ja1"/>
    <w:rsid w:val="003C3240"/>
    <w:rPr>
      <w:rFonts w:ascii="Century" w:eastAsia="Century" w:hAnsi="Century" w:cs="Century"/>
    </w:rPr>
  </w:style>
  <w:style w:type="paragraph" w:customStyle="1" w:styleId="ja2">
    <w:name w:val="附則（ja）"/>
    <w:basedOn w:val="a"/>
    <w:rsid w:val="003C3240"/>
    <w:pPr>
      <w:widowControl w:val="0"/>
      <w:ind w:left="881" w:hanging="221"/>
    </w:pPr>
    <w:rPr>
      <w:rFonts w:ascii="ＭＳ 明朝" w:eastAsia="ＭＳ 明朝" w:hAnsi="ＭＳ 明朝" w:cs="ＭＳ 明朝"/>
      <w:b/>
    </w:rPr>
  </w:style>
  <w:style w:type="paragraph" w:customStyle="1" w:styleId="en2">
    <w:name w:val="附則（en）"/>
    <w:basedOn w:val="ja2"/>
    <w:rsid w:val="003C3240"/>
    <w:rPr>
      <w:rFonts w:ascii="Century" w:hAnsi="Century" w:cs="Century"/>
    </w:rPr>
  </w:style>
  <w:style w:type="paragraph" w:customStyle="1" w:styleId="ja3">
    <w:name w:val="章（ja）"/>
    <w:basedOn w:val="a"/>
    <w:rsid w:val="003C3240"/>
    <w:pPr>
      <w:widowControl w:val="0"/>
      <w:ind w:left="881" w:hanging="221"/>
    </w:pPr>
    <w:rPr>
      <w:rFonts w:ascii="ＭＳ 明朝" w:eastAsia="ＭＳ 明朝" w:hAnsi="ＭＳ 明朝" w:cs="ＭＳ 明朝"/>
      <w:b/>
    </w:rPr>
  </w:style>
  <w:style w:type="paragraph" w:customStyle="1" w:styleId="en3">
    <w:name w:val="章（en）"/>
    <w:basedOn w:val="ja3"/>
    <w:rsid w:val="003C3240"/>
    <w:rPr>
      <w:rFonts w:ascii="Century" w:eastAsia="Century" w:hAnsi="Century" w:cs="Century"/>
    </w:rPr>
  </w:style>
  <w:style w:type="paragraph" w:customStyle="1" w:styleId="ja4">
    <w:name w:val="目次編（ja）"/>
    <w:basedOn w:val="a"/>
    <w:rsid w:val="003C3240"/>
    <w:pPr>
      <w:widowControl w:val="0"/>
      <w:ind w:left="219" w:hanging="219"/>
    </w:pPr>
    <w:rPr>
      <w:rFonts w:ascii="ＭＳ 明朝" w:eastAsia="ＭＳ 明朝" w:hAnsi="ＭＳ 明朝"/>
    </w:rPr>
  </w:style>
  <w:style w:type="paragraph" w:customStyle="1" w:styleId="en4">
    <w:name w:val="目次編（en）"/>
    <w:basedOn w:val="ja4"/>
    <w:rsid w:val="003C3240"/>
    <w:rPr>
      <w:rFonts w:ascii="Century" w:eastAsia="Century" w:hAnsi="Century"/>
    </w:rPr>
  </w:style>
  <w:style w:type="paragraph" w:customStyle="1" w:styleId="ja5">
    <w:name w:val="目次章（ja）"/>
    <w:basedOn w:val="a"/>
    <w:rsid w:val="003C3240"/>
    <w:pPr>
      <w:widowControl w:val="0"/>
      <w:ind w:left="439" w:hanging="219"/>
    </w:pPr>
    <w:rPr>
      <w:rFonts w:ascii="ＭＳ 明朝" w:eastAsia="ＭＳ 明朝" w:hAnsi="ＭＳ 明朝"/>
    </w:rPr>
  </w:style>
  <w:style w:type="paragraph" w:customStyle="1" w:styleId="en5">
    <w:name w:val="目次章（en）"/>
    <w:basedOn w:val="ja5"/>
    <w:rsid w:val="003C3240"/>
    <w:rPr>
      <w:rFonts w:ascii="Century" w:eastAsia="Century" w:hAnsi="Century"/>
    </w:rPr>
  </w:style>
  <w:style w:type="paragraph" w:customStyle="1" w:styleId="ja6">
    <w:name w:val="目次節（ja）"/>
    <w:basedOn w:val="a"/>
    <w:rsid w:val="003C3240"/>
    <w:pPr>
      <w:widowControl w:val="0"/>
      <w:ind w:left="659" w:hanging="219"/>
    </w:pPr>
    <w:rPr>
      <w:rFonts w:ascii="ＭＳ 明朝" w:eastAsia="ＭＳ 明朝" w:hAnsi="ＭＳ 明朝"/>
    </w:rPr>
  </w:style>
  <w:style w:type="paragraph" w:customStyle="1" w:styleId="en6">
    <w:name w:val="目次節（en）"/>
    <w:basedOn w:val="ja6"/>
    <w:rsid w:val="003C3240"/>
    <w:rPr>
      <w:rFonts w:ascii="Century" w:eastAsia="Century" w:hAnsi="Century"/>
    </w:rPr>
  </w:style>
  <w:style w:type="paragraph" w:customStyle="1" w:styleId="ja7">
    <w:name w:val="目次款（ja）"/>
    <w:basedOn w:val="a"/>
    <w:rsid w:val="003C3240"/>
    <w:pPr>
      <w:widowControl w:val="0"/>
      <w:ind w:left="879" w:hanging="219"/>
    </w:pPr>
    <w:rPr>
      <w:rFonts w:ascii="ＭＳ 明朝" w:eastAsia="ＭＳ 明朝" w:hAnsi="ＭＳ 明朝" w:cs="Kochi Mincho"/>
    </w:rPr>
  </w:style>
  <w:style w:type="paragraph" w:customStyle="1" w:styleId="en7">
    <w:name w:val="目次款（en）"/>
    <w:basedOn w:val="ja7"/>
    <w:rsid w:val="003C3240"/>
    <w:rPr>
      <w:rFonts w:ascii="Century" w:eastAsia="Century" w:hAnsi="Century"/>
    </w:rPr>
  </w:style>
  <w:style w:type="paragraph" w:customStyle="1" w:styleId="ja8">
    <w:name w:val="別表名（ja）"/>
    <w:basedOn w:val="a"/>
    <w:rsid w:val="003C32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3240"/>
    <w:rPr>
      <w:rFonts w:ascii="Century" w:eastAsia="Century" w:hAnsi="Century" w:cs="Century"/>
    </w:rPr>
  </w:style>
  <w:style w:type="paragraph" w:customStyle="1" w:styleId="ja9">
    <w:name w:val="目（ja）"/>
    <w:basedOn w:val="a"/>
    <w:rsid w:val="003C3240"/>
    <w:pPr>
      <w:widowControl w:val="0"/>
      <w:ind w:left="1541" w:hanging="221"/>
    </w:pPr>
    <w:rPr>
      <w:rFonts w:ascii="ＭＳ 明朝" w:eastAsia="ＭＳ 明朝" w:hAnsi="ＭＳ 明朝" w:cs="ＭＳ 明朝"/>
      <w:b/>
    </w:rPr>
  </w:style>
  <w:style w:type="paragraph" w:customStyle="1" w:styleId="en9">
    <w:name w:val="目（en）"/>
    <w:basedOn w:val="ja9"/>
    <w:rsid w:val="003C3240"/>
    <w:rPr>
      <w:rFonts w:ascii="Century" w:eastAsia="Century" w:hAnsi="Century" w:cs="Century"/>
    </w:rPr>
  </w:style>
  <w:style w:type="paragraph" w:customStyle="1" w:styleId="jaa">
    <w:name w:val="見出し（ja）"/>
    <w:basedOn w:val="a"/>
    <w:rsid w:val="003C3240"/>
    <w:pPr>
      <w:widowControl w:val="0"/>
      <w:ind w:left="439" w:hanging="219"/>
    </w:pPr>
    <w:rPr>
      <w:rFonts w:ascii="ＭＳ 明朝" w:eastAsia="ＭＳ 明朝" w:hAnsi="ＭＳ 明朝" w:cs="ＭＳ 明朝"/>
    </w:rPr>
  </w:style>
  <w:style w:type="paragraph" w:customStyle="1" w:styleId="ena">
    <w:name w:val="見出し（en）"/>
    <w:basedOn w:val="jaa"/>
    <w:rsid w:val="003C3240"/>
    <w:rPr>
      <w:rFonts w:ascii="Century" w:eastAsia="Century" w:hAnsi="Century" w:cs="Century"/>
    </w:rPr>
  </w:style>
  <w:style w:type="paragraph" w:styleId="a3">
    <w:name w:val="footer"/>
    <w:basedOn w:val="a"/>
    <w:rsid w:val="003C32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3240"/>
    <w:pPr>
      <w:widowControl w:val="0"/>
      <w:ind w:left="1099" w:hanging="219"/>
    </w:pPr>
    <w:rPr>
      <w:rFonts w:ascii="ＭＳ 明朝" w:eastAsia="ＭＳ 明朝" w:hAnsi="ＭＳ 明朝" w:cs="Kochi Mincho"/>
    </w:rPr>
  </w:style>
  <w:style w:type="paragraph" w:customStyle="1" w:styleId="enb">
    <w:name w:val="目次目（en）"/>
    <w:basedOn w:val="jab"/>
    <w:rsid w:val="003C3240"/>
    <w:rPr>
      <w:rFonts w:ascii="Century" w:eastAsia="Century" w:hAnsi="Century"/>
    </w:rPr>
  </w:style>
  <w:style w:type="paragraph" w:customStyle="1" w:styleId="jac">
    <w:name w:val="目次附則（ja）"/>
    <w:basedOn w:val="a"/>
    <w:rsid w:val="003C3240"/>
    <w:pPr>
      <w:widowControl w:val="0"/>
      <w:ind w:left="439" w:hanging="219"/>
    </w:pPr>
    <w:rPr>
      <w:rFonts w:ascii="ＭＳ 明朝" w:eastAsia="ＭＳ 明朝" w:hAnsi="ＭＳ 明朝" w:cs="Kochi Mincho"/>
    </w:rPr>
  </w:style>
  <w:style w:type="paragraph" w:customStyle="1" w:styleId="enc">
    <w:name w:val="目次附則（en）"/>
    <w:basedOn w:val="jac"/>
    <w:rsid w:val="003C3240"/>
    <w:rPr>
      <w:rFonts w:ascii="Century" w:eastAsia="Century" w:hAnsi="Century" w:cs="Century"/>
    </w:rPr>
  </w:style>
  <w:style w:type="paragraph" w:customStyle="1" w:styleId="jad">
    <w:name w:val="目次前文（ja）"/>
    <w:basedOn w:val="jac"/>
    <w:rsid w:val="003C3240"/>
  </w:style>
  <w:style w:type="paragraph" w:customStyle="1" w:styleId="end">
    <w:name w:val="目次前文（en）"/>
    <w:basedOn w:val="enc"/>
    <w:rsid w:val="003C3240"/>
  </w:style>
  <w:style w:type="paragraph" w:customStyle="1" w:styleId="jae">
    <w:name w:val="制定文（ja）"/>
    <w:basedOn w:val="a"/>
    <w:rsid w:val="003C3240"/>
    <w:pPr>
      <w:widowControl w:val="0"/>
      <w:ind w:firstLine="219"/>
    </w:pPr>
    <w:rPr>
      <w:rFonts w:ascii="ＭＳ 明朝" w:eastAsia="ＭＳ 明朝" w:hAnsi="ＭＳ 明朝" w:cs="ＭＳ 明朝"/>
    </w:rPr>
  </w:style>
  <w:style w:type="paragraph" w:customStyle="1" w:styleId="ene">
    <w:name w:val="制定文（en）"/>
    <w:basedOn w:val="jae"/>
    <w:rsid w:val="003C3240"/>
    <w:rPr>
      <w:rFonts w:ascii="Century" w:eastAsia="Century" w:hAnsi="Century" w:cs="Century"/>
    </w:rPr>
  </w:style>
  <w:style w:type="paragraph" w:customStyle="1" w:styleId="jaf">
    <w:name w:val="法令番号（ja）"/>
    <w:basedOn w:val="a"/>
    <w:rsid w:val="003C3240"/>
    <w:pPr>
      <w:widowControl w:val="0"/>
      <w:jc w:val="right"/>
    </w:pPr>
    <w:rPr>
      <w:rFonts w:ascii="ＭＳ 明朝" w:eastAsia="ＭＳ 明朝" w:hAnsi="ＭＳ 明朝" w:cs="Kochi Mincho"/>
    </w:rPr>
  </w:style>
  <w:style w:type="paragraph" w:customStyle="1" w:styleId="enf">
    <w:name w:val="法令番号（en）"/>
    <w:basedOn w:val="jaf"/>
    <w:rsid w:val="003C3240"/>
    <w:rPr>
      <w:rFonts w:ascii="Century" w:eastAsia="Century" w:hAnsi="Century" w:cs="Century"/>
    </w:rPr>
  </w:style>
  <w:style w:type="paragraph" w:customStyle="1" w:styleId="jaf0">
    <w:name w:val="目次（ja）"/>
    <w:basedOn w:val="a"/>
    <w:rsid w:val="003C3240"/>
    <w:rPr>
      <w:rFonts w:ascii="ＭＳ 明朝" w:eastAsia="ＭＳ 明朝" w:hAnsi="ＭＳ 明朝"/>
    </w:rPr>
  </w:style>
  <w:style w:type="paragraph" w:customStyle="1" w:styleId="enf0">
    <w:name w:val="目次（en）"/>
    <w:basedOn w:val="jaf0"/>
    <w:rsid w:val="003C3240"/>
    <w:rPr>
      <w:rFonts w:ascii="Century" w:eastAsia="Century" w:hAnsi="Century"/>
    </w:rPr>
  </w:style>
  <w:style w:type="paragraph" w:customStyle="1" w:styleId="jaf1">
    <w:name w:val="編（ja）"/>
    <w:basedOn w:val="a"/>
    <w:rsid w:val="003C3240"/>
    <w:pPr>
      <w:widowControl w:val="0"/>
      <w:ind w:left="661" w:hanging="221"/>
    </w:pPr>
    <w:rPr>
      <w:rFonts w:ascii="ＭＳ 明朝" w:eastAsia="ＭＳ 明朝" w:hAnsi="ＭＳ 明朝" w:cs="ＭＳ 明朝"/>
      <w:b/>
    </w:rPr>
  </w:style>
  <w:style w:type="paragraph" w:customStyle="1" w:styleId="enf1">
    <w:name w:val="編（en）"/>
    <w:basedOn w:val="jaf1"/>
    <w:rsid w:val="003C3240"/>
    <w:rPr>
      <w:rFonts w:ascii="Century" w:eastAsia="Century" w:hAnsi="Century" w:cs="Century"/>
    </w:rPr>
  </w:style>
  <w:style w:type="paragraph" w:customStyle="1" w:styleId="jaf2">
    <w:name w:val="節（ja）"/>
    <w:basedOn w:val="a"/>
    <w:rsid w:val="003C3240"/>
    <w:pPr>
      <w:widowControl w:val="0"/>
      <w:ind w:left="1101" w:hanging="221"/>
    </w:pPr>
    <w:rPr>
      <w:rFonts w:ascii="ＭＳ 明朝" w:eastAsia="ＭＳ 明朝" w:hAnsi="ＭＳ 明朝" w:cs="ＭＳ 明朝"/>
      <w:b/>
    </w:rPr>
  </w:style>
  <w:style w:type="paragraph" w:customStyle="1" w:styleId="enf2">
    <w:name w:val="節（en）"/>
    <w:basedOn w:val="jaf2"/>
    <w:rsid w:val="003C3240"/>
    <w:rPr>
      <w:rFonts w:ascii="Century" w:eastAsia="Century" w:hAnsi="Century" w:cs="Century"/>
    </w:rPr>
  </w:style>
  <w:style w:type="paragraph" w:customStyle="1" w:styleId="jaf3">
    <w:name w:val="条（ja）"/>
    <w:basedOn w:val="a"/>
    <w:rsid w:val="003C3240"/>
    <w:pPr>
      <w:widowControl w:val="0"/>
      <w:ind w:left="219" w:hanging="219"/>
    </w:pPr>
    <w:rPr>
      <w:rFonts w:ascii="ＭＳ 明朝" w:eastAsia="ＭＳ 明朝" w:hAnsi="ＭＳ 明朝" w:cs="ＭＳ 明朝"/>
    </w:rPr>
  </w:style>
  <w:style w:type="paragraph" w:customStyle="1" w:styleId="enf3">
    <w:name w:val="条（en）"/>
    <w:basedOn w:val="jaf3"/>
    <w:rsid w:val="003C3240"/>
    <w:rPr>
      <w:rFonts w:ascii="Century" w:eastAsia="Century" w:hAnsi="Century" w:cs="Century"/>
    </w:rPr>
  </w:style>
  <w:style w:type="paragraph" w:customStyle="1" w:styleId="jaf4">
    <w:name w:val="項（ja）"/>
    <w:basedOn w:val="a"/>
    <w:rsid w:val="003C3240"/>
    <w:pPr>
      <w:widowControl w:val="0"/>
      <w:ind w:left="219" w:hanging="219"/>
    </w:pPr>
    <w:rPr>
      <w:rFonts w:ascii="ＭＳ 明朝" w:eastAsia="ＭＳ 明朝" w:hAnsi="ＭＳ 明朝" w:cs="ＭＳ 明朝"/>
    </w:rPr>
  </w:style>
  <w:style w:type="paragraph" w:customStyle="1" w:styleId="enf4">
    <w:name w:val="項（en）"/>
    <w:basedOn w:val="jaf4"/>
    <w:rsid w:val="003C3240"/>
    <w:rPr>
      <w:rFonts w:ascii="Century" w:eastAsia="Century" w:hAnsi="Century" w:cs="Century"/>
    </w:rPr>
  </w:style>
  <w:style w:type="paragraph" w:customStyle="1" w:styleId="jaf5">
    <w:name w:val="項　番号なし（ja）"/>
    <w:basedOn w:val="a"/>
    <w:rsid w:val="003C3240"/>
    <w:pPr>
      <w:widowControl w:val="0"/>
      <w:ind w:firstLine="221"/>
    </w:pPr>
    <w:rPr>
      <w:rFonts w:ascii="ＭＳ 明朝" w:eastAsia="ＭＳ 明朝" w:hAnsi="ＭＳ 明朝" w:cs="ＭＳ 明朝"/>
    </w:rPr>
  </w:style>
  <w:style w:type="paragraph" w:customStyle="1" w:styleId="enf5">
    <w:name w:val="項　番号なし（en）"/>
    <w:basedOn w:val="jaf5"/>
    <w:rsid w:val="003C3240"/>
    <w:rPr>
      <w:rFonts w:ascii="Century" w:eastAsia="Century" w:hAnsi="Century" w:cs="Century"/>
    </w:rPr>
  </w:style>
  <w:style w:type="paragraph" w:customStyle="1" w:styleId="jaf6">
    <w:name w:val="号（ja）"/>
    <w:basedOn w:val="a"/>
    <w:rsid w:val="003C3240"/>
    <w:pPr>
      <w:widowControl w:val="0"/>
      <w:ind w:left="439" w:hanging="219"/>
    </w:pPr>
    <w:rPr>
      <w:rFonts w:ascii="ＭＳ 明朝" w:eastAsia="ＭＳ 明朝" w:hAnsi="ＭＳ 明朝" w:cs="ＭＳ 明朝"/>
    </w:rPr>
  </w:style>
  <w:style w:type="paragraph" w:customStyle="1" w:styleId="enf6">
    <w:name w:val="号（en）"/>
    <w:basedOn w:val="jaf6"/>
    <w:rsid w:val="003C3240"/>
    <w:rPr>
      <w:rFonts w:ascii="Century" w:eastAsia="Century" w:hAnsi="Century" w:cs="Century"/>
    </w:rPr>
  </w:style>
  <w:style w:type="paragraph" w:customStyle="1" w:styleId="jaf7">
    <w:name w:val="号　番号なし（ja）"/>
    <w:basedOn w:val="a"/>
    <w:rsid w:val="003C3240"/>
    <w:pPr>
      <w:widowControl w:val="0"/>
      <w:ind w:left="221" w:firstLine="221"/>
    </w:pPr>
    <w:rPr>
      <w:rFonts w:ascii="ＭＳ 明朝" w:eastAsia="ＭＳ 明朝" w:hAnsi="ＭＳ 明朝" w:cs="ＭＳ 明朝"/>
    </w:rPr>
  </w:style>
  <w:style w:type="paragraph" w:customStyle="1" w:styleId="enf7">
    <w:name w:val="号　番号なし（en）"/>
    <w:basedOn w:val="jaf7"/>
    <w:rsid w:val="003C3240"/>
    <w:rPr>
      <w:rFonts w:ascii="Century" w:eastAsia="Century" w:hAnsi="Century" w:cs="Century"/>
    </w:rPr>
  </w:style>
  <w:style w:type="paragraph" w:customStyle="1" w:styleId="jaf8">
    <w:name w:val="備考号（ja）"/>
    <w:basedOn w:val="a"/>
    <w:rsid w:val="003C3240"/>
    <w:pPr>
      <w:widowControl w:val="0"/>
      <w:ind w:left="659" w:hanging="219"/>
    </w:pPr>
    <w:rPr>
      <w:rFonts w:ascii="ＭＳ 明朝" w:eastAsia="ＭＳ 明朝" w:hAnsi="ＭＳ 明朝" w:cs="ＭＳ 明朝"/>
    </w:rPr>
  </w:style>
  <w:style w:type="paragraph" w:customStyle="1" w:styleId="enf8">
    <w:name w:val="備考号（en）"/>
    <w:basedOn w:val="jaf8"/>
    <w:rsid w:val="003C3240"/>
    <w:rPr>
      <w:rFonts w:ascii="Century" w:eastAsia="Century" w:hAnsi="Century" w:cs="Century"/>
    </w:rPr>
  </w:style>
  <w:style w:type="paragraph" w:customStyle="1" w:styleId="jaf9">
    <w:name w:val="号細分（ja）"/>
    <w:basedOn w:val="a"/>
    <w:rsid w:val="003C3240"/>
    <w:pPr>
      <w:widowControl w:val="0"/>
      <w:ind w:left="659" w:hanging="219"/>
    </w:pPr>
    <w:rPr>
      <w:rFonts w:ascii="ＭＳ 明朝" w:eastAsia="ＭＳ 明朝" w:hAnsi="ＭＳ 明朝" w:cs="ＭＳ 明朝"/>
    </w:rPr>
  </w:style>
  <w:style w:type="paragraph" w:customStyle="1" w:styleId="enf9">
    <w:name w:val="号細分（en）"/>
    <w:basedOn w:val="jaf9"/>
    <w:rsid w:val="003C3240"/>
    <w:rPr>
      <w:rFonts w:ascii="Century" w:eastAsia="Century" w:hAnsi="Century" w:cs="Century"/>
    </w:rPr>
  </w:style>
  <w:style w:type="paragraph" w:customStyle="1" w:styleId="jafa">
    <w:name w:val="号細分　番号なし（ja）"/>
    <w:basedOn w:val="a"/>
    <w:rsid w:val="003C3240"/>
    <w:pPr>
      <w:widowControl w:val="0"/>
      <w:ind w:left="439"/>
    </w:pPr>
    <w:rPr>
      <w:rFonts w:ascii="ＭＳ 明朝" w:eastAsia="ＭＳ 明朝" w:hAnsi="ＭＳ 明朝" w:cs="ＭＳ 明朝"/>
    </w:rPr>
  </w:style>
  <w:style w:type="paragraph" w:customStyle="1" w:styleId="enfa">
    <w:name w:val="号細分　番号なし（en）"/>
    <w:basedOn w:val="jafa"/>
    <w:rsid w:val="003C3240"/>
    <w:rPr>
      <w:rFonts w:ascii="Century" w:eastAsia="Century" w:hAnsi="Century" w:cs="Century"/>
    </w:rPr>
  </w:style>
  <w:style w:type="paragraph" w:customStyle="1" w:styleId="jafb">
    <w:name w:val="備考号細分（ja）"/>
    <w:basedOn w:val="a"/>
    <w:rsid w:val="003C3240"/>
    <w:pPr>
      <w:widowControl w:val="0"/>
      <w:ind w:left="1099" w:hanging="439"/>
    </w:pPr>
    <w:rPr>
      <w:rFonts w:ascii="ＭＳ 明朝" w:eastAsia="ＭＳ 明朝" w:hAnsi="ＭＳ 明朝" w:cs="ＭＳ 明朝"/>
    </w:rPr>
  </w:style>
  <w:style w:type="paragraph" w:customStyle="1" w:styleId="enfb">
    <w:name w:val="備考号細分（en）"/>
    <w:basedOn w:val="jafb"/>
    <w:rsid w:val="003C3240"/>
    <w:rPr>
      <w:rFonts w:ascii="Century" w:eastAsia="Century" w:hAnsi="Century" w:cs="Century"/>
    </w:rPr>
  </w:style>
  <w:style w:type="paragraph" w:customStyle="1" w:styleId="jafc">
    <w:name w:val="号細細分（ja）"/>
    <w:basedOn w:val="a"/>
    <w:rsid w:val="003C3240"/>
    <w:pPr>
      <w:widowControl w:val="0"/>
      <w:ind w:left="1099" w:hanging="439"/>
    </w:pPr>
    <w:rPr>
      <w:rFonts w:ascii="ＭＳ 明朝" w:eastAsia="ＭＳ 明朝" w:hAnsi="ＭＳ 明朝" w:cs="ＭＳ 明朝"/>
    </w:rPr>
  </w:style>
  <w:style w:type="paragraph" w:customStyle="1" w:styleId="enfc">
    <w:name w:val="号細細分（en）"/>
    <w:basedOn w:val="jafc"/>
    <w:rsid w:val="003C3240"/>
    <w:rPr>
      <w:rFonts w:ascii="Century" w:eastAsia="Century" w:hAnsi="Century" w:cs="Century"/>
    </w:rPr>
  </w:style>
  <w:style w:type="paragraph" w:customStyle="1" w:styleId="jafd">
    <w:name w:val="号細細分　番号なし（ja）"/>
    <w:basedOn w:val="a"/>
    <w:rsid w:val="003C3240"/>
    <w:pPr>
      <w:widowControl w:val="0"/>
      <w:ind w:left="659"/>
    </w:pPr>
    <w:rPr>
      <w:rFonts w:ascii="ＭＳ 明朝" w:eastAsia="ＭＳ 明朝" w:hAnsi="ＭＳ 明朝" w:cs="ＭＳ 明朝"/>
    </w:rPr>
  </w:style>
  <w:style w:type="paragraph" w:customStyle="1" w:styleId="enfd">
    <w:name w:val="号細細分　番号なし（en）"/>
    <w:basedOn w:val="jafd"/>
    <w:rsid w:val="003C3240"/>
    <w:rPr>
      <w:rFonts w:ascii="Century" w:eastAsia="Century" w:hAnsi="Century" w:cs="Century"/>
    </w:rPr>
  </w:style>
  <w:style w:type="paragraph" w:customStyle="1" w:styleId="jafe">
    <w:name w:val="備考号細細分（ja）"/>
    <w:basedOn w:val="a"/>
    <w:rsid w:val="003C3240"/>
    <w:pPr>
      <w:widowControl w:val="0"/>
      <w:ind w:left="1319" w:hanging="439"/>
    </w:pPr>
    <w:rPr>
      <w:rFonts w:ascii="ＭＳ 明朝" w:eastAsia="ＭＳ 明朝" w:hAnsi="ＭＳ 明朝" w:cs="ＭＳ 明朝"/>
    </w:rPr>
  </w:style>
  <w:style w:type="paragraph" w:customStyle="1" w:styleId="enfe">
    <w:name w:val="備考号細細分（en）"/>
    <w:basedOn w:val="jafe"/>
    <w:rsid w:val="003C3240"/>
    <w:rPr>
      <w:rFonts w:ascii="Century" w:eastAsia="Century" w:hAnsi="Century" w:cs="Century"/>
    </w:rPr>
  </w:style>
  <w:style w:type="paragraph" w:customStyle="1" w:styleId="jaff">
    <w:name w:val="号細細細分（ja）"/>
    <w:basedOn w:val="a"/>
    <w:rsid w:val="003C3240"/>
    <w:pPr>
      <w:widowControl w:val="0"/>
      <w:ind w:left="1319" w:hanging="439"/>
    </w:pPr>
    <w:rPr>
      <w:rFonts w:ascii="ＭＳ 明朝" w:eastAsia="ＭＳ 明朝" w:hAnsi="ＭＳ 明朝" w:cs="ＭＳ 明朝"/>
    </w:rPr>
  </w:style>
  <w:style w:type="paragraph" w:customStyle="1" w:styleId="enff">
    <w:name w:val="号細細細分（en）"/>
    <w:basedOn w:val="jaff"/>
    <w:rsid w:val="003C3240"/>
    <w:rPr>
      <w:rFonts w:ascii="Century" w:eastAsia="Century" w:hAnsi="Century" w:cs="Century"/>
    </w:rPr>
  </w:style>
  <w:style w:type="paragraph" w:customStyle="1" w:styleId="jaff0">
    <w:name w:val="号細細細分　番号なし（ja）"/>
    <w:basedOn w:val="a"/>
    <w:rsid w:val="003C3240"/>
    <w:pPr>
      <w:widowControl w:val="0"/>
      <w:ind w:left="879"/>
    </w:pPr>
    <w:rPr>
      <w:rFonts w:ascii="ＭＳ 明朝" w:eastAsia="ＭＳ 明朝" w:hAnsi="ＭＳ 明朝" w:cs="ＭＳ 明朝"/>
    </w:rPr>
  </w:style>
  <w:style w:type="paragraph" w:customStyle="1" w:styleId="enff0">
    <w:name w:val="号細細細分　番号なし（en）"/>
    <w:basedOn w:val="jaff0"/>
    <w:rsid w:val="003C3240"/>
    <w:rPr>
      <w:rFonts w:ascii="Century" w:eastAsia="Century" w:hAnsi="Century" w:cs="Century"/>
    </w:rPr>
  </w:style>
  <w:style w:type="paragraph" w:customStyle="1" w:styleId="jaff1">
    <w:name w:val="備考号細細細分（ja）"/>
    <w:basedOn w:val="a"/>
    <w:rsid w:val="003C32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3240"/>
    <w:rPr>
      <w:rFonts w:ascii="Century" w:eastAsia="Century" w:hAnsi="Century" w:cs="Century"/>
    </w:rPr>
  </w:style>
  <w:style w:type="paragraph" w:customStyle="1" w:styleId="jaff2">
    <w:name w:val="類（ja）"/>
    <w:basedOn w:val="a"/>
    <w:rsid w:val="003C3240"/>
    <w:pPr>
      <w:widowControl w:val="0"/>
      <w:ind w:left="439" w:hanging="219"/>
    </w:pPr>
    <w:rPr>
      <w:rFonts w:ascii="ＭＳ 明朝" w:eastAsia="ＭＳ 明朝" w:hAnsi="ＭＳ 明朝" w:cs="ＭＳ 明朝"/>
    </w:rPr>
  </w:style>
  <w:style w:type="paragraph" w:customStyle="1" w:styleId="enff2">
    <w:name w:val="類（en）"/>
    <w:basedOn w:val="jaff2"/>
    <w:rsid w:val="003C3240"/>
    <w:rPr>
      <w:rFonts w:ascii="Century" w:eastAsia="Century" w:hAnsi="Century" w:cs="Century"/>
    </w:rPr>
  </w:style>
  <w:style w:type="paragraph" w:customStyle="1" w:styleId="jaff3">
    <w:name w:val="公布文（ja）"/>
    <w:basedOn w:val="a"/>
    <w:rsid w:val="003C3240"/>
    <w:pPr>
      <w:widowControl w:val="0"/>
      <w:ind w:firstLine="219"/>
    </w:pPr>
    <w:rPr>
      <w:rFonts w:ascii="ＭＳ 明朝" w:eastAsia="ＭＳ 明朝" w:hAnsi="ＭＳ 明朝" w:cs="ＭＳ 明朝"/>
    </w:rPr>
  </w:style>
  <w:style w:type="paragraph" w:customStyle="1" w:styleId="enff3">
    <w:name w:val="公布文（en）"/>
    <w:basedOn w:val="jaff3"/>
    <w:rsid w:val="003C3240"/>
    <w:rPr>
      <w:rFonts w:ascii="Century" w:eastAsia="Century" w:hAnsi="Century" w:cs="Century"/>
    </w:rPr>
  </w:style>
  <w:style w:type="paragraph" w:customStyle="1" w:styleId="jaen">
    <w:name w:val="表（ja：en）"/>
    <w:basedOn w:val="a"/>
    <w:rsid w:val="003C3240"/>
    <w:pPr>
      <w:widowControl w:val="0"/>
      <w:snapToGrid w:val="0"/>
    </w:pPr>
    <w:rPr>
      <w:rFonts w:ascii="Century" w:eastAsia="ＭＳ 明朝" w:hAnsi="Century"/>
    </w:rPr>
  </w:style>
  <w:style w:type="paragraph" w:customStyle="1" w:styleId="jaff4">
    <w:name w:val="備考（ja）"/>
    <w:basedOn w:val="a"/>
    <w:rsid w:val="003C3240"/>
    <w:pPr>
      <w:widowControl w:val="0"/>
      <w:ind w:left="439" w:hanging="219"/>
    </w:pPr>
    <w:rPr>
      <w:rFonts w:ascii="ＭＳ 明朝" w:eastAsia="ＭＳ 明朝" w:hAnsi="ＭＳ 明朝" w:cs="ＭＳ 明朝"/>
    </w:rPr>
  </w:style>
  <w:style w:type="paragraph" w:customStyle="1" w:styleId="enff4">
    <w:name w:val="備考（en）"/>
    <w:basedOn w:val="jaff4"/>
    <w:rsid w:val="003C3240"/>
    <w:rPr>
      <w:rFonts w:ascii="Century" w:eastAsia="Century" w:hAnsi="Century" w:cs="Century"/>
    </w:rPr>
  </w:style>
  <w:style w:type="paragraph" w:customStyle="1" w:styleId="jaff5">
    <w:name w:val="表タイトル（ja）"/>
    <w:basedOn w:val="a"/>
    <w:rsid w:val="003C3240"/>
    <w:pPr>
      <w:widowControl w:val="0"/>
      <w:ind w:left="219"/>
    </w:pPr>
    <w:rPr>
      <w:rFonts w:ascii="ＭＳ 明朝" w:eastAsia="ＭＳ 明朝" w:hAnsi="ＭＳ 明朝" w:cs="ＭＳ 明朝"/>
    </w:rPr>
  </w:style>
  <w:style w:type="paragraph" w:customStyle="1" w:styleId="enff5">
    <w:name w:val="表タイトル（en）"/>
    <w:basedOn w:val="jaff5"/>
    <w:rsid w:val="003C3240"/>
    <w:rPr>
      <w:rFonts w:ascii="Century" w:eastAsia="Century" w:hAnsi="Century" w:cs="Century"/>
    </w:rPr>
  </w:style>
  <w:style w:type="paragraph" w:customStyle="1" w:styleId="jaff6">
    <w:name w:val="改正規定文（ja）"/>
    <w:basedOn w:val="a"/>
    <w:rsid w:val="003C3240"/>
    <w:pPr>
      <w:widowControl w:val="0"/>
      <w:ind w:left="219" w:firstLine="219"/>
    </w:pPr>
    <w:rPr>
      <w:rFonts w:ascii="ＭＳ 明朝" w:eastAsia="ＭＳ 明朝" w:hAnsi="ＭＳ 明朝" w:cs="ＭＳ 明朝"/>
    </w:rPr>
  </w:style>
  <w:style w:type="paragraph" w:customStyle="1" w:styleId="enff6">
    <w:name w:val="改正規定文（en）"/>
    <w:basedOn w:val="jaff6"/>
    <w:rsid w:val="003C3240"/>
    <w:rPr>
      <w:rFonts w:ascii="Century" w:eastAsia="Century" w:hAnsi="Century" w:cs="Century"/>
    </w:rPr>
  </w:style>
  <w:style w:type="paragraph" w:customStyle="1" w:styleId="jaff7">
    <w:name w:val="付記（ja）"/>
    <w:basedOn w:val="a"/>
    <w:rsid w:val="003C3240"/>
    <w:pPr>
      <w:widowControl w:val="0"/>
      <w:ind w:left="219" w:firstLine="219"/>
    </w:pPr>
    <w:rPr>
      <w:rFonts w:ascii="ＭＳ 明朝" w:eastAsia="ＭＳ 明朝" w:hAnsi="ＭＳ 明朝" w:cs="ＭＳ 明朝"/>
    </w:rPr>
  </w:style>
  <w:style w:type="paragraph" w:customStyle="1" w:styleId="enff7">
    <w:name w:val="付記（en）"/>
    <w:basedOn w:val="jaff7"/>
    <w:rsid w:val="003C3240"/>
    <w:rPr>
      <w:rFonts w:ascii="Century" w:eastAsia="Century" w:hAnsi="Century" w:cs="Century"/>
    </w:rPr>
  </w:style>
  <w:style w:type="paragraph" w:customStyle="1" w:styleId="jaff8">
    <w:name w:val="様式名（ja）"/>
    <w:basedOn w:val="a"/>
    <w:rsid w:val="003C3240"/>
    <w:pPr>
      <w:widowControl w:val="0"/>
      <w:ind w:left="439" w:hanging="219"/>
    </w:pPr>
    <w:rPr>
      <w:rFonts w:ascii="ＭＳ 明朝" w:eastAsia="ＭＳ 明朝" w:hAnsi="ＭＳ 明朝" w:cs="ＭＳ 明朝"/>
    </w:rPr>
  </w:style>
  <w:style w:type="paragraph" w:customStyle="1" w:styleId="enff8">
    <w:name w:val="様式名（en）"/>
    <w:basedOn w:val="jaff8"/>
    <w:rsid w:val="003C3240"/>
    <w:rPr>
      <w:rFonts w:ascii="Century" w:eastAsia="Century" w:hAnsi="Century" w:cs="Century"/>
    </w:rPr>
  </w:style>
  <w:style w:type="paragraph" w:customStyle="1" w:styleId="jaff9">
    <w:name w:val="様式項目（ja）"/>
    <w:basedOn w:val="a"/>
    <w:rsid w:val="003C3240"/>
    <w:pPr>
      <w:widowControl w:val="0"/>
      <w:ind w:left="221" w:firstLine="221"/>
    </w:pPr>
    <w:rPr>
      <w:rFonts w:ascii="ＭＳ 明朝" w:eastAsia="ＭＳ 明朝" w:hAnsi="ＭＳ 明朝" w:cs="ＭＳ 明朝"/>
    </w:rPr>
  </w:style>
  <w:style w:type="paragraph" w:customStyle="1" w:styleId="enff9">
    <w:name w:val="様式項目（en）"/>
    <w:basedOn w:val="jaff9"/>
    <w:rsid w:val="003C3240"/>
    <w:rPr>
      <w:rFonts w:ascii="Century" w:eastAsia="Century" w:hAnsi="Century" w:cs="Century"/>
    </w:rPr>
  </w:style>
  <w:style w:type="table" w:customStyle="1" w:styleId="1">
    <w:name w:val="表1"/>
    <w:rsid w:val="003C3240"/>
    <w:tblPr>
      <w:tblInd w:w="340" w:type="dxa"/>
      <w:tblCellMar>
        <w:top w:w="0" w:type="dxa"/>
        <w:left w:w="0" w:type="dxa"/>
        <w:bottom w:w="0" w:type="dxa"/>
        <w:right w:w="0" w:type="dxa"/>
      </w:tblCellMar>
    </w:tblPr>
  </w:style>
  <w:style w:type="numbering" w:customStyle="1" w:styleId="WW8Num1">
    <w:name w:val="WW8Num1"/>
    <w:rsid w:val="003C3240"/>
    <w:pPr>
      <w:numPr>
        <w:numId w:val="2"/>
      </w:numPr>
    </w:pPr>
  </w:style>
  <w:style w:type="numbering" w:customStyle="1" w:styleId="WW8Num2">
    <w:name w:val="WW8Num2"/>
    <w:rsid w:val="003C3240"/>
    <w:pPr>
      <w:numPr>
        <w:numId w:val="3"/>
      </w:numPr>
    </w:pPr>
  </w:style>
  <w:style w:type="numbering" w:customStyle="1" w:styleId="WW8Num3">
    <w:name w:val="WW8Num3"/>
    <w:rsid w:val="003C3240"/>
    <w:pPr>
      <w:numPr>
        <w:numId w:val="4"/>
      </w:numPr>
    </w:pPr>
  </w:style>
  <w:style w:type="numbering" w:customStyle="1" w:styleId="WW8Num4">
    <w:name w:val="WW8Num4"/>
    <w:rsid w:val="003C3240"/>
    <w:pPr>
      <w:numPr>
        <w:numId w:val="5"/>
      </w:numPr>
    </w:pPr>
  </w:style>
  <w:style w:type="numbering" w:customStyle="1" w:styleId="WW8Num5">
    <w:name w:val="WW8Num5"/>
    <w:rsid w:val="003C3240"/>
    <w:pPr>
      <w:numPr>
        <w:numId w:val="6"/>
      </w:numPr>
    </w:pPr>
  </w:style>
  <w:style w:type="numbering" w:customStyle="1" w:styleId="WW8Num6">
    <w:name w:val="WW8Num6"/>
    <w:rsid w:val="003C3240"/>
    <w:pPr>
      <w:numPr>
        <w:numId w:val="7"/>
      </w:numPr>
    </w:pPr>
  </w:style>
  <w:style w:type="numbering" w:customStyle="1" w:styleId="WW8Num7">
    <w:name w:val="WW8Num7"/>
    <w:rsid w:val="003C3240"/>
    <w:pPr>
      <w:numPr>
        <w:numId w:val="8"/>
      </w:numPr>
    </w:pPr>
  </w:style>
  <w:style w:type="numbering" w:customStyle="1" w:styleId="WW8Num8">
    <w:name w:val="WW8Num8"/>
    <w:rsid w:val="003C3240"/>
    <w:pPr>
      <w:numPr>
        <w:numId w:val="9"/>
      </w:numPr>
    </w:pPr>
  </w:style>
  <w:style w:type="numbering" w:customStyle="1" w:styleId="WW8Num9">
    <w:name w:val="WW8Num9"/>
    <w:rsid w:val="003C3240"/>
    <w:pPr>
      <w:numPr>
        <w:numId w:val="10"/>
      </w:numPr>
    </w:pPr>
  </w:style>
  <w:style w:type="numbering" w:customStyle="1" w:styleId="WW8Num10">
    <w:name w:val="WW8Num10"/>
    <w:rsid w:val="003C3240"/>
    <w:pPr>
      <w:numPr>
        <w:numId w:val="11"/>
      </w:numPr>
    </w:pPr>
  </w:style>
  <w:style w:type="numbering" w:customStyle="1" w:styleId="WW8Num11">
    <w:name w:val="WW8Num11"/>
    <w:rsid w:val="003C3240"/>
    <w:pPr>
      <w:numPr>
        <w:numId w:val="12"/>
      </w:numPr>
    </w:pPr>
  </w:style>
  <w:style w:type="numbering" w:customStyle="1" w:styleId="WW8Num12">
    <w:name w:val="WW8Num12"/>
    <w:rsid w:val="003C3240"/>
    <w:pPr>
      <w:numPr>
        <w:numId w:val="13"/>
      </w:numPr>
    </w:pPr>
  </w:style>
  <w:style w:type="paragraph" w:styleId="a4">
    <w:name w:val="header"/>
    <w:basedOn w:val="a"/>
    <w:link w:val="a5"/>
    <w:uiPriority w:val="99"/>
    <w:unhideWhenUsed/>
    <w:rsid w:val="004D324E"/>
    <w:pPr>
      <w:tabs>
        <w:tab w:val="center" w:pos="4252"/>
        <w:tab w:val="right" w:pos="8504"/>
      </w:tabs>
      <w:snapToGrid w:val="0"/>
    </w:pPr>
  </w:style>
  <w:style w:type="character" w:customStyle="1" w:styleId="a5">
    <w:name w:val="ヘッダー (文字)"/>
    <w:basedOn w:val="a0"/>
    <w:link w:val="a4"/>
    <w:uiPriority w:val="99"/>
    <w:rsid w:val="004D32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5171</Words>
  <Characters>29478</Characters>
  <Application>Microsoft Office Word</Application>
  <DocSecurity>0</DocSecurity>
  <Lines>245</Lines>
  <Paragraphs>69</Paragraphs>
  <ScaleCrop>false</ScaleCrop>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