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0BB" w:rsidRDefault="007821AF">
      <w:pPr>
        <w:pStyle w:val="en"/>
      </w:pPr>
      <w:r>
        <w:t>Enforcement Order of the Act on the Measures by Large-Scale Retail Stores for Preservation of Living Environment</w:t>
      </w:r>
    </w:p>
    <w:p w:rsidR="00B740BB" w:rsidRDefault="00B740BB"/>
    <w:p w:rsidR="00B740BB" w:rsidRDefault="007821AF">
      <w:pPr>
        <w:pStyle w:val="enf"/>
      </w:pPr>
      <w:r>
        <w:t>(Cabinet Order No. 327 of October 16, 1998)</w:t>
      </w:r>
    </w:p>
    <w:p w:rsidR="00B740BB" w:rsidRDefault="00B740BB"/>
    <w:p w:rsidR="00B740BB" w:rsidRDefault="007821AF">
      <w:pPr>
        <w:pStyle w:val="ena"/>
      </w:pPr>
      <w:r>
        <w:t>(Single Buildings)</w:t>
      </w:r>
    </w:p>
    <w:p w:rsidR="00B740BB" w:rsidRDefault="007821AF">
      <w:pPr>
        <w:pStyle w:val="enf3"/>
      </w:pPr>
      <w:r>
        <w:t xml:space="preserve">Article 1  The single building specified by Cabinet Order, referred to in </w:t>
      </w:r>
      <w:r>
        <w:t>Article 2, paragraph (2) of the Act on the Measures by Large-Scale Retail Stores for Preservation of Living Environment (hereafter referred to as "the Act"), is to be the following:</w:t>
      </w:r>
    </w:p>
    <w:p w:rsidR="00B740BB" w:rsidRDefault="007821AF">
      <w:pPr>
        <w:pStyle w:val="enf6"/>
      </w:pPr>
      <w:r>
        <w:t>(i) a building with a common roof, pillar or wall (when the relevant build</w:t>
      </w:r>
      <w:r>
        <w:t>ing is separated into two or more parts by a road in public use or by other facilities, then each such separated part).</w:t>
      </w:r>
    </w:p>
    <w:p w:rsidR="00B740BB" w:rsidRDefault="007821AF">
      <w:pPr>
        <w:pStyle w:val="enf6"/>
      </w:pPr>
      <w:r>
        <w:t>(ii) two or more buildings connected by a road that have integrated functions.</w:t>
      </w:r>
    </w:p>
    <w:p w:rsidR="00B740BB" w:rsidRDefault="007821AF">
      <w:pPr>
        <w:pStyle w:val="enf6"/>
      </w:pPr>
      <w:r>
        <w:t>(iii) a single building (including those listed in the pr</w:t>
      </w:r>
      <w:r>
        <w:t>eceding two items) together with its outbuildings.</w:t>
      </w:r>
    </w:p>
    <w:p w:rsidR="00B740BB" w:rsidRDefault="00B740BB"/>
    <w:p w:rsidR="00B740BB" w:rsidRDefault="007821AF">
      <w:pPr>
        <w:pStyle w:val="ena"/>
      </w:pPr>
      <w:r>
        <w:t>(Reference Area)</w:t>
      </w:r>
    </w:p>
    <w:p w:rsidR="00B740BB" w:rsidRDefault="007821AF">
      <w:pPr>
        <w:pStyle w:val="enf3"/>
      </w:pPr>
      <w:r>
        <w:t>Article 2  The reference area specified by a Cabinet Order, referred to in Article 3, paragraph (1) of the Act, shall be 1,000 square metres.</w:t>
      </w:r>
    </w:p>
    <w:p w:rsidR="00B740BB" w:rsidRDefault="00B740BB"/>
    <w:p w:rsidR="00B740BB" w:rsidRDefault="007821AF">
      <w:pPr>
        <w:pStyle w:val="ena"/>
      </w:pPr>
      <w:r>
        <w:t>(Method of Notification)</w:t>
      </w:r>
    </w:p>
    <w:p w:rsidR="00B740BB" w:rsidRDefault="007821AF">
      <w:pPr>
        <w:pStyle w:val="enf3"/>
      </w:pPr>
      <w:r>
        <w:t>Article 3  The noti</w:t>
      </w:r>
      <w:r>
        <w:t>fication of the establishment of a new large-scale retail store prescribed in Article 5, paragraph (1) of the Act may be provided by the person carrying out the relevant establishment. In such a case, where there are two or more such persons, all or some o</w:t>
      </w:r>
      <w:r>
        <w:t>f them may do so jointly.</w:t>
      </w:r>
    </w:p>
    <w:p w:rsidR="00B740BB" w:rsidRDefault="00B740BB"/>
    <w:p w:rsidR="00B740BB" w:rsidRDefault="007821AF">
      <w:pPr>
        <w:pStyle w:val="ena"/>
      </w:pPr>
      <w:r>
        <w:t>(Collection of Reports)</w:t>
      </w:r>
    </w:p>
    <w:p w:rsidR="00B740BB" w:rsidRDefault="007821AF">
      <w:pPr>
        <w:pStyle w:val="enf3"/>
      </w:pPr>
      <w:r>
        <w:t xml:space="preserve">Article 4  (1) Pursuant to the provisions of Article 14, paragraph (1) of the Act, the prefectural governor may request that a person establishing a large-scale retail store submit a report concerning the </w:t>
      </w:r>
      <w:r>
        <w:t>matters listed below:</w:t>
      </w:r>
    </w:p>
    <w:p w:rsidR="00B740BB" w:rsidRDefault="007821AF">
      <w:pPr>
        <w:pStyle w:val="enf6"/>
      </w:pPr>
      <w:r>
        <w:t xml:space="preserve">(i) matters concerning measures taken to ensure convenience for the residents and for commercial activities and other business in the surrounding area of the large-scale retail store, by meeting the demand for parking lots or through </w:t>
      </w:r>
      <w:r>
        <w:t>other means.</w:t>
      </w:r>
    </w:p>
    <w:p w:rsidR="00B740BB" w:rsidRDefault="007821AF">
      <w:pPr>
        <w:pStyle w:val="enf6"/>
      </w:pPr>
      <w:r>
        <w:t>(ii) matters concerning measures taken to prevent the deterioration of the living environment in the surrounding area of the large-scale retail store due to noise and other factors.</w:t>
      </w:r>
    </w:p>
    <w:p w:rsidR="00B740BB" w:rsidRDefault="007821AF">
      <w:pPr>
        <w:pStyle w:val="enf4"/>
      </w:pPr>
      <w:r>
        <w:t>(2) Pursuant to the provisions of Article 14, paragraph (2) o</w:t>
      </w:r>
      <w:r>
        <w:t xml:space="preserve">f the Act, the </w:t>
      </w:r>
      <w:r>
        <w:lastRenderedPageBreak/>
        <w:t>prefectural governor may request that a person who conducts a retail business in a large-scale retail store submit a report concerning the matters listed below.</w:t>
      </w:r>
    </w:p>
    <w:p w:rsidR="00B740BB" w:rsidRDefault="007821AF">
      <w:pPr>
        <w:pStyle w:val="enf6"/>
      </w:pPr>
      <w:r>
        <w:t>(i) the date of commencement of the relevant retail business.</w:t>
      </w:r>
    </w:p>
    <w:p w:rsidR="00B740BB" w:rsidRDefault="007821AF">
      <w:pPr>
        <w:pStyle w:val="enf6"/>
      </w:pPr>
      <w:r>
        <w:t>(ii) matters conce</w:t>
      </w:r>
      <w:r>
        <w:t>rning the store floor area and the location of the store used by the person conducting the relevant retail business.</w:t>
      </w:r>
    </w:p>
    <w:p w:rsidR="00B740BB" w:rsidRDefault="007821AF">
      <w:pPr>
        <w:pStyle w:val="enf6"/>
      </w:pPr>
      <w:r>
        <w:t>(iii) matters concerning the operational methods of the store used by the person conducting the relevant retail business.</w:t>
      </w:r>
    </w:p>
    <w:p w:rsidR="00B740BB" w:rsidRDefault="00B740BB"/>
    <w:p w:rsidR="00B740BB" w:rsidRDefault="007821AF">
      <w:pPr>
        <w:pStyle w:val="en2"/>
      </w:pPr>
      <w:r>
        <w:t>Supplementary Pr</w:t>
      </w:r>
      <w:r>
        <w:t>ovisions</w:t>
      </w:r>
    </w:p>
    <w:p w:rsidR="00B740BB" w:rsidRDefault="00B740BB"/>
    <w:p w:rsidR="00B740BB" w:rsidRDefault="007821AF">
      <w:pPr>
        <w:pStyle w:val="enf5"/>
      </w:pPr>
      <w:r>
        <w:t xml:space="preserve">This Cabinet Order comes into effect as of the date on which the Act comes into effect (June 1, 2000); provided, however, that the provisions of Article 1 and Article 2 come into effect as of the date on which the provisions of Articles 2 to 4 </w:t>
      </w:r>
      <w:r>
        <w:t>of the Act comes into effect (May 1, 1999).</w:t>
      </w:r>
    </w:p>
    <w:sectPr w:rsidR="00B740BB" w:rsidSect="00B740BB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0BB" w:rsidRDefault="00B740BB" w:rsidP="00B740BB">
      <w:r>
        <w:separator/>
      </w:r>
    </w:p>
  </w:endnote>
  <w:endnote w:type="continuationSeparator" w:id="0">
    <w:p w:rsidR="00B740BB" w:rsidRDefault="00B740BB" w:rsidP="00B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0BB" w:rsidRDefault="00B740BB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7821A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0BB" w:rsidRDefault="00B740BB" w:rsidP="00B740BB">
      <w:r>
        <w:separator/>
      </w:r>
    </w:p>
  </w:footnote>
  <w:footnote w:type="continuationSeparator" w:id="0">
    <w:p w:rsidR="00B740BB" w:rsidRDefault="00B740BB" w:rsidP="00B7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A8A"/>
    <w:multiLevelType w:val="multilevel"/>
    <w:tmpl w:val="E5A6BB60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" w15:restartNumberingAfterBreak="0">
    <w:nsid w:val="0E1A2E4E"/>
    <w:multiLevelType w:val="multilevel"/>
    <w:tmpl w:val="4DDA25AA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20092C29"/>
    <w:multiLevelType w:val="multilevel"/>
    <w:tmpl w:val="C9205FCA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4114DCF"/>
    <w:multiLevelType w:val="multilevel"/>
    <w:tmpl w:val="7152EDEC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C556472"/>
    <w:multiLevelType w:val="multilevel"/>
    <w:tmpl w:val="78F2653C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5" w15:restartNumberingAfterBreak="0">
    <w:nsid w:val="34BA05D1"/>
    <w:multiLevelType w:val="multilevel"/>
    <w:tmpl w:val="993AB146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C7C1A6C"/>
    <w:multiLevelType w:val="multilevel"/>
    <w:tmpl w:val="AED82390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3E2A2095"/>
    <w:multiLevelType w:val="multilevel"/>
    <w:tmpl w:val="3C389064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D5677B4"/>
    <w:multiLevelType w:val="multilevel"/>
    <w:tmpl w:val="EAD6A1A0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645130C4"/>
    <w:multiLevelType w:val="multilevel"/>
    <w:tmpl w:val="310AAC0C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F0E3652"/>
    <w:multiLevelType w:val="multilevel"/>
    <w:tmpl w:val="273A46D2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77BE7806"/>
    <w:multiLevelType w:val="multilevel"/>
    <w:tmpl w:val="F5320210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2" w15:restartNumberingAfterBreak="0">
    <w:nsid w:val="78923E15"/>
    <w:multiLevelType w:val="multilevel"/>
    <w:tmpl w:val="E0D84D92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40BB"/>
    <w:rsid w:val="007821AF"/>
    <w:rsid w:val="00B7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0BB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B740BB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B740BB"/>
    <w:rPr>
      <w:rFonts w:ascii="Century" w:eastAsia="Century" w:hAnsi="Century"/>
    </w:rPr>
  </w:style>
  <w:style w:type="paragraph" w:customStyle="1" w:styleId="ja0">
    <w:name w:val="款（ja）"/>
    <w:basedOn w:val="a"/>
    <w:rsid w:val="00B740BB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B740BB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B740BB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B740BB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B740BB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B740BB"/>
    <w:rPr>
      <w:rFonts w:ascii="Century" w:hAnsi="Century" w:cs="Century"/>
    </w:rPr>
  </w:style>
  <w:style w:type="paragraph" w:customStyle="1" w:styleId="ja3">
    <w:name w:val="章（ja）"/>
    <w:basedOn w:val="a"/>
    <w:rsid w:val="00B740BB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B740BB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B740BB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B740BB"/>
    <w:rPr>
      <w:rFonts w:ascii="Century" w:eastAsia="Century" w:hAnsi="Century"/>
    </w:rPr>
  </w:style>
  <w:style w:type="paragraph" w:customStyle="1" w:styleId="ja5">
    <w:name w:val="目次章（ja）"/>
    <w:basedOn w:val="a"/>
    <w:rsid w:val="00B740BB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B740BB"/>
    <w:rPr>
      <w:rFonts w:ascii="Century" w:eastAsia="Century" w:hAnsi="Century"/>
    </w:rPr>
  </w:style>
  <w:style w:type="paragraph" w:customStyle="1" w:styleId="ja6">
    <w:name w:val="目次節（ja）"/>
    <w:basedOn w:val="a"/>
    <w:rsid w:val="00B740BB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B740BB"/>
    <w:rPr>
      <w:rFonts w:ascii="Century" w:eastAsia="Century" w:hAnsi="Century"/>
    </w:rPr>
  </w:style>
  <w:style w:type="paragraph" w:customStyle="1" w:styleId="ja7">
    <w:name w:val="目次款（ja）"/>
    <w:basedOn w:val="a"/>
    <w:rsid w:val="00B740BB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B740BB"/>
    <w:rPr>
      <w:rFonts w:ascii="Century" w:eastAsia="Century" w:hAnsi="Century"/>
    </w:rPr>
  </w:style>
  <w:style w:type="paragraph" w:customStyle="1" w:styleId="ja8">
    <w:name w:val="別表名（ja）"/>
    <w:basedOn w:val="a"/>
    <w:rsid w:val="00B740BB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B740BB"/>
    <w:rPr>
      <w:rFonts w:ascii="Century" w:eastAsia="Century" w:hAnsi="Century" w:cs="Century"/>
    </w:rPr>
  </w:style>
  <w:style w:type="paragraph" w:customStyle="1" w:styleId="ja9">
    <w:name w:val="目（ja）"/>
    <w:basedOn w:val="a"/>
    <w:rsid w:val="00B740BB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B740BB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B740BB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B740BB"/>
    <w:rPr>
      <w:rFonts w:ascii="Century" w:eastAsia="Century" w:hAnsi="Century" w:cs="Century"/>
    </w:rPr>
  </w:style>
  <w:style w:type="paragraph" w:styleId="a3">
    <w:name w:val="footer"/>
    <w:basedOn w:val="a"/>
    <w:rsid w:val="00B740BB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B740BB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B740BB"/>
    <w:rPr>
      <w:rFonts w:ascii="Century" w:eastAsia="Century" w:hAnsi="Century"/>
    </w:rPr>
  </w:style>
  <w:style w:type="paragraph" w:customStyle="1" w:styleId="jac">
    <w:name w:val="目次附則（ja）"/>
    <w:basedOn w:val="a"/>
    <w:rsid w:val="00B740BB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B740BB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B740BB"/>
  </w:style>
  <w:style w:type="paragraph" w:customStyle="1" w:styleId="end">
    <w:name w:val="目次前文（en）"/>
    <w:basedOn w:val="enc"/>
    <w:rsid w:val="00B740BB"/>
  </w:style>
  <w:style w:type="paragraph" w:customStyle="1" w:styleId="jae">
    <w:name w:val="制定文（ja）"/>
    <w:basedOn w:val="a"/>
    <w:rsid w:val="00B740BB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B740BB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B740BB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B740BB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B740BB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B740BB"/>
    <w:rPr>
      <w:rFonts w:ascii="Century" w:eastAsia="Century" w:hAnsi="Century"/>
    </w:rPr>
  </w:style>
  <w:style w:type="paragraph" w:customStyle="1" w:styleId="jaf1">
    <w:name w:val="編（ja）"/>
    <w:basedOn w:val="a"/>
    <w:rsid w:val="00B740BB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B740BB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B740BB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B740BB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B740BB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B740BB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B740BB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B740BB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B740BB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B740BB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B740BB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B740BB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B740BB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B740BB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B740BB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B740BB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B740BB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B740BB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B740BB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B740BB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B740BB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B740BB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B740BB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B740BB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B740BB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B740BB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B740BB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B740BB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B740BB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B740BB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B740BB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B740BB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B740BB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B740BB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B740BB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B740BB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B740BB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B740BB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B740BB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B740BB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B740BB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B740BB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B740BB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B740BB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B740BB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B740BB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B740BB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B740BB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B740BB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B740BB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B740BB"/>
    <w:rPr>
      <w:rFonts w:ascii="Century" w:eastAsia="Century" w:hAnsi="Century" w:cs="Century"/>
    </w:rPr>
  </w:style>
  <w:style w:type="table" w:customStyle="1" w:styleId="1">
    <w:name w:val="表1"/>
    <w:rsid w:val="00B740BB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B740BB"/>
    <w:pPr>
      <w:numPr>
        <w:numId w:val="2"/>
      </w:numPr>
    </w:pPr>
  </w:style>
  <w:style w:type="numbering" w:customStyle="1" w:styleId="WW8Num2">
    <w:name w:val="WW8Num2"/>
    <w:rsid w:val="00B740BB"/>
    <w:pPr>
      <w:numPr>
        <w:numId w:val="3"/>
      </w:numPr>
    </w:pPr>
  </w:style>
  <w:style w:type="numbering" w:customStyle="1" w:styleId="WW8Num3">
    <w:name w:val="WW8Num3"/>
    <w:rsid w:val="00B740BB"/>
    <w:pPr>
      <w:numPr>
        <w:numId w:val="4"/>
      </w:numPr>
    </w:pPr>
  </w:style>
  <w:style w:type="numbering" w:customStyle="1" w:styleId="WW8Num4">
    <w:name w:val="WW8Num4"/>
    <w:rsid w:val="00B740BB"/>
    <w:pPr>
      <w:numPr>
        <w:numId w:val="5"/>
      </w:numPr>
    </w:pPr>
  </w:style>
  <w:style w:type="numbering" w:customStyle="1" w:styleId="WW8Num5">
    <w:name w:val="WW8Num5"/>
    <w:rsid w:val="00B740BB"/>
    <w:pPr>
      <w:numPr>
        <w:numId w:val="6"/>
      </w:numPr>
    </w:pPr>
  </w:style>
  <w:style w:type="numbering" w:customStyle="1" w:styleId="WW8Num6">
    <w:name w:val="WW8Num6"/>
    <w:rsid w:val="00B740BB"/>
    <w:pPr>
      <w:numPr>
        <w:numId w:val="7"/>
      </w:numPr>
    </w:pPr>
  </w:style>
  <w:style w:type="numbering" w:customStyle="1" w:styleId="WW8Num7">
    <w:name w:val="WW8Num7"/>
    <w:rsid w:val="00B740BB"/>
    <w:pPr>
      <w:numPr>
        <w:numId w:val="8"/>
      </w:numPr>
    </w:pPr>
  </w:style>
  <w:style w:type="numbering" w:customStyle="1" w:styleId="WW8Num8">
    <w:name w:val="WW8Num8"/>
    <w:rsid w:val="00B740BB"/>
    <w:pPr>
      <w:numPr>
        <w:numId w:val="9"/>
      </w:numPr>
    </w:pPr>
  </w:style>
  <w:style w:type="numbering" w:customStyle="1" w:styleId="WW8Num9">
    <w:name w:val="WW8Num9"/>
    <w:rsid w:val="00B740BB"/>
    <w:pPr>
      <w:numPr>
        <w:numId w:val="10"/>
      </w:numPr>
    </w:pPr>
  </w:style>
  <w:style w:type="numbering" w:customStyle="1" w:styleId="WW8Num10">
    <w:name w:val="WW8Num10"/>
    <w:rsid w:val="00B740BB"/>
    <w:pPr>
      <w:numPr>
        <w:numId w:val="11"/>
      </w:numPr>
    </w:pPr>
  </w:style>
  <w:style w:type="numbering" w:customStyle="1" w:styleId="WW8Num11">
    <w:name w:val="WW8Num11"/>
    <w:rsid w:val="00B740BB"/>
    <w:pPr>
      <w:numPr>
        <w:numId w:val="12"/>
      </w:numPr>
    </w:pPr>
  </w:style>
  <w:style w:type="numbering" w:customStyle="1" w:styleId="WW8Num12">
    <w:name w:val="WW8Num12"/>
    <w:rsid w:val="00B740BB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782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1AF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2022-01-04T14:34:00Z</dcterms:created>
  <dcterms:modified xsi:type="dcterms:W3CDTF">2022-01-04T14:34:00Z</dcterms:modified>
</cp:coreProperties>
</file>