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46D5" w:rsidRDefault="001C0494">
      <w:pPr>
        <w:pStyle w:val="en"/>
      </w:pPr>
      <w:r>
        <w:t>Order for Enforcement of the Act on Safety Assurance and Quality Improvement of Feeds</w:t>
      </w:r>
    </w:p>
    <w:p w:rsidR="005346D5" w:rsidRDefault="005346D5"/>
    <w:p w:rsidR="005346D5" w:rsidRDefault="001C0494">
      <w:pPr>
        <w:pStyle w:val="enf"/>
      </w:pPr>
      <w:r>
        <w:t>(Cabinet Order No. 198 of July 16, 1976)</w:t>
      </w:r>
    </w:p>
    <w:p w:rsidR="005346D5" w:rsidRDefault="005346D5"/>
    <w:p w:rsidR="005346D5" w:rsidRDefault="001C0494">
      <w:pPr>
        <w:pStyle w:val="ene"/>
      </w:pPr>
      <w:r>
        <w:t xml:space="preserve">The Cabinet enacts this Cabinet Order pursuant to the provisions of Article 2, paragraph (1), Article 2-4, paragraph (1), </w:t>
      </w:r>
      <w:r>
        <w:t>Article 2-8, paragraph (1), Article 8, paragraph (1), Article 23, paragraph (1), and Articles 24-4 through 26 of the Act on the Safety Assurance and Quality Improvement of Feeds (Act No. 35 of 1953).</w:t>
      </w:r>
    </w:p>
    <w:p w:rsidR="005346D5" w:rsidRDefault="005346D5"/>
    <w:p w:rsidR="005346D5" w:rsidRDefault="001C0494">
      <w:pPr>
        <w:pStyle w:val="ena"/>
      </w:pPr>
      <w:r>
        <w:t>(Domestic Animals)</w:t>
      </w:r>
    </w:p>
    <w:p w:rsidR="005346D5" w:rsidRDefault="001C0494">
      <w:pPr>
        <w:pStyle w:val="enf3"/>
      </w:pPr>
      <w:r>
        <w:t>Article 1  Animals specified by Cabi</w:t>
      </w:r>
      <w:r>
        <w:t>net Order set forth in Article 2, paragraph (1) of the Act on the Safety Assurance and Quality Improvement of Feeds (hereinafter referred to as the "Act") are those specified by Cabinet Order are as follows:</w:t>
      </w:r>
    </w:p>
    <w:p w:rsidR="005346D5" w:rsidRDefault="001C0494">
      <w:pPr>
        <w:pStyle w:val="enf6"/>
      </w:pPr>
      <w:r>
        <w:t>(i) cattle, horses (excluding those designated b</w:t>
      </w:r>
      <w:r>
        <w:t>y the Minister of Agriculture, Forestry and Fisheries), pigs, sheep, goats and deer;</w:t>
      </w:r>
    </w:p>
    <w:p w:rsidR="005346D5" w:rsidRDefault="001C0494">
      <w:pPr>
        <w:pStyle w:val="enf6"/>
      </w:pPr>
      <w:r>
        <w:t>(ii) chickens and quails;</w:t>
      </w:r>
    </w:p>
    <w:p w:rsidR="005346D5" w:rsidRDefault="001C0494">
      <w:pPr>
        <w:pStyle w:val="enf6"/>
      </w:pPr>
      <w:r>
        <w:t>(iii) honeybees; and</w:t>
      </w:r>
    </w:p>
    <w:p w:rsidR="005346D5" w:rsidRDefault="001C0494">
      <w:pPr>
        <w:pStyle w:val="enf6"/>
      </w:pPr>
      <w:r>
        <w:t>(iv) Japanese amberjack, red seabream, coho salmon, greater amberjack, bastard halibut, Japanese pufferfish, white trevally,</w:t>
      </w:r>
      <w:r>
        <w:t xml:space="preserve"> Japanese jack mackerel, yellowtail amberjack, continental perch, Japanese seabass, cobia, Pacific bluefin tuna, kuruma prawn, common carp (excluding those designated by the Minister of Agriculture, Forestry and Fisheries), Japanese eel, rainbow trout, ayu</w:t>
      </w:r>
      <w:r>
        <w:t>, masu salmon, red-spotted masu salmon, Nikko-iwana and other fish of white-spotted char which are designated by the Minister of Agriculture, Forestry and Fisheries.</w:t>
      </w:r>
    </w:p>
    <w:p w:rsidR="005346D5" w:rsidRDefault="005346D5"/>
    <w:p w:rsidR="005346D5" w:rsidRDefault="001C0494">
      <w:pPr>
        <w:pStyle w:val="ena"/>
      </w:pPr>
      <w:r>
        <w:t>(Specified Feed)</w:t>
      </w:r>
    </w:p>
    <w:p w:rsidR="005346D5" w:rsidRDefault="001C0494">
      <w:pPr>
        <w:pStyle w:val="enf3"/>
      </w:pPr>
      <w:r>
        <w:t>Article 2  Feed and feed additives specified by Cabinet Order as prescri</w:t>
      </w:r>
      <w:r>
        <w:t>bed in Article 5, paragraph (1) of the Act are as follows:</w:t>
      </w:r>
    </w:p>
    <w:p w:rsidR="005346D5" w:rsidRDefault="001C0494">
      <w:pPr>
        <w:pStyle w:val="enf6"/>
      </w:pPr>
      <w:r>
        <w:t>(i) peanut meal (limited to those made from peanuts produced in areas designated by the Minister of Agriculture, Forestry and Fisheries; the same applies hereinafter); and</w:t>
      </w:r>
    </w:p>
    <w:p w:rsidR="005346D5" w:rsidRDefault="001C0494">
      <w:pPr>
        <w:pStyle w:val="enf6"/>
      </w:pPr>
      <w:r>
        <w:t>(ii) antimicrobial agents</w:t>
      </w:r>
      <w:r>
        <w:t xml:space="preserve"> (excluding chemically synthesized antimicrobial agents designated by the Minister of Agriculture, Forestry and Fisheries; the same applies in the attached table).</w:t>
      </w:r>
    </w:p>
    <w:p w:rsidR="005346D5" w:rsidRDefault="005346D5"/>
    <w:p w:rsidR="005346D5" w:rsidRDefault="001C0494">
      <w:pPr>
        <w:pStyle w:val="ena"/>
      </w:pPr>
      <w:r>
        <w:t>(Validity Period of Registration of Registered Manufacturer of Specified Feed)</w:t>
      </w:r>
    </w:p>
    <w:p w:rsidR="005346D5" w:rsidRDefault="001C0494">
      <w:pPr>
        <w:pStyle w:val="enf3"/>
      </w:pPr>
      <w:r>
        <w:t>Article 3  T</w:t>
      </w:r>
      <w:r>
        <w:t xml:space="preserve">he period specified by Cabinet Order under Article 11, paragraph (1) </w:t>
      </w:r>
      <w:r>
        <w:lastRenderedPageBreak/>
        <w:t>of the Act (including the cases as applied mutatis mutandis pursuant to Article 21, paragraph (3), Article 29, paragraph (3) and Article 30, paragraph (3) of the Act) is three years.</w:t>
      </w:r>
    </w:p>
    <w:p w:rsidR="005346D5" w:rsidRDefault="005346D5"/>
    <w:p w:rsidR="005346D5" w:rsidRDefault="001C0494">
      <w:pPr>
        <w:pStyle w:val="ena"/>
      </w:pPr>
      <w:r>
        <w:t>(Bu</w:t>
      </w:r>
      <w:r>
        <w:t>rden of Expenses for Inspection or Investigation at the Place of Business of a Registered Manufacturer of Foreign Specified Feed)</w:t>
      </w:r>
    </w:p>
    <w:p w:rsidR="005346D5" w:rsidRDefault="001C0494">
      <w:pPr>
        <w:pStyle w:val="enf3"/>
      </w:pPr>
      <w:r>
        <w:t xml:space="preserve">Article 4  The expenses specified by Cabinet Order set forth in paragraph (2) of Article 22 of the Act (including the case as </w:t>
      </w:r>
      <w:r>
        <w:t>applied mutatis mutandis pursuant to Article 30, paragraph (3) of the Act) is equivalent to the amount of the ones necessary for the officials of the Ministry of Agriculture, Forestry and Fisheries or the Food and Agricultural Materials Inspection Center t</w:t>
      </w:r>
      <w:r>
        <w:t>o travel to the location of the places of business, warehouses or other places pertaining to the inspection and investigation for the purpose of the inspection of paragraph (4) of Article 7 the Act as applied mutatis mutandis pursuant to paragraph (3) of A</w:t>
      </w:r>
      <w:r>
        <w:t>rticle 21 of the Act, item (v) of paragraph (1) of Article 22 and paragraph (4) of Article 7 and item (v) of paragraph (1) of Article 22 of the Act as applied mutatis mutandis pursuant to paragraph (3) of Article 30 of the Act, and investigation of paragra</w:t>
      </w:r>
      <w:r>
        <w:t>ph (1) of Article 10 as applied mutatis mutandis pursuant to paragraph (3) of Article 21 of the Act, and paragraph (1) of Article 10 of the Act as applied mutatis mutandis pursuant to paragraph (3) of Article 30 of the Act. In this case, the number of offi</w:t>
      </w:r>
      <w:r>
        <w:t xml:space="preserve">cials taking the business trip in question is set at two persons for the amount of the travel expenses in question, and these officials are persons whose job grade according to the Administration Position Salary Schedule stipulated in Article 6, paragraph </w:t>
      </w:r>
      <w:r>
        <w:t>(1), item (i), (a) of the Act on Remuneration of Officials in the Regular Service is Grade 4; the calculation is based on the example in the provisions of the Act on Travel Expenses of National Public Officers, etc.; and the calculation of the amount of mi</w:t>
      </w:r>
      <w:r>
        <w:t>scellaneous travel expenses and of the amount for the other travel expenses involved is determined by Order of the Ministry of Agriculture, Forestry and Fisheries.</w:t>
      </w:r>
    </w:p>
    <w:p w:rsidR="005346D5" w:rsidRDefault="005346D5"/>
    <w:p w:rsidR="005346D5" w:rsidRDefault="001C0494">
      <w:pPr>
        <w:pStyle w:val="ena"/>
      </w:pPr>
      <w:r>
        <w:t>(Feed under the Control of the Feed Production Manager)</w:t>
      </w:r>
    </w:p>
    <w:p w:rsidR="005346D5" w:rsidRDefault="001C0494">
      <w:pPr>
        <w:pStyle w:val="enf3"/>
      </w:pPr>
      <w:r>
        <w:t xml:space="preserve">Article 5  Feed and feed additives </w:t>
      </w:r>
      <w:r>
        <w:t>specified by Cabinet Order as prescribed in Article 25, paragraph (1) of the Act is as follows:</w:t>
      </w:r>
    </w:p>
    <w:p w:rsidR="005346D5" w:rsidRDefault="001C0494">
      <w:pPr>
        <w:pStyle w:val="enf6"/>
      </w:pPr>
      <w:r>
        <w:t>(i) feed made from peanut meal, urea, or diureidoisobutane;</w:t>
      </w:r>
    </w:p>
    <w:p w:rsidR="005346D5" w:rsidRDefault="001C0494">
      <w:pPr>
        <w:pStyle w:val="enf6"/>
      </w:pPr>
      <w:r>
        <w:t xml:space="preserve">(ii) feed containing antimicrobial agents or other feed additives listed in the following item that </w:t>
      </w:r>
      <w:r>
        <w:t>are designated by the Minister of Agriculture, Forestry and Fisheries; and</w:t>
      </w:r>
    </w:p>
    <w:p w:rsidR="005346D5" w:rsidRDefault="001C0494">
      <w:pPr>
        <w:pStyle w:val="enf6"/>
      </w:pPr>
      <w:r>
        <w:t>(iii) feed additives for which the standards are established for the ingredients pursuant to the provisions of Article (3), paragraph (1) of the Act.</w:t>
      </w:r>
    </w:p>
    <w:p w:rsidR="005346D5" w:rsidRDefault="005346D5"/>
    <w:p w:rsidR="005346D5" w:rsidRDefault="001C0494">
      <w:pPr>
        <w:pStyle w:val="ena"/>
      </w:pPr>
      <w:r>
        <w:lastRenderedPageBreak/>
        <w:t xml:space="preserve">(Feed for Which </w:t>
      </w:r>
      <w:r>
        <w:t>Labeling Standards Should be Established)</w:t>
      </w:r>
    </w:p>
    <w:p w:rsidR="005346D5" w:rsidRDefault="001C0494">
      <w:pPr>
        <w:pStyle w:val="enf3"/>
      </w:pPr>
      <w:r>
        <w:t>Article 6  The feed specified by Cabinet Order referred to in Article 32, paragraph (1) of the Act is as follows:</w:t>
      </w:r>
    </w:p>
    <w:p w:rsidR="005346D5" w:rsidRDefault="001C0494">
      <w:pPr>
        <w:pStyle w:val="enf6"/>
      </w:pPr>
      <w:r>
        <w:t>(i) soybean oil cake, fish meal, feather meal, meat and bone meal, meat meal and blood meal; and</w:t>
      </w:r>
    </w:p>
    <w:p w:rsidR="005346D5" w:rsidRDefault="001C0494">
      <w:pPr>
        <w:pStyle w:val="enf6"/>
      </w:pPr>
      <w:r>
        <w:t>(ii</w:t>
      </w:r>
      <w:r>
        <w:t>) feed made from two or more kinds of feed as raw materials or ingredients (excluding those having a shape provided for by the Minister of Agriculture, Forestry and Fisheries).</w:t>
      </w:r>
    </w:p>
    <w:p w:rsidR="005346D5" w:rsidRDefault="005346D5"/>
    <w:p w:rsidR="005346D5" w:rsidRDefault="001C0494">
      <w:pPr>
        <w:pStyle w:val="ena"/>
      </w:pPr>
      <w:r>
        <w:t>(Valid Period of Registration of a Registered Verification Body)</w:t>
      </w:r>
    </w:p>
    <w:p w:rsidR="005346D5" w:rsidRDefault="001C0494">
      <w:pPr>
        <w:pStyle w:val="enf3"/>
      </w:pPr>
      <w:r>
        <w:t>Article 7  Th</w:t>
      </w:r>
      <w:r>
        <w:t>e period specified by Cabinet Order referred to in Article 37, paragraph (1) of the Act is three years.</w:t>
      </w:r>
    </w:p>
    <w:p w:rsidR="005346D5" w:rsidRDefault="005346D5"/>
    <w:p w:rsidR="005346D5" w:rsidRDefault="001C0494">
      <w:pPr>
        <w:pStyle w:val="ena"/>
      </w:pPr>
      <w:r>
        <w:t>(Notification through Prefectural Governors)</w:t>
      </w:r>
    </w:p>
    <w:p w:rsidR="005346D5" w:rsidRDefault="001C0494">
      <w:pPr>
        <w:pStyle w:val="enf3"/>
      </w:pPr>
      <w:r>
        <w:t>Article 8  Notification to be given to the Minister of Agriculture, Forestry and Fisheries pursuant to the</w:t>
      </w:r>
      <w:r>
        <w:t xml:space="preserve"> provisions of paragraph (1), (3) or (4) of Article 50 of the Act must be given via the prefectural governor having jurisdiction over the domicile of the person giving such notification (in the case of a corporation, the location of its principal office).</w:t>
      </w:r>
    </w:p>
    <w:p w:rsidR="005346D5" w:rsidRDefault="005346D5"/>
    <w:p w:rsidR="005346D5" w:rsidRDefault="001C0494">
      <w:pPr>
        <w:pStyle w:val="ena"/>
      </w:pPr>
      <w:r>
        <w:t>(Amount of Commission)</w:t>
      </w:r>
    </w:p>
    <w:p w:rsidR="005346D5" w:rsidRDefault="001C0494">
      <w:pPr>
        <w:pStyle w:val="enf3"/>
      </w:pPr>
      <w:r>
        <w:t>Article 9  (1) The amount of fees that a person prescribed in paragraphs (1) through (3) of Article 60 of the Act must pay pursuant to the provisions of paragraphs (1) through (3) of the same Article is as shown in the appended tabl</w:t>
      </w:r>
      <w:r>
        <w:t>e.</w:t>
      </w:r>
    </w:p>
    <w:p w:rsidR="005346D5" w:rsidRDefault="001C0494">
      <w:pPr>
        <w:pStyle w:val="enf4"/>
      </w:pPr>
      <w:r>
        <w:t>(2) The amount of the fee that a person prescribed in Article 60, paragraph (4) of the Act must pay pursuant to the provisions of same paragraph is 570 yen per case.</w:t>
      </w:r>
    </w:p>
    <w:p w:rsidR="005346D5" w:rsidRDefault="001C0494">
      <w:pPr>
        <w:pStyle w:val="enf4"/>
      </w:pPr>
      <w:r>
        <w:t xml:space="preserve">(3) The amount of the fee that a person prescribed in Article 60, paragraph (5) of the </w:t>
      </w:r>
      <w:r>
        <w:t>Act must pay pursuant to the provisions of same paragraph is 440 yen per case.</w:t>
      </w:r>
    </w:p>
    <w:p w:rsidR="005346D5" w:rsidRDefault="005346D5"/>
    <w:p w:rsidR="005346D5" w:rsidRDefault="001C0494">
      <w:pPr>
        <w:pStyle w:val="ena"/>
      </w:pPr>
      <w:r>
        <w:t>(Application Mutatis Mutandis of the Order for Enforcement of the Administrative Appeal Act)</w:t>
      </w:r>
    </w:p>
    <w:p w:rsidR="005346D5" w:rsidRDefault="001C0494">
      <w:pPr>
        <w:pStyle w:val="enf3"/>
      </w:pPr>
      <w:r>
        <w:t>Article 9-2  With regard to the hearing of opinions set forth in paragraph (1) of A</w:t>
      </w:r>
      <w:r>
        <w:t xml:space="preserve">rticle 63 of the Act, the provisions of Article 8 of the Order for Enforcement of the Administrative Appeal Act (Cabinet Order No. 391 of 1952) applies mutatis mutandis. In this case, the term "Order of the Ministry of Internal Affairs and Communications" </w:t>
      </w:r>
      <w:r>
        <w:t>in same Article is deemed to be replaced with "Order of the Ministry of Agriculture, Forestry and Fisheries.</w:t>
      </w:r>
    </w:p>
    <w:p w:rsidR="005346D5" w:rsidRDefault="005346D5"/>
    <w:p w:rsidR="005346D5" w:rsidRDefault="001C0494">
      <w:pPr>
        <w:pStyle w:val="ena"/>
      </w:pPr>
      <w:r>
        <w:lastRenderedPageBreak/>
        <w:t>(Special Provisions Concerning Feed for Export)</w:t>
      </w:r>
    </w:p>
    <w:p w:rsidR="005346D5" w:rsidRDefault="001C0494">
      <w:pPr>
        <w:pStyle w:val="enf3"/>
      </w:pPr>
      <w:r>
        <w:t>Article 10  The provisions of Article 4 and Article 5, paragraph (1) of the Act do not apply to th</w:t>
      </w:r>
      <w:r>
        <w:t>e production for export, preservation, import or sale, or the production, use, import or sale of feed additives for sale or experimental research of feed or feed additives.</w:t>
      </w:r>
    </w:p>
    <w:p w:rsidR="005346D5" w:rsidRDefault="005346D5"/>
    <w:p w:rsidR="005346D5" w:rsidRDefault="001C0494">
      <w:pPr>
        <w:pStyle w:val="ena"/>
      </w:pPr>
      <w:r>
        <w:t>(Affairs to be Handled by the Prefecture)</w:t>
      </w:r>
    </w:p>
    <w:p w:rsidR="005346D5" w:rsidRDefault="001C0494">
      <w:pPr>
        <w:pStyle w:val="enf3"/>
      </w:pPr>
      <w:r>
        <w:t>Article 11  (1) Among the affairs that f</w:t>
      </w:r>
      <w:r>
        <w:t>all under the authority of the Minister of Agriculture, Forestry and Fisheries as prescribed in Article 33, paragraph (1) of the Act, those pertaining to place of business where manufacturers produce or sell are located only in the area of a single prefect</w:t>
      </w:r>
      <w:r>
        <w:t>ure or those pertaining to a manufacturer is conducted by the prefectural governor.</w:t>
      </w:r>
    </w:p>
    <w:p w:rsidR="005346D5" w:rsidRDefault="001C0494">
      <w:pPr>
        <w:pStyle w:val="enf4"/>
      </w:pPr>
      <w:r>
        <w:t>(2) In the event that the prefectural governor gives instructions under paragraph (1) of Article 33 of the Act based on the provisions of the preceding paragraph, the gover</w:t>
      </w:r>
      <w:r>
        <w:t>nor must report the contents thereof to the Minister of Agriculture, Forestry and Fisheries as provided by Order of the Ministry of Agriculture, Forestry and Fisheries.</w:t>
      </w:r>
    </w:p>
    <w:p w:rsidR="005346D5" w:rsidRDefault="001C0494">
      <w:pPr>
        <w:pStyle w:val="enf4"/>
      </w:pPr>
      <w:r>
        <w:t xml:space="preserve">(3) Affairs that fall under the authority of the Minister of Agriculture, Forestry and </w:t>
      </w:r>
      <w:r>
        <w:t xml:space="preserve">Fisheries as provided in Article 55, paragraph (1) and Article 56, paragraph (1) of the Act is performed by the prefectural governor; provided, however, that this does not preclude the Minister of Agriculture, Forestry and Fisheries from administering the </w:t>
      </w:r>
      <w:r>
        <w:t>office work under their authority by themselves in the event that the Minister finds it particularly necessary in order to ensure the safety or improving the quality of feed.</w:t>
      </w:r>
    </w:p>
    <w:p w:rsidR="005346D5" w:rsidRDefault="001C0494">
      <w:pPr>
        <w:pStyle w:val="enf4"/>
      </w:pPr>
      <w:r>
        <w:t xml:space="preserve">(4) In the case where a prefectural governor has removed feed, feed </w:t>
      </w:r>
      <w:r>
        <w:t>additives, or these raw materials pursuant to the provisions of Article 56, paragraph (1) of the Act based on the provisions of the preceding paragraph, the publication of the outline of the results of the test of the relevant feed, feed additives, or thes</w:t>
      </w:r>
      <w:r>
        <w:t>e raw materials pursuant to the provisions of paragraph (7) of the same Article is made by the same prefectural governor.</w:t>
      </w:r>
    </w:p>
    <w:p w:rsidR="005346D5" w:rsidRDefault="001C0494">
      <w:pPr>
        <w:pStyle w:val="enf4"/>
      </w:pPr>
      <w:r>
        <w:t>(5) In the case of the main clause of paragraph (3), the provisions in the Act concerning the Minister of Agriculture, Forestry and Fi</w:t>
      </w:r>
      <w:r>
        <w:t>sheries pertaining to the affairs provided for in the main clause of same paragraph apply to the prefectural governor as the provisions concerning the prefectural governor.</w:t>
      </w:r>
    </w:p>
    <w:p w:rsidR="005346D5" w:rsidRDefault="001C0494">
      <w:pPr>
        <w:pStyle w:val="enf4"/>
      </w:pPr>
      <w:r>
        <w:t>(6) In the event that the prefectural governor collects reports pursuant to the pro</w:t>
      </w:r>
      <w:r>
        <w:t>visions of paragraph (1) of Article 55 of the Act or conducts an on-site inspection, questions or removes pursuant to the provisions of paragraph (1) of Article 56 of the Act based on the provisions of the main clause of paragraph (3), the governor must re</w:t>
      </w:r>
      <w:r>
        <w:t>port the result to the Minister of Agriculture, Forestry and Fisheries as provided for by Order of the Ministry of Agriculture, Forestry and Fisheries.</w:t>
      </w:r>
    </w:p>
    <w:p w:rsidR="005346D5" w:rsidRDefault="005346D5"/>
    <w:p w:rsidR="005346D5" w:rsidRDefault="001C0494">
      <w:pPr>
        <w:pStyle w:val="ena"/>
      </w:pPr>
      <w:r>
        <w:t>(Classification of Affairs)</w:t>
      </w:r>
    </w:p>
    <w:p w:rsidR="005346D5" w:rsidRDefault="001C0494">
      <w:pPr>
        <w:pStyle w:val="enf3"/>
      </w:pPr>
      <w:r>
        <w:t>Article 12  Among affairs that are made to be processed by the prefecture p</w:t>
      </w:r>
      <w:r>
        <w:t>ursuant to the provisions of this Cabinet Order the following are No. 1 statutory entrusted affairs as set forth in item (i) of paragraph (9) of Article 2 of the Local Autonomy Act (Act No. 67 of 1947):</w:t>
      </w:r>
    </w:p>
    <w:p w:rsidR="005346D5" w:rsidRDefault="001C0494">
      <w:pPr>
        <w:pStyle w:val="enf6"/>
      </w:pPr>
      <w:r>
        <w:t xml:space="preserve">(i) collection of reports pursuant to the provisions </w:t>
      </w:r>
      <w:r>
        <w:t>of Article 55, paragraph (1) of the Act, which are to be handled by the prefecture pursuant to the provisions of paragraph (3) of the preceding Article, and on-site inspection, questioning and removal (limited to those relating to the enforcement of the pr</w:t>
      </w:r>
      <w:r>
        <w:t>ovisions of Chapter II of the Act) pursuant to the provisions of Article 56, paragraph (1) of the Act; and</w:t>
      </w:r>
    </w:p>
    <w:p w:rsidR="005346D5" w:rsidRDefault="001C0494">
      <w:pPr>
        <w:pStyle w:val="enf6"/>
      </w:pPr>
      <w:r>
        <w:t>(ii) public announcements as prescribed in Article 56, paragraph (7) of the Act and reports as prescribed in paragraph (6) of the preceding Article (</w:t>
      </w:r>
      <w:r>
        <w:t>limited to those pertaining to the affairs listed in the preceding item) which are to be processed by the prefecture as prescribed in paragraph (4) of the preceding Article.</w:t>
      </w:r>
    </w:p>
    <w:p w:rsidR="005346D5" w:rsidRDefault="005346D5"/>
    <w:p w:rsidR="005346D5" w:rsidRDefault="001C0494">
      <w:pPr>
        <w:pStyle w:val="en2"/>
      </w:pPr>
      <w:r>
        <w:t>Supplementary Provisions  [Extract]</w:t>
      </w:r>
    </w:p>
    <w:p w:rsidR="005346D5" w:rsidRDefault="005346D5"/>
    <w:p w:rsidR="005346D5" w:rsidRDefault="001C0494">
      <w:pPr>
        <w:pStyle w:val="enf4"/>
      </w:pPr>
      <w:r>
        <w:t xml:space="preserve">(1) This Cabinet Order comes into </w:t>
      </w:r>
      <w:r>
        <w:t>effect as of the effective date (July 24, 1976) of the Act for Partial Revision of the Act on the Improvement of Feed Quality (Act No. 68 of 1975).</w:t>
      </w:r>
    </w:p>
    <w:p w:rsidR="005346D5" w:rsidRDefault="001C0494">
      <w:pPr>
        <w:pStyle w:val="enf4"/>
      </w:pPr>
      <w:r>
        <w:t>(2) The Cabinet Order (Cabinet Order No. 309 of 1956) delegating part of the authority of the Minister of Ag</w:t>
      </w:r>
      <w:r>
        <w:t>riculture and Forestry pursuant to the provisions of the Act on the Improvement of Feed Quality is repealed.</w:t>
      </w:r>
    </w:p>
    <w:p w:rsidR="005346D5" w:rsidRDefault="001C0494">
      <w:pPr>
        <w:pStyle w:val="enf4"/>
      </w:pPr>
      <w:r>
        <w:t>(3) A manufacturer, importer, or distributor of the specified feed, etc. may sell the specified feed, etc. for which the label of the same paragrap</w:t>
      </w:r>
      <w:r>
        <w:t>h is not affixed to the specified feed, etc., the container or package for six months from the effective date of this Cabinet Order (hereinafter referred to as the "effective date") notwithstanding the provisions of Article 2-4, paragraph (1) of the Act.</w:t>
      </w:r>
    </w:p>
    <w:p w:rsidR="005346D5" w:rsidRDefault="001C0494">
      <w:pPr>
        <w:pStyle w:val="enf4"/>
      </w:pPr>
      <w:r>
        <w:t>(</w:t>
      </w:r>
      <w:r>
        <w:t>4) The provisions of Article 2-5, paragraph (1) of the Act does not apply to labeling affixed to the specified feed, etc., its container or package prior to the enforcement of this Cabinet Order for six months from the effective date.</w:t>
      </w:r>
    </w:p>
    <w:p w:rsidR="005346D5" w:rsidRDefault="001C0494">
      <w:pPr>
        <w:pStyle w:val="enf4"/>
      </w:pPr>
      <w:r>
        <w:t>(5) The provisions of</w:t>
      </w:r>
      <w:r>
        <w:t xml:space="preserve"> Article 2-7 of the Act (limited to the part pertaining to item (ii)) does not apply to specified feed, etc. sold by a manufacturer, importer, or distributor of specified feed, etc. during the period of six months from the effective date that the label as </w:t>
      </w:r>
      <w:r>
        <w:t>prescribed in Article 2-4 (1) of the Act is not affixed to the specified feed, etc., the container or package.</w:t>
      </w:r>
    </w:p>
    <w:p w:rsidR="005346D5" w:rsidRDefault="001C0494">
      <w:pPr>
        <w:pStyle w:val="enf4"/>
      </w:pPr>
      <w:r>
        <w:t>(6) A manufacturer of feed or feed additives prescribed in Article 3 is not required to appoint a feed manufacturing manager prescribed in Articl</w:t>
      </w:r>
      <w:r>
        <w:t xml:space="preserve">e 2-8, </w:t>
      </w:r>
      <w:r>
        <w:lastRenderedPageBreak/>
        <w:t>paragraph (1) of the Act for six months from the effective date.</w:t>
      </w:r>
    </w:p>
    <w:p w:rsidR="005346D5" w:rsidRDefault="005346D5"/>
    <w:p w:rsidR="005346D5" w:rsidRDefault="001C0494">
      <w:pPr>
        <w:pStyle w:val="en2"/>
      </w:pPr>
      <w:r>
        <w:t>Supplementary Provisions  [Cabinet Order No. 282 of July 5, 1978 Extract]  [Extract]</w:t>
      </w:r>
    </w:p>
    <w:p w:rsidR="005346D5" w:rsidRDefault="005346D5"/>
    <w:p w:rsidR="005346D5" w:rsidRDefault="001C0494">
      <w:pPr>
        <w:pStyle w:val="ena"/>
      </w:pPr>
      <w:r>
        <w:t>(Effective Date)</w:t>
      </w:r>
    </w:p>
    <w:p w:rsidR="005346D5" w:rsidRDefault="001C0494">
      <w:pPr>
        <w:pStyle w:val="enf3"/>
      </w:pPr>
      <w:r>
        <w:t>Article 1  This Cabinet Order comes into effect as of the date of promulgation.</w:t>
      </w:r>
    </w:p>
    <w:p w:rsidR="005346D5" w:rsidRDefault="005346D5"/>
    <w:p w:rsidR="005346D5" w:rsidRDefault="001C0494">
      <w:pPr>
        <w:pStyle w:val="en2"/>
      </w:pPr>
      <w:r>
        <w:t>Supplementary Provisions  [Cabinet Order No. 170 of July 22, 1983]</w:t>
      </w:r>
    </w:p>
    <w:p w:rsidR="005346D5" w:rsidRDefault="005346D5"/>
    <w:p w:rsidR="005346D5" w:rsidRDefault="001C0494">
      <w:pPr>
        <w:pStyle w:val="enf5"/>
      </w:pPr>
      <w:r>
        <w:t>This Cabinet Order comes into effect as from the effective date of the Act for Partial Revision of the Related Acts for Facilitating the Acquisition of Type Approval by Foreign Business O</w:t>
      </w:r>
      <w:r>
        <w:t>perators (August 1, 1983).</w:t>
      </w:r>
    </w:p>
    <w:p w:rsidR="005346D5" w:rsidRDefault="005346D5"/>
    <w:p w:rsidR="005346D5" w:rsidRDefault="001C0494">
      <w:pPr>
        <w:pStyle w:val="en2"/>
      </w:pPr>
      <w:r>
        <w:t>Supplementary Provisions  [Cabinet Order No. 99 of April 13, 1984]</w:t>
      </w:r>
    </w:p>
    <w:p w:rsidR="005346D5" w:rsidRDefault="005346D5"/>
    <w:p w:rsidR="005346D5" w:rsidRDefault="001C0494">
      <w:pPr>
        <w:pStyle w:val="enf5"/>
      </w:pPr>
      <w:r>
        <w:t>This Cabinet Order comes into effect as of April 20, 1984.</w:t>
      </w:r>
    </w:p>
    <w:p w:rsidR="005346D5" w:rsidRDefault="005346D5"/>
    <w:p w:rsidR="005346D5" w:rsidRDefault="001C0494">
      <w:pPr>
        <w:pStyle w:val="en2"/>
      </w:pPr>
      <w:r>
        <w:t>Supplementary Provisions  [Cabinet Order No. 317 of December 21, 1985 Extract]  [Extract]</w:t>
      </w:r>
    </w:p>
    <w:p w:rsidR="005346D5" w:rsidRDefault="005346D5"/>
    <w:p w:rsidR="005346D5" w:rsidRDefault="001C0494">
      <w:pPr>
        <w:pStyle w:val="ena"/>
      </w:pPr>
      <w:r>
        <w:t>(Effective Date)</w:t>
      </w:r>
    </w:p>
    <w:p w:rsidR="005346D5" w:rsidRDefault="001C0494">
      <w:pPr>
        <w:pStyle w:val="enf4"/>
      </w:pPr>
      <w:r>
        <w:t>(1) This Cabinet Order comes into effect as of the date of promulgation; provided, however, that the provisions of Article 42 comes into effect as from January 1, 1986.</w:t>
      </w:r>
    </w:p>
    <w:p w:rsidR="005346D5" w:rsidRDefault="005346D5"/>
    <w:p w:rsidR="005346D5" w:rsidRDefault="001C0494">
      <w:pPr>
        <w:pStyle w:val="en2"/>
      </w:pPr>
      <w:r>
        <w:t>Supplementary Provisions  [Cabinet Order No. 60 of March 25, 1987]</w:t>
      </w:r>
    </w:p>
    <w:p w:rsidR="005346D5" w:rsidRDefault="005346D5"/>
    <w:p w:rsidR="005346D5" w:rsidRDefault="001C0494">
      <w:pPr>
        <w:pStyle w:val="enf5"/>
      </w:pPr>
      <w:r>
        <w:t>T</w:t>
      </w:r>
      <w:r>
        <w:t>his Cabinet Order comes into effect as of April 1, 1987.</w:t>
      </w:r>
    </w:p>
    <w:p w:rsidR="005346D5" w:rsidRDefault="005346D5"/>
    <w:p w:rsidR="005346D5" w:rsidRDefault="001C0494">
      <w:pPr>
        <w:pStyle w:val="en2"/>
      </w:pPr>
      <w:r>
        <w:t>Supplementary Provisions  [Cabinet Order No. 58 of March 22, 1989]</w:t>
      </w:r>
    </w:p>
    <w:p w:rsidR="005346D5" w:rsidRDefault="005346D5"/>
    <w:p w:rsidR="005346D5" w:rsidRDefault="001C0494">
      <w:pPr>
        <w:pStyle w:val="enf5"/>
      </w:pPr>
      <w:r>
        <w:t>This Cabinet Order comes into effect as of April 1, 1989.</w:t>
      </w:r>
    </w:p>
    <w:p w:rsidR="005346D5" w:rsidRDefault="005346D5"/>
    <w:p w:rsidR="005346D5" w:rsidRDefault="001C0494">
      <w:pPr>
        <w:pStyle w:val="en2"/>
      </w:pPr>
      <w:r>
        <w:t>Supplementary Provisions  [Cabinet Order No. 199 of June 29, 1990]</w:t>
      </w:r>
    </w:p>
    <w:p w:rsidR="005346D5" w:rsidRDefault="005346D5"/>
    <w:p w:rsidR="005346D5" w:rsidRDefault="001C0494">
      <w:pPr>
        <w:pStyle w:val="ena"/>
      </w:pPr>
      <w:r>
        <w:t>(Ef</w:t>
      </w:r>
      <w:r>
        <w:t>fective Date)</w:t>
      </w:r>
    </w:p>
    <w:p w:rsidR="005346D5" w:rsidRDefault="001C0494">
      <w:pPr>
        <w:pStyle w:val="enf4"/>
      </w:pPr>
      <w:r>
        <w:t>(1) This Cabinet Order comes into effect as of the date of promulgation.</w:t>
      </w:r>
    </w:p>
    <w:p w:rsidR="005346D5" w:rsidRDefault="005346D5"/>
    <w:p w:rsidR="005346D5" w:rsidRDefault="001C0494">
      <w:pPr>
        <w:pStyle w:val="ena"/>
      </w:pPr>
      <w:r>
        <w:t>(Transitional Measures)</w:t>
      </w:r>
    </w:p>
    <w:p w:rsidR="005346D5" w:rsidRDefault="001C0494">
      <w:pPr>
        <w:pStyle w:val="enf4"/>
      </w:pPr>
      <w:r>
        <w:t>(2) A manufacturer of feed used for coho salmon, or feed additives used for the relevant feed that falls under the category of feed or feed addi</w:t>
      </w:r>
      <w:r>
        <w:t>tives prescribed in Article 3 of the Order for Enforcement of the Act on Safety Assurance and Quality Improvement of Feed (hereinafter referred to as the "Enforcement Order"). does not require to have a feed manufacturing manager as prescribed in Article 2</w:t>
      </w:r>
      <w:r>
        <w:t>-8, paragraph (1) of the Act on Safety Assurance and Quality Improvement of Feeds, for a period of six months from the date of enforcement of this Cabinet Order, on any place of business that manufactures the feed or feed additives (excluding feed used for</w:t>
      </w:r>
      <w:r>
        <w:t xml:space="preserve"> animals prescribed in Article 1 of the Enforcement Order other than coho salmon, or feed additives used for the relevant feed; hereinafter referred to as "feed for coho salmon, etc.") and does not manufacture feed or feed additives prescribed in Article 3</w:t>
      </w:r>
      <w:r>
        <w:t xml:space="preserve"> of the Enforcement Order other than feed for coho salmon, etc. is found to be a workplace that manufactures feed or feed additives prescribed in Article 3 of the Enforcement Order.</w:t>
      </w:r>
    </w:p>
    <w:p w:rsidR="005346D5" w:rsidRDefault="005346D5"/>
    <w:p w:rsidR="005346D5" w:rsidRDefault="001C0494">
      <w:pPr>
        <w:pStyle w:val="en2"/>
      </w:pPr>
      <w:r>
        <w:t>Supplementary Provisions  [Cabinet Order No. 40 of March 19, 1991]</w:t>
      </w:r>
    </w:p>
    <w:p w:rsidR="005346D5" w:rsidRDefault="005346D5"/>
    <w:p w:rsidR="005346D5" w:rsidRDefault="001C0494">
      <w:pPr>
        <w:pStyle w:val="enf5"/>
      </w:pPr>
      <w:r>
        <w:t xml:space="preserve">This </w:t>
      </w:r>
      <w:r>
        <w:t>Cabinet Order comes into effect as of April 1, 1991.</w:t>
      </w:r>
    </w:p>
    <w:p w:rsidR="005346D5" w:rsidRDefault="005346D5"/>
    <w:p w:rsidR="005346D5" w:rsidRDefault="001C0494">
      <w:pPr>
        <w:pStyle w:val="en2"/>
      </w:pPr>
      <w:r>
        <w:t>Supplementary Provisions  [Cabinet Order No. 73 of March 24, 1994]</w:t>
      </w:r>
    </w:p>
    <w:p w:rsidR="005346D5" w:rsidRDefault="005346D5"/>
    <w:p w:rsidR="005346D5" w:rsidRDefault="001C0494">
      <w:pPr>
        <w:pStyle w:val="enf5"/>
      </w:pPr>
      <w:r>
        <w:t>This Cabinet Order comes into effect as of April 1, 1994.</w:t>
      </w:r>
    </w:p>
    <w:p w:rsidR="005346D5" w:rsidRDefault="005346D5"/>
    <w:p w:rsidR="005346D5" w:rsidRDefault="001C0494">
      <w:pPr>
        <w:pStyle w:val="en2"/>
      </w:pPr>
      <w:r>
        <w:t>Supplementary Provisions  [Cabinet Order No. 251 of July 27, 1994]</w:t>
      </w:r>
    </w:p>
    <w:p w:rsidR="005346D5" w:rsidRDefault="005346D5"/>
    <w:p w:rsidR="005346D5" w:rsidRDefault="001C0494">
      <w:pPr>
        <w:pStyle w:val="enf5"/>
      </w:pPr>
      <w:r>
        <w:t>This Cabinet Order comes into effect as of the effective date (September 1, 1994) of the Act on Working Hours, Leave, etc. of Officials in the Regular Service.</w:t>
      </w:r>
    </w:p>
    <w:p w:rsidR="005346D5" w:rsidRDefault="005346D5"/>
    <w:p w:rsidR="005346D5" w:rsidRDefault="001C0494">
      <w:pPr>
        <w:pStyle w:val="en2"/>
      </w:pPr>
      <w:r>
        <w:t>Supplementary Provisions  [Cabinet Order No. 76 of March 26, 1997]</w:t>
      </w:r>
    </w:p>
    <w:p w:rsidR="005346D5" w:rsidRDefault="005346D5"/>
    <w:p w:rsidR="005346D5" w:rsidRDefault="001C0494">
      <w:pPr>
        <w:pStyle w:val="enf5"/>
      </w:pPr>
      <w:r>
        <w:t>This Cabinet Order comes in</w:t>
      </w:r>
      <w:r>
        <w:t>to effect as of April 1, 1997.</w:t>
      </w:r>
    </w:p>
    <w:p w:rsidR="005346D5" w:rsidRDefault="005346D5"/>
    <w:p w:rsidR="005346D5" w:rsidRDefault="001C0494">
      <w:pPr>
        <w:pStyle w:val="en2"/>
      </w:pPr>
      <w:r>
        <w:t>Supplementary Provisions  [Cabinet Order No. 416 of December 22, 1999 Extract]  [Extract]</w:t>
      </w:r>
    </w:p>
    <w:p w:rsidR="005346D5" w:rsidRDefault="005346D5"/>
    <w:p w:rsidR="005346D5" w:rsidRDefault="001C0494">
      <w:pPr>
        <w:pStyle w:val="ena"/>
      </w:pPr>
      <w:r>
        <w:t>(Effective Date)</w:t>
      </w:r>
    </w:p>
    <w:p w:rsidR="005346D5" w:rsidRDefault="001C0494">
      <w:pPr>
        <w:pStyle w:val="enf3"/>
      </w:pPr>
      <w:r>
        <w:t>Article 1  This Cabinet Order comes into effect as of April 1, 2000.</w:t>
      </w:r>
    </w:p>
    <w:p w:rsidR="005346D5" w:rsidRDefault="005346D5"/>
    <w:p w:rsidR="005346D5" w:rsidRDefault="001C0494">
      <w:pPr>
        <w:pStyle w:val="ena"/>
      </w:pPr>
      <w:r>
        <w:t>(Transitional Measures upon Partial Revision o</w:t>
      </w:r>
      <w:r>
        <w:t>f the Order for Enforcement on the Act on Safety Assurance and Quality Improvement of Feed)</w:t>
      </w:r>
    </w:p>
    <w:p w:rsidR="005346D5" w:rsidRDefault="001C0494">
      <w:pPr>
        <w:pStyle w:val="enf3"/>
      </w:pPr>
      <w:r>
        <w:t>Article 17  When a prefectural governor, with delegated authority pursuant to the provisions of Article 7, paragraph (1) or paragraph (2) of the Enforcement Order o</w:t>
      </w:r>
      <w:r>
        <w:t xml:space="preserve">f the Act on Safety Assurance and Quality Improvement of Feed prior to the revision pursuant to the provisions of Article 34 before the enforcement of this Cabinet Order, has given instructions pursuant to the provisions of Article 9, paragraph (1) of the </w:t>
      </w:r>
      <w:r>
        <w:t>Act on Safety Assurance and Quality Improvement of Feed prior to the revision pursuant to the provisions of Article 270 of the Development Act, collected reports pursuant to the provisions of Article 20, paragraph (1) of the same Act, or conducted an on-si</w:t>
      </w:r>
      <w:r>
        <w:t xml:space="preserve">te inspection, questioning, or removal pursuant to the provisions of Article 21, paragraph (1) of the same Act, the provisions of Article 9, paragraph (2) and paragraph (6) of the Enforcement Order of the Act on Safety Assurance and Quality Improvement of </w:t>
      </w:r>
      <w:r>
        <w:t>Feed revised pursuant to the provisions of Article 34 does not apply.</w:t>
      </w:r>
    </w:p>
    <w:p w:rsidR="005346D5" w:rsidRDefault="005346D5"/>
    <w:p w:rsidR="005346D5" w:rsidRDefault="001C0494">
      <w:pPr>
        <w:pStyle w:val="en2"/>
      </w:pPr>
      <w:r>
        <w:t>Supplementary Provisions  [Cabinet Order No. 96 of March 24, 2000]</w:t>
      </w:r>
    </w:p>
    <w:p w:rsidR="005346D5" w:rsidRDefault="005346D5"/>
    <w:p w:rsidR="005346D5" w:rsidRDefault="001C0494">
      <w:pPr>
        <w:pStyle w:val="enf5"/>
      </w:pPr>
      <w:r>
        <w:t>This Cabinet Order comes into effect as of April 1, 2000.</w:t>
      </w:r>
    </w:p>
    <w:p w:rsidR="005346D5" w:rsidRDefault="005346D5"/>
    <w:p w:rsidR="005346D5" w:rsidRDefault="001C0494">
      <w:pPr>
        <w:pStyle w:val="en2"/>
      </w:pPr>
      <w:r>
        <w:t>Supplementary Provisions  [Cabinet Order No. 333 of June 7</w:t>
      </w:r>
      <w:r>
        <w:t>, 2000 Extract]  [Extract]</w:t>
      </w:r>
    </w:p>
    <w:p w:rsidR="005346D5" w:rsidRDefault="005346D5"/>
    <w:p w:rsidR="005346D5" w:rsidRDefault="001C0494">
      <w:pPr>
        <w:pStyle w:val="ena"/>
      </w:pPr>
      <w:r>
        <w:t>(Effective Date)</w:t>
      </w:r>
    </w:p>
    <w:p w:rsidR="005346D5" w:rsidRDefault="001C0494">
      <w:pPr>
        <w:pStyle w:val="enf4"/>
      </w:pPr>
      <w:r>
        <w:t>(1) This Cabinet Order (excluding Article 1) comes into effect as of April 1, 2001.</w:t>
      </w:r>
    </w:p>
    <w:p w:rsidR="005346D5" w:rsidRDefault="005346D5"/>
    <w:p w:rsidR="005346D5" w:rsidRDefault="001C0494">
      <w:pPr>
        <w:pStyle w:val="en2"/>
      </w:pPr>
      <w:r>
        <w:t>Supplementary Provisions  [Cabinet Order No. 237 of June 25, 2002]</w:t>
      </w:r>
    </w:p>
    <w:p w:rsidR="005346D5" w:rsidRDefault="005346D5"/>
    <w:p w:rsidR="005346D5" w:rsidRDefault="001C0494">
      <w:pPr>
        <w:pStyle w:val="enf5"/>
      </w:pPr>
      <w:r>
        <w:t xml:space="preserve">This Cabinet Order comes into effect as of the </w:t>
      </w:r>
      <w:r>
        <w:t>effective date of the Act on Special Measures against Bovine Spongiform Encephalopathy (July 4, 2002).</w:t>
      </w:r>
    </w:p>
    <w:p w:rsidR="005346D5" w:rsidRDefault="005346D5"/>
    <w:p w:rsidR="005346D5" w:rsidRDefault="001C0494">
      <w:pPr>
        <w:pStyle w:val="en2"/>
      </w:pPr>
      <w:r>
        <w:t>Supplementary Provisions  [Cabinet Order No. 271 of June 20, 2003 Extract]  [Extract]</w:t>
      </w:r>
    </w:p>
    <w:p w:rsidR="005346D5" w:rsidRDefault="005346D5"/>
    <w:p w:rsidR="005346D5" w:rsidRDefault="001C0494">
      <w:pPr>
        <w:pStyle w:val="ena"/>
      </w:pPr>
      <w:r>
        <w:t>(Effective Date)</w:t>
      </w:r>
    </w:p>
    <w:p w:rsidR="005346D5" w:rsidRDefault="001C0494">
      <w:pPr>
        <w:pStyle w:val="enf3"/>
      </w:pPr>
      <w:r>
        <w:t xml:space="preserve">Article 1  This Cabinet Order comes into effect </w:t>
      </w:r>
      <w:r>
        <w:t xml:space="preserve">as of the effective date (July 1, 2003) of the Act on the Partial Revision of the Act on the Safety Assurance and Quality Improvement of Feed (hereinafter referred to as the "revised Act") Act on the Partial Revision of the Act on the Safety Assurance and </w:t>
      </w:r>
      <w:r>
        <w:t>Quality Improvement of Feeds (hereinafter referred to as the "revised Act").</w:t>
      </w:r>
    </w:p>
    <w:p w:rsidR="005346D5" w:rsidRDefault="005346D5"/>
    <w:p w:rsidR="005346D5" w:rsidRDefault="001C0494">
      <w:pPr>
        <w:pStyle w:val="ena"/>
      </w:pPr>
      <w:r>
        <w:t>(Technical Replacement)</w:t>
      </w:r>
    </w:p>
    <w:p w:rsidR="005346D5" w:rsidRDefault="001C0494">
      <w:pPr>
        <w:pStyle w:val="enf3"/>
      </w:pPr>
      <w:r>
        <w:t>Article 2  (1) In the provisions of the Act on Safety Assurance and Quality Improvement of Feed prior to the revision by Article 1 of the revised Act (her</w:t>
      </w:r>
      <w:r>
        <w:t>einafter referred to as the "old Act") which remains in effect pursuant to the provisions of Article 7, paragraph (1) of the Supplementary Provisions of the revised Act, the terms and phrases listed in the middle column of the following table in the provis</w:t>
      </w:r>
      <w:r>
        <w:t>ions listed in the upper column of the table is replaced with the terms and phrases listed in the lower column of the same table.</w:t>
      </w:r>
    </w:p>
    <w:p w:rsidR="005346D5" w:rsidRDefault="005346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088"/>
        <w:gridCol w:w="4654"/>
      </w:tblGrid>
      <w:tr w:rsidR="005346D5">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 paragraph (1)</w:t>
            </w:r>
          </w:p>
        </w:tc>
        <w:tc>
          <w:tcPr>
            <w:tcW w:w="2088"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paragraph (1) of the relevant Article</w:t>
            </w:r>
          </w:p>
        </w:tc>
        <w:tc>
          <w:tcPr>
            <w:tcW w:w="4654"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Article 27, paragraph (1) of Act on the Safety </w:t>
            </w:r>
            <w:r>
              <w:t>Assurance and Quality Improvement of Feed (hereinafter referred to as the "new Act") after the revision pursuant to the provisions of Article 1 of the Act on Partial Revision of the Act on Safety Assurance and Quality Improvement of Feed (Act No. 74 of 200</w:t>
            </w:r>
            <w:r>
              <w:t>3; hereinafter referred to as the "revised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Paragraphs (2) and (3) of Article 5</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paragraph (1) of the preceding article</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27, paragraph (1) of the new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5-2, paragraph (1), item (i)</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paragraph (1) or paragraph (3) of the </w:t>
            </w:r>
            <w:r>
              <w:t>following Article</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28, paragraph (1) of the new Act or Article 28, paragraph (3) of the new Act applied by replacing the terms and phrases pursuant to the provision of Article 7, paragraph (3) of the Supplementary Provisions of the revised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w:t>
            </w:r>
            <w:r>
              <w:t>cle 5-2, paragraph (1), item (iii)</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20, paragraph (1)</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55, paragraph (1) of the new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5-2, paragraph (1), item (iv)</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21, paragraph (1) or Article 21-2, paragraph (1)</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Article 56, paragraph (1) or Article 57, paragraph (1) of </w:t>
            </w:r>
            <w:r>
              <w:t>the new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5-2, paragraph (2), item (iv)</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20, paragraph (1)</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55, paragraph (1) of the new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5-2, paragraph (2), item (v)</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21, paragraph (1) or Article 21-2, paragraph (1)</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56, paragraph (1) or Article 57, pa</w:t>
            </w:r>
            <w:r>
              <w:t>ragraph (1) of the new Act</w:t>
            </w:r>
          </w:p>
        </w:tc>
      </w:tr>
      <w:tr w:rsidR="005346D5">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24-3, paragraph (1)</w:t>
            </w:r>
          </w:p>
        </w:tc>
        <w:tc>
          <w:tcPr>
            <w:tcW w:w="2088"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Disposition under this Act</w:t>
            </w:r>
          </w:p>
        </w:tc>
        <w:tc>
          <w:tcPr>
            <w:tcW w:w="4654"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Disposition pursuant to the provisions of paragraph (1) or paragraph 2 of Article 5-2</w:t>
            </w:r>
          </w:p>
        </w:tc>
      </w:tr>
    </w:tbl>
    <w:p w:rsidR="005346D5" w:rsidRDefault="005346D5"/>
    <w:p w:rsidR="005346D5" w:rsidRDefault="001C0494">
      <w:pPr>
        <w:pStyle w:val="enf4"/>
      </w:pPr>
      <w:r>
        <w:t xml:space="preserve">(2) In the provisions of the old Act that remains in effect pursuant to the </w:t>
      </w:r>
      <w:r>
        <w:t>provisions of Article 7, paragraph (2) of the Supplementary Provisions of the revised Act, the terms and phrases listed in the middle column of the following table in the provisions listed in the upper column of the table is replaced with the terms and phr</w:t>
      </w:r>
      <w:r>
        <w:t>ases listed in the lower column of the same table.</w:t>
      </w:r>
    </w:p>
    <w:p w:rsidR="005346D5" w:rsidRDefault="005346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366"/>
        <w:gridCol w:w="4245"/>
      </w:tblGrid>
      <w:tr w:rsidR="005346D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7-2, paragraph (2)</w:t>
            </w:r>
          </w:p>
        </w:tc>
        <w:tc>
          <w:tcPr>
            <w:tcW w:w="2366"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4, paragraph (1)</w:t>
            </w:r>
          </w:p>
        </w:tc>
        <w:tc>
          <w:tcPr>
            <w:tcW w:w="4245"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27, paragraph (1) of the Act on Safety Assurance and Quality Improvement of Feed after the revision (hereinafter referred to as the "new Act") p</w:t>
            </w:r>
            <w:r>
              <w:t>ursuant to the provision of Article 1 of the Act on the Partial Revision of the Act on Safety Assurance and Quality Improvement of Feed (Act No. 74 of 2003; hereinafter referred to as the "revised Act").</w:t>
            </w:r>
          </w:p>
        </w:tc>
      </w:tr>
      <w:tr w:rsidR="005346D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7-3</w:t>
            </w:r>
          </w:p>
        </w:tc>
        <w:tc>
          <w:tcPr>
            <w:tcW w:w="2366"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Part of the services of the assay</w:t>
            </w:r>
          </w:p>
        </w:tc>
        <w:tc>
          <w:tcPr>
            <w:tcW w:w="4245"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Part </w:t>
            </w:r>
            <w:r>
              <w:t>of the services of the assay (including affixing a mark of conformity to the standard. The same applies hereinafter)</w:t>
            </w:r>
          </w:p>
        </w:tc>
      </w:tr>
      <w:tr w:rsidR="005346D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7-4</w:t>
            </w:r>
          </w:p>
        </w:tc>
        <w:tc>
          <w:tcPr>
            <w:tcW w:w="2366"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6, paragraph (3)</w:t>
            </w:r>
          </w:p>
        </w:tc>
        <w:tc>
          <w:tcPr>
            <w:tcW w:w="4245"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28, paragraph (3) of the new Act</w:t>
            </w:r>
          </w:p>
        </w:tc>
      </w:tr>
      <w:tr w:rsidR="005346D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7-5, paragraph (1), item (i)</w:t>
            </w:r>
          </w:p>
        </w:tc>
        <w:tc>
          <w:tcPr>
            <w:tcW w:w="2366"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Article 6, </w:t>
            </w:r>
            <w:r>
              <w:t>paragraph (1)</w:t>
            </w:r>
          </w:p>
        </w:tc>
        <w:tc>
          <w:tcPr>
            <w:tcW w:w="4245"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28, paragraph (1) of the new Act applied by replacing the terms and phrases pursuant to the provisions of Article 7, paragraph (3) of the Supplementary Provisions of the revised Act</w:t>
            </w:r>
          </w:p>
        </w:tc>
      </w:tr>
      <w:tr w:rsidR="005346D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7-5, paragraph (1), items (iii) and (iv), a</w:t>
            </w:r>
            <w:r>
              <w:t>nd paragraph (2), items (iv) and (v)</w:t>
            </w:r>
          </w:p>
        </w:tc>
        <w:tc>
          <w:tcPr>
            <w:tcW w:w="2366"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this Act</w:t>
            </w:r>
          </w:p>
        </w:tc>
        <w:tc>
          <w:tcPr>
            <w:tcW w:w="4245"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Provisions of Article 7-2 through Article 7-5</w:t>
            </w:r>
          </w:p>
        </w:tc>
      </w:tr>
      <w:tr w:rsidR="005346D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24-3, paragraph (1)</w:t>
            </w:r>
          </w:p>
        </w:tc>
        <w:tc>
          <w:tcPr>
            <w:tcW w:w="2366"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Disposition under this Act</w:t>
            </w:r>
          </w:p>
        </w:tc>
        <w:tc>
          <w:tcPr>
            <w:tcW w:w="4245"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Disposition under the provisions of Article 7-5, paragraph (1) or paragraph (2)</w:t>
            </w:r>
          </w:p>
        </w:tc>
      </w:tr>
    </w:tbl>
    <w:p w:rsidR="005346D5" w:rsidRDefault="005346D5"/>
    <w:p w:rsidR="005346D5" w:rsidRDefault="001C0494">
      <w:pPr>
        <w:pStyle w:val="enf4"/>
      </w:pPr>
      <w:r>
        <w:t>(3) In the provisions of t</w:t>
      </w:r>
      <w:r>
        <w:t>he old Act that remains in effect pursuant to the provisions of Article 7, paragraph (5) of the Supplementary Provisions of the revised Act, the terms and phrases listed in the middle column of the following table in the provisions listed in the upper colu</w:t>
      </w:r>
      <w:r>
        <w:t>mn of the table is replaced with the terms and phrases listed in the lower column of the same table.</w:t>
      </w:r>
    </w:p>
    <w:p w:rsidR="005346D5" w:rsidRDefault="005346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3949"/>
        <w:gridCol w:w="3419"/>
      </w:tblGrid>
      <w:tr w:rsidR="005346D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5, paragraph (2)</w:t>
            </w:r>
          </w:p>
        </w:tc>
        <w:tc>
          <w:tcPr>
            <w:tcW w:w="3949"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paragraph (1) of the preceding Article</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Article 27, paragraph (1) of the Act on the Safety Assurance and Quality </w:t>
            </w:r>
            <w:r>
              <w:t>Improvement of Feed (hereinafter referred to as the "new Act") after the revision pursuant to the provision of Article 1 of the Act on the Partial Revision of the Act on the Safety Assurance and Quality Improvement of Feed (Act No. 74 of 2003)</w:t>
            </w:r>
          </w:p>
        </w:tc>
      </w:tr>
      <w:tr w:rsidR="005346D5">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Article 5, </w:t>
            </w:r>
            <w:r>
              <w:t>paragraph (3)</w:t>
            </w:r>
          </w:p>
        </w:tc>
        <w:tc>
          <w:tcPr>
            <w:tcW w:w="3949"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paragraph (1) of the preceding Article</w:t>
            </w:r>
          </w:p>
        </w:tc>
        <w:tc>
          <w:tcPr>
            <w:tcW w:w="3419" w:type="dxa"/>
            <w:tcBorders>
              <w:bottom w:val="single" w:sz="4" w:space="0" w:color="auto"/>
              <w:right w:val="single" w:sz="4" w:space="0" w:color="auto"/>
            </w:tcBorders>
            <w:tcMar>
              <w:top w:w="0" w:type="dxa"/>
              <w:left w:w="108" w:type="dxa"/>
              <w:bottom w:w="0" w:type="dxa"/>
              <w:right w:w="108" w:type="dxa"/>
            </w:tcMar>
          </w:tcPr>
          <w:p w:rsidR="005346D5" w:rsidRDefault="001C0494">
            <w:pPr>
              <w:pStyle w:val="jaen"/>
            </w:pPr>
            <w:r>
              <w:t>Article 27, paragraph (1) of the nNew Act</w:t>
            </w:r>
          </w:p>
        </w:tc>
      </w:tr>
    </w:tbl>
    <w:p w:rsidR="005346D5" w:rsidRDefault="005346D5"/>
    <w:p w:rsidR="005346D5" w:rsidRDefault="001C0494">
      <w:pPr>
        <w:pStyle w:val="enf4"/>
      </w:pPr>
      <w:r>
        <w:t xml:space="preserve">(4) In the provisions of the former Act that remains in effect pursuant to the provisions of Article 7, paragraph (6) of the Supplementary Provisions of the </w:t>
      </w:r>
      <w:r>
        <w:t>revised Act, the terms and phrases listed in the middle column of the following table in the provisions listed in the upper column of the table is replaced with the terms and phrases listed in the lower column of the same table.</w:t>
      </w:r>
    </w:p>
    <w:p w:rsidR="005346D5" w:rsidRDefault="005346D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349"/>
        <w:gridCol w:w="3871"/>
      </w:tblGrid>
      <w:tr w:rsidR="005346D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Article 7-4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In paragraph (</w:t>
            </w:r>
            <w:r>
              <w:t>3) of the same Article</w:t>
            </w:r>
          </w:p>
        </w:tc>
        <w:tc>
          <w:tcPr>
            <w:tcW w:w="3871" w:type="dxa"/>
            <w:tcBorders>
              <w:top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In paragraphs (2) and (3) of the relevant Article, the term "paragraph (1) of the preceding Article" is replaced with "Article 27, paragraph (1) of the Act on Safety Assurance and Quality Improvement of Feed after the revision pursua</w:t>
            </w:r>
            <w:r>
              <w:t>nt to the provisions of Article 1 of the Act on Partial Revision of the Act on Safety Assurance and Quality Improvement of Feed (Act No. 74 of 2003)"; in that paragraph.</w:t>
            </w:r>
          </w:p>
        </w:tc>
      </w:tr>
    </w:tbl>
    <w:p w:rsidR="005346D5" w:rsidRDefault="005346D5"/>
    <w:p w:rsidR="005346D5" w:rsidRDefault="001C0494">
      <w:pPr>
        <w:pStyle w:val="en2"/>
      </w:pPr>
      <w:r>
        <w:t>Supplementary Provisions  [Cabinet Order No. 327 of October 27, 2004]</w:t>
      </w:r>
    </w:p>
    <w:p w:rsidR="005346D5" w:rsidRDefault="005346D5"/>
    <w:p w:rsidR="005346D5" w:rsidRDefault="001C0494">
      <w:pPr>
        <w:pStyle w:val="enf5"/>
      </w:pPr>
      <w:r>
        <w:t xml:space="preserve">This </w:t>
      </w:r>
      <w:r>
        <w:t>Cabinet Order comes into effect as of February 1, 2005.</w:t>
      </w:r>
    </w:p>
    <w:p w:rsidR="005346D5" w:rsidRDefault="005346D5"/>
    <w:p w:rsidR="005346D5" w:rsidRDefault="001C0494">
      <w:pPr>
        <w:pStyle w:val="en2"/>
      </w:pPr>
      <w:r>
        <w:t>Supplementary Provisions  [Cabinet Order No. 14 of February 1, 2006 Extract]  [Extract]</w:t>
      </w:r>
    </w:p>
    <w:p w:rsidR="005346D5" w:rsidRDefault="005346D5"/>
    <w:p w:rsidR="005346D5" w:rsidRDefault="001C0494">
      <w:pPr>
        <w:pStyle w:val="ena"/>
      </w:pPr>
      <w:r>
        <w:t>(Effective Date)</w:t>
      </w:r>
    </w:p>
    <w:p w:rsidR="005346D5" w:rsidRDefault="001C0494">
      <w:pPr>
        <w:pStyle w:val="enf3"/>
      </w:pPr>
      <w:r>
        <w:t>Article 1  This Cabinet Order comes into effect as of April 1, 2006.</w:t>
      </w:r>
    </w:p>
    <w:p w:rsidR="005346D5" w:rsidRDefault="005346D5"/>
    <w:p w:rsidR="005346D5" w:rsidRDefault="001C0494">
      <w:pPr>
        <w:pStyle w:val="en2"/>
      </w:pPr>
      <w:r>
        <w:t>Supplementary Provision</w:t>
      </w:r>
      <w:r>
        <w:t>s  [Cabinet Order No. 111 of March 30, 2007 Extract]  [Extract]</w:t>
      </w:r>
    </w:p>
    <w:p w:rsidR="005346D5" w:rsidRDefault="005346D5"/>
    <w:p w:rsidR="005346D5" w:rsidRDefault="001C0494">
      <w:pPr>
        <w:pStyle w:val="enf5"/>
      </w:pPr>
      <w:r>
        <w:t>This Cabinet Order comes into effect as of April 1, 2007.</w:t>
      </w:r>
    </w:p>
    <w:p w:rsidR="005346D5" w:rsidRDefault="005346D5"/>
    <w:p w:rsidR="005346D5" w:rsidRDefault="001C0494">
      <w:pPr>
        <w:pStyle w:val="en2"/>
      </w:pPr>
      <w:r>
        <w:t>Supplementary Provisions  [Cabinet Order No. 392 of November 26, 1952 Extract]  [Extract]</w:t>
      </w:r>
    </w:p>
    <w:p w:rsidR="005346D5" w:rsidRDefault="005346D5"/>
    <w:p w:rsidR="005346D5" w:rsidRDefault="001C0494">
      <w:pPr>
        <w:pStyle w:val="ena"/>
      </w:pPr>
      <w:r>
        <w:t>(Effective Date)</w:t>
      </w:r>
    </w:p>
    <w:p w:rsidR="005346D5" w:rsidRDefault="001C0494">
      <w:pPr>
        <w:pStyle w:val="enf3"/>
      </w:pPr>
      <w:r>
        <w:t xml:space="preserve">Article 1  This Cabinet </w:t>
      </w:r>
      <w:r>
        <w:t>Order comes into effect as of the effective date of the Administrative Appeal Act (April 1, 2008).</w:t>
      </w:r>
    </w:p>
    <w:p w:rsidR="005346D5" w:rsidRDefault="005346D5"/>
    <w:p w:rsidR="005346D5" w:rsidRDefault="001C0494">
      <w:pPr>
        <w:pStyle w:val="ena"/>
      </w:pPr>
      <w:r>
        <w:t>(Principle of Transitional Measures)</w:t>
      </w:r>
    </w:p>
    <w:p w:rsidR="005346D5" w:rsidRDefault="001C0494">
      <w:pPr>
        <w:pStyle w:val="enf3"/>
      </w:pPr>
      <w:r>
        <w:t>Article 2  With regard to appeals against dispositions or other acts or inaction, of administrative agencies, which per</w:t>
      </w:r>
      <w:r>
        <w:t>tain to dispositions or other acts of administrative agencies made prior to the enforcement of this Cabinet Order or to inactions of administrative agencies pertaining to applications filed prior to the enforcement of this Cabinet Order, the provisions the</w:t>
      </w:r>
      <w:r>
        <w:t>n in effect remains applicable, except as otherwise provided for in these Supplementary Provisions.</w:t>
      </w:r>
    </w:p>
    <w:p w:rsidR="005346D5" w:rsidRDefault="005346D5"/>
    <w:p w:rsidR="005346D5" w:rsidRDefault="001C0494">
      <w:pPr>
        <w:pStyle w:val="en2"/>
      </w:pPr>
      <w:r>
        <w:t>Supplementary Provisions  [Cabinet Order No. 146 of November 7, 2019]</w:t>
      </w:r>
    </w:p>
    <w:p w:rsidR="005346D5" w:rsidRDefault="005346D5"/>
    <w:p w:rsidR="005346D5" w:rsidRDefault="001C0494">
      <w:pPr>
        <w:pStyle w:val="enf5"/>
      </w:pPr>
      <w:r>
        <w:t>This Cabinet Order comes into effect as of December 1, 2020.</w:t>
      </w:r>
    </w:p>
    <w:p w:rsidR="005346D5" w:rsidRDefault="005346D5"/>
    <w:p w:rsidR="005346D5" w:rsidRDefault="001C0494">
      <w:pPr>
        <w:pStyle w:val="en8"/>
        <w:ind w:left="227" w:hanging="227"/>
      </w:pPr>
      <w:r>
        <w:t xml:space="preserve">Appended Table </w:t>
      </w:r>
      <w:r>
        <w:t>(Re: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7603"/>
      </w:tblGrid>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Persons Who Are Required to Pay</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Amount of Money</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 a person who intends to take a verification test set forth in Article 5, paragraph (1)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 a person who intends to take a verification test for groundnut oil cake</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50,800 yen </w:t>
            </w:r>
            <w:r>
              <w:t>per case</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(b) a person who intends to take a verification test for an antibacterial preparation</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52,900 yen per case</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(ii) a person who intends to obtain a registration under Article 7, paragraph (1), Article 21, paragraph (1), Article 27, paragraph (1), Ar</w:t>
            </w:r>
            <w:r>
              <w:t>ticle 29, paragraph (1) or Article 30, paragraph (1) of the Act or the renewal thereof, or a person who intends to obtain a registration of change under Article 13, paragraph (1) of the Act (including the cases as applied mutatis mutandis pursuant to Artic</w:t>
            </w:r>
            <w:r>
              <w:t>le 21, paragraph (3), Article 29, paragraph (3) and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 a person who intends to obtain the registration under Article 7,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(in the case where the </w:t>
            </w:r>
            <w:r>
              <w:t>application is accompanied by the document set forth in Article 10, paragraph (2) (including the case as applied mutatis mutandis pursuant to Article 11, paragraph (2) of the Act) of the Act, the amount obtained by multiplying 2,650 yen by the number of ca</w:t>
            </w:r>
            <w:r>
              <w:t>tegories of Ministry Order pertaining to the application) of 56,500 yen multiplied by the number of categories (hereinafter referred to as the "number of categories of Ministry Order") of specified feed, etc. specified by Order of the Ministry of Agricultu</w:t>
            </w:r>
            <w:r>
              <w:t>re, Forestry and Fisheries set forth in Article 7, paragraph (1) of the Act pertaining to the application and 106,200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(b) a person who intends to obtain a registration under Article 21,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(in the</w:t>
            </w:r>
            <w:r>
              <w:t xml:space="preserve"> case where the application is accompanied by a document set forth in Article 10, paragraph (2) (including the case as applied mutatis mutandis pursuant to Article 11, paragraph (2) of the Act as applied mutatis mutandis pursuant to Article 21, paragraph (</w:t>
            </w:r>
            <w:r>
              <w:t>3) of the Act) of the Act as applied mutatis mutandis pursuant to Article 21, paragraph (3) of the Act, the amount obtained by multiplying 2,650 yen by the number of categories of Ministry Order pertaining to the application) of 56,500 yen multiplied by th</w:t>
            </w:r>
            <w:r>
              <w:t>e number of categories of Ministry Order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(c) a person who intends to obtain a registration under Article 27,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addi</w:t>
            </w:r>
            <w:r>
              <w:t>ng 17,200 yen per place of business to 13,000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(d) a person who intends to obtain a registration under Article 29,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(in the case where the application is accompanied by a document set forth in Ar</w:t>
            </w:r>
            <w:r>
              <w:t xml:space="preserve">ticle 10, paragraph (2) of the Act (including the cases as applied the mutatis mutandis pursuant to Article 11, paragraph (2) as applied mutatis mutandis pursuant to Article 29, paragraph (3) of the Act) as applied mutatis mutandis pursuant to Article 29, </w:t>
            </w:r>
            <w:r>
              <w:t>paragraph (3) of the Act, the amount obtained by multiplying 2,650 yen by the designated number of categories pertaining to the application) of the amount obtained by multiplying 22,000 yen by the number of categories of feed (hereinafter referred to as th</w:t>
            </w:r>
            <w:r>
              <w:t>e "designated number of categories") designated by the Minister of Agriculture, Forestry and Fisheries set forth in Article 26, paragraph (1) of the Act pertaining to the application and 82,200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(e) a person who intends to obtain a registration under </w:t>
            </w:r>
            <w:r>
              <w:t>Article 30, paragraph (1) of the Act or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(in the case where the application is accompanied by a document set forth in Article 10, paragraph (2) of the Act (including the cases as applied mutatis mutandis pursuant to Article 11, </w:t>
            </w:r>
            <w:r>
              <w:t>paragraph (2) of the Act as applied mutatis mutandis pursuant to Article 30, paragraph (3) of the Act) as applied mutatis mutandis pursuant to Article 30, paragraph (3) of the Act, the amount of 2,650 multiplied by the number of designated categories perta</w:t>
            </w:r>
            <w:r>
              <w:t>ining to the application) of 22,000 yen multiplied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(f) a person who intends to obtain a registration under Article 13, paragraph (1) of the Act or</w:t>
            </w:r>
            <w:r>
              <w:t xml:space="preserve"> the renewal thereof.</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intends to obtain a registration of change pertaining to the particulars listed in Article 7, paragraph (2), item (iv)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11,600 yen multiplied by the number of categories of Ministry Order pertain</w:t>
            </w:r>
            <w:r>
              <w:t>ing to the application and 82,200 yen (in the case where the application is accompanied by a document set forth in Article 10, paragraph (2) of the Act as applied mutatis mutandis pursuant to Article 13, paragraph (3) of the Act, the sum of 2,650 yen multi</w:t>
            </w:r>
            <w:r>
              <w:t>plied by the number of categories of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obtain a registration of change pertaining to the particulars listed in Article 7, paragraph (2),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(in the case where</w:t>
            </w:r>
            <w:r>
              <w:t xml:space="preserve"> the application is accompanied by a document set forth in Article 10, paragraph (2) of the Act as applied mutatis mutandis pursuant to Article 13, paragraph (3) of the Act, the sum of 2,650 yen multiplied by the number of categories of Ministry Order pert</w:t>
            </w:r>
            <w:r>
              <w:t>aining to the application) of 11,600 yen multiplied by the number of categories of Ministry Order pertaining to the application and 82,200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3. a person who intends to obtain a registration of change pertaining to the particulars listed in </w:t>
            </w:r>
            <w:r>
              <w:t>Article 7, paragraph (2), item (vi)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11,600 yen multiplied by the number of categories of Ministry Order pertaining to the application and 82,200 yen (in the case where the application is accompanied by a document set forth in Article </w:t>
            </w:r>
            <w:r>
              <w:t>10, paragraph (2) of the Act as applied mutatis mutandis pursuant to Article 13, paragraph (3) of the Act, the sum of 2,650 yen multiplied by the number of categories of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obtain a re</w:t>
            </w:r>
            <w:r>
              <w:t>gistration of change pertaining to the specified feed, etc.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of 8,000 yen (in the case where the application is accompanied by a document set forth in Article 10, paragraph (2) of the Act as applied mutatis mutandis pursuant to A</w:t>
            </w:r>
            <w:r>
              <w:t>rticle 13, paragraph (3) of the Act, 2,650 yen) multiplied by the number of categories of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(g) a person who intends to obtain a registration of change under Article 13, paragraph (1) of the Act as applied mutat</w:t>
            </w:r>
            <w:r>
              <w: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intends to obtain a registration of change pertaining to the particulars listed in Article 7, paragraph (2), item (iv) of the Act as applied mutatis mutandis pursuant to Article</w:t>
            </w:r>
            <w:r>
              <w:t xml:space="preserv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11,600 yen multiplied by the number of categories of Ministry Order pertaining to the application and the amount prescribed in Article 4 (in the case where the application is accompanied by a document set forth in A</w:t>
            </w:r>
            <w:r>
              <w:t>rticle 10, paragraph (2) of the Act as applied mutatis mutandis pursuant to Article 13, paragraph (3) of the Act as applied mutatis mutandis pursuant to Article 21, paragraph (3) of the Act, the amount of 2,650 yen multiplied by the number of categories of</w:t>
            </w:r>
            <w:r>
              <w:t xml:space="preserve">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2. a person who intends to obtain a registration of change pertaining to the particulars listed in Article 7, paragraph (2), item (v) of the Act as applied mutatis mutandis pursuant to Article 21, paragraph </w:t>
            </w:r>
            <w:r>
              <w:t>(3)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11,600 yen multiplied by the number of categories of Ministry Order pertaining to the application and the amount prescribed in Article 4 (in the case where the application is accompanied by a document set forth in Article 10, </w:t>
            </w:r>
            <w:r>
              <w:t>paragraph (2) of the Act as applied mutatis mutandis pursuant to Article 13, paragraph (3) of the Act as applied mutatis mutandis pursuant to Article 21, paragraph (3) of the Act, the amount of 2,650 yen multiplied by the number of categories of Ministry O</w:t>
            </w:r>
            <w:r>
              <w:t>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 obtain a registration of change pertaining to the matters listed in Article 7, paragraph (2), item (vi)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11,600 yen multiplied by the number of categories of Ministry Order pertaining to the application and the amount prescribed in Article 4 (in the case where the application is accompanied by a document set forth in Article 10, paragraph (2) of t</w:t>
            </w:r>
            <w:r>
              <w:t>he Act as applied mutatis mutandis pursuant to Article 13, paragraph (3) of the Act as applied mutatis mutandis pursuant to Article 21, paragraph (3) of the Act, the amount of 2,650 yen multiplied by the number of categories of Ministry Order pertaining to</w:t>
            </w:r>
            <w:r>
              <w:t xml:space="preserve">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obtain a registration of change in the feed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of 8,000 yen (in the case where the application is accompanied by the document set forth in Article 10, paragraph (2) of the Act as appli</w:t>
            </w:r>
            <w:r>
              <w:t>ed mutatis mutandis pursuant to Article 13, paragraph (3) of the Act as applied mutatis mutandis pursuant to Article 21, paragraph (3) of the Act, 2,650 yen) multiplied by the number of categories of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(h) a per</w:t>
            </w:r>
            <w:r>
              <w:t>son who intends to obtain a registration of change under Article 13, paragraph (1)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1. a person who intends to obtain a registration of change pertaining to the </w:t>
            </w:r>
            <w:r>
              <w:t>matters listed in Article 7, paragraph (2), item (iv)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7,100 yen multiplied by the number of designated categories pertaining to the application and 82,200 y</w:t>
            </w:r>
            <w:r>
              <w:t xml:space="preserve">en (in the case where the application is accompanied by a document set forth in Article 10, paragraph (2) of the Act as applied mutatis mutandis pursuant to Article 13, paragraph (3) of the Act as applied mutatis mutandis pursuant to Article 29, paragraph </w:t>
            </w:r>
            <w:r>
              <w:t>(3) of the Act, the amount of 2,650 yen multiplied by the number of designated categories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2. a person who intends to obtain a registration of change pertaining to the matters listed in Article 7, paragraph (2), item (v) of </w:t>
            </w:r>
            <w:r>
              <w:t>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(in the case where the application is accompanied by a document set forth in Article 10, paragraph (2) of the Act as applied mutatis mutandis pursuant to Article </w:t>
            </w:r>
            <w:r>
              <w:t>13, paragraph (3) of the Act as applied mutatis mutandis pursuant to Article 29, paragraph (3) of the Act, the amount of 2,650 yen multiplied by the number of designated categories pertaining to the application) of 7,100 yen multiplied by the number of des</w:t>
            </w:r>
            <w:r>
              <w:t>ignated categories pertaining to the application and 82.200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 obtain a registration of change pertaining to the particulars listed in Article 7, paragraph (2), item (vi) of the Act as applied mutatis mutandis pursuant to Arti</w:t>
            </w:r>
            <w:r>
              <w:t>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(in the case where the application is accompanied by a document set forth in Article 10, paragraph (2) of the Act as applied mutatis mutandis pursuant to Article 13, paragraph (3) of the Act as applied mutatis muta</w:t>
            </w:r>
            <w:r>
              <w:t>ndis pursuant to Article 29, paragraph (3) of the Act, the amount of 2,650 yen multiplied by the number of designated categories pertaining to the application) of 7,100 yen multiplied by the number of designated categories pertaining to the application and</w:t>
            </w:r>
            <w:r>
              <w:t xml:space="preserve"> 82,200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aA person who wants to register a registration of change pertaining to the standardized feed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multiplying 5,800 yen (in the case where the application is accompanied by a document set forth in Article</w:t>
            </w:r>
            <w:r>
              <w:t xml:space="preserve"> 10, paragraph (2) of the Act as applied mutatis mutandis pursuant to Article 13, paragraph (3) of the Act as applied mutatis mutandis pursuant to Article 29, paragraph (3) of the Act, 2,650 yen) by the number of designated categories pertaining to the app</w:t>
            </w:r>
            <w:r>
              <w:t>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 a person who intends to obtain a registration of change under Article 13, paragraph (1)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intends to obtain a registration of change perta</w:t>
            </w:r>
            <w:r>
              <w:t>ining to the matters listed in Article 7, paragraph (2), item (iv)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(in the case where the application is accompanied by a document set forth in Article 10, para</w:t>
            </w:r>
            <w:r>
              <w:t>graph (2) of the Act as applied mutatis mutandis pursuant to Article 13, paragraph (3) of the Act as applied mutatis mutandis pursuant to Article 30, paragraph (3) of the Act, the amount obtained by multiplying 2,650 yen by the number of designated categor</w:t>
            </w:r>
            <w:r>
              <w:t>ies pertaining to the application) of the amount obtained by multiplying 7,100 yen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obtain a registration of change pert</w:t>
            </w:r>
            <w:r>
              <w:t>aining to the particulars listed in Article 7, paragraph (2), item (v)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(in the case where the application is accompanied by a document set forth in Article 10, </w:t>
            </w:r>
            <w:r>
              <w:t>paragraph (2) of the Act as applied mutatis mutandis pursuant to Article 13, paragraph (3) of the Act as applied mutatis mutandis pursuant to Article 30, paragraph (3) of the Act, the amount obtained by multiplying 2,650 yen by the number of designated cat</w:t>
            </w:r>
            <w:r>
              <w:t>egories pertaining to the application) of the amount obtained by multiplying 7,100 yen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3. a person who intends to obtain a registration of change </w:t>
            </w:r>
            <w:r>
              <w:t>pertaining to the particulars listed in Article 7, paragraph (2), item (vi)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(in the case where the application is accompanied by a document set forth in </w:t>
            </w:r>
            <w:r>
              <w:t>Article 10, paragraph (2) of the Act as applied mutatis mutandis pursuant to Article 13, paragraph (3) of the Act as applied mutatis mutandis pursuant to Article 30, paragraph (3) of the Act, the amount obtained by multiplying 2,650 yen by the number of de</w:t>
            </w:r>
            <w:r>
              <w:t>signated categories pertaining to the application) of the amount obtained by multiplying 7,100 yen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obtain a registratio</w:t>
            </w:r>
            <w:r>
              <w:t>n of change pertaining to the standardized feed inspection rules</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multiplying 5,800 yen (in the case where the application is accompanied by a document set forth in Article 10, paragraph (2) of the Act as applied mutatis mutandis purs</w:t>
            </w:r>
            <w:r>
              <w:t>uant to Article 13, paragraph (3) of the Act as applied mutatis mutandis pursuant to Article 30, paragraph (3) of the Act, 2,650 yen) by the number of designated categories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(iii) a person who intends to undergo an investigati</w:t>
            </w:r>
            <w:r>
              <w:t xml:space="preserve">on under paragraph (1) of Article 10 of the Act (including the cases as applied mutatis mutandis pursuant to Article 11, paragraph (2) of the Act (including the cases as applied mutatis mutandis pursuant to Article 21, paragraph (3), Article 29, paragraph </w:t>
            </w:r>
            <w:r>
              <w:t>(3) and Article 30, paragraph (3) of the Act), Article 13, paragraph (3) of the Act (including the cases where it is applied mutatis mutandis pursuant to Article 21, paragraph (3), Article 29, paragraph (3) and Article 30, paragraph (3) of the Act), Articl</w:t>
            </w:r>
            <w:r>
              <w:t>e 21, paragraph (3) of the Act, Article 29, paragraph (3) of the Act and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(a) a person who intends to undergo an investigation under Article 10, paragraph (1) of the Act (including the cases as applied mutatis mutand</w:t>
            </w:r>
            <w:r>
              <w:t>is pursuant to Article 11, paragraph (2)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57,100 yen multiplied by the number of categories of Ministry Order pertaining to the application and 67,800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(b) a person who intends to undergo an investigation under Article 10, paragr</w:t>
            </w:r>
            <w:r>
              <w:t>aph (1) of the Act as applied mutatis mutandis pursuant to Article 13,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intends to undergo an investigation pertaining to the particulars listed in Article 7, paragraph (2), item (iv)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10,000 </w:t>
            </w:r>
            <w:r>
              <w:t>yen multiplied by the number of categories of Ministry Order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undergo an investigation pertaining to the particulars listed in Article 7, paragraph (2),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w:t>
            </w:r>
            <w:r>
              <w:t>10,000 yen multiplied by the number of categories of Ministry Order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 undergo an investigation pertaining to the particulars listed in Article 7, paragraph (2), item (vi)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w:t>
            </w:r>
            <w:r>
              <w:t xml:space="preserve"> sum of 10,000 yen multiplied by the number of categories of Ministry Order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undergo an investigation pertaining to an inspection method listed in Article 9, item (v)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w:t>
            </w:r>
            <w:r>
              <w:t>amount obtained by multiplying 5,900 yen by the number of categories of Ministry Order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(c) a person who intends to undergo an investigation under Article 10, paragraph (1) of the Act as applied mutatis mutandis pursuant to Ar</w:t>
            </w:r>
            <w:r>
              <w:t>ticle 21, paragraph (3) of the Act (including the cases as applied mutatis mutandis pursuant to Article 11, paragraph (2)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57,100 yen multiplied by the numbe</w:t>
            </w:r>
            <w:r>
              <w:t>r of categories of Ministry Order pertaining to the application and the amounts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(d) a person who intends to undergo an investigation under Article 10, paragraph (1) of the Act as applied mutatis mutandis pursuant to Article 13, par</w:t>
            </w:r>
            <w:r>
              <w:t>agraph (3)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intends to undergo an investigation pertaining to the particulars listed in Article 7, paragraph (2), item (iv) of the Act as applied mutat</w:t>
            </w:r>
            <w:r>
              <w: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10,000 yen multiplied by the number of categories of Ministry Order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undergo an investig</w:t>
            </w:r>
            <w:r>
              <w:t>ation pertaining to the particulars listed in Article 7, paragraph (2), item (v)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10,000 yen multiplied by the number of categories of Ministry Order pertaini</w:t>
            </w:r>
            <w:r>
              <w:t>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 undergo an investigation pertaining to the particulars listed in Article 7, paragraph (2), item (vi) of the Act as applied mutatis mutandis pursuant to Article 21, par</w:t>
            </w:r>
            <w:r>
              <w:t>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10,000 yen multiplied by the number of Ministry Order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undergo an investigation pertaining to an inspection method u</w:t>
            </w:r>
            <w:r>
              <w:t>nder Article 9, item (v) of the Act as applied mutatis mutandis pursuant to Article 21,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multiplying 5,900 yen by the number of Ministry Order categories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(e) a person who intends</w:t>
            </w:r>
            <w:r>
              <w:t xml:space="preserve"> to undergo an investigation under Article 10, paragraph (1) of the Act as applied mutatis mutandis pursuant to Article 29, paragraph (3) of the Act (including the cases as applied mutatis mutandis pursuant to Article 11, paragraph (2) of the Act as applie</w:t>
            </w:r>
            <w:r>
              <w:t>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22,800 yen multiplied by the number of designated categories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(f) a person who intends to undergo an investigation under </w:t>
            </w:r>
            <w:r>
              <w:t>Article 10, paragraph (1) of the Act as applied mutatis mutandis pursuant to Article 13, paragraph (3)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1. a person who intends to undergo an investigation pertaining </w:t>
            </w:r>
            <w:r>
              <w:t>to the particulars listed in Article 7, paragraph (2), item (iv)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5,000 yen multiplied by the number of designated categories pertaining to the </w:t>
            </w:r>
            <w:r>
              <w:t>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undergo an investigation pertaining to the matters listed in Article 7, paragraph (2), item (v)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5,000 </w:t>
            </w:r>
            <w:r>
              <w:t>yen multiplied by the number of designated categories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 undergo an investigation pertaining to the particulars listed in Article 7, paragraph (2), item (vi) of the Act as applied mutati</w:t>
            </w:r>
            <w:r>
              <w:t>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5,000 yen multiplied by the number of designated categories pertaining to the application and 43,800 yen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undergo an investigation pertaining to an inspection</w:t>
            </w:r>
            <w:r>
              <w:t xml:space="preserve"> method under Article 9, item (v) of the Act as applied mutatis mutandis pursuant to Article 29,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multiplying 3,650 yen by the number of designated categories pertaining to the application</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(g) a person who in</w:t>
            </w:r>
            <w:r>
              <w:t>tends to undergo an investigation under Article 10, paragraph (1) of the Act as applied mutatis mutandis pursuant to Article 30, paragraph (3) of the Act (including the cases as applied mutatis mutandis pursuant to Article 11, paragraph (2) of the Act as a</w:t>
            </w:r>
            <w:r>
              <w:t>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the amount obtained by multiplying 22,800 yen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(h) a person who</w:t>
            </w:r>
            <w:r>
              <w:t xml:space="preserve"> intends to undergo an investigation under Article 10, paragraph (1) of the Act as applied mutatis mutandis pursuant to Article 13, paragraph (3)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5346D5">
            <w:pPr>
              <w:pStyle w:val="jaen"/>
            </w:pP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1. a person who inte</w:t>
            </w:r>
            <w:r>
              <w:t>nds to undergo an investigation pertaining to the matters listed in Article 7, paragraph (2), item (iv) of the Act as applied mutatis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 xml:space="preserve">The sum of the amount obtained by multiplying 5,000 yen by </w:t>
            </w:r>
            <w:r>
              <w:t>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2. a person who intends to undergo an investigation pertaining to the particulars listed in Article 7, paragraph (2), item (v) of the Act as applied m</w:t>
            </w:r>
            <w:r>
              <w:t>utatis mutandis pursuant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sum of the amount obtained by multiplying 5,000 yen by the number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right w:val="single" w:sz="4" w:space="0" w:color="auto"/>
            </w:tcBorders>
            <w:tcMar>
              <w:top w:w="0" w:type="dxa"/>
              <w:left w:w="108" w:type="dxa"/>
              <w:bottom w:w="0" w:type="dxa"/>
              <w:right w:w="108" w:type="dxa"/>
            </w:tcMar>
          </w:tcPr>
          <w:p w:rsidR="005346D5" w:rsidRDefault="001C0494">
            <w:pPr>
              <w:pStyle w:val="jaen"/>
            </w:pPr>
            <w:r>
              <w:t>3. a person who intends to</w:t>
            </w:r>
            <w:r>
              <w:t xml:space="preserve"> undergo an investigation pertaining to the particulars listed in Article 7, paragraph (2), item (vi) of the Act as applied mutatis mutandis pursuant to Article 30, paragraph (3) of the Act</w:t>
            </w:r>
          </w:p>
        </w:tc>
        <w:tc>
          <w:tcPr>
            <w:tcW w:w="7603" w:type="dxa"/>
            <w:tcBorders>
              <w:top w:val="single" w:sz="4" w:space="0" w:color="auto"/>
              <w:left w:val="single" w:sz="4" w:space="0" w:color="auto"/>
              <w:right w:val="single" w:sz="4" w:space="0" w:color="auto"/>
            </w:tcBorders>
            <w:tcMar>
              <w:top w:w="0" w:type="dxa"/>
              <w:left w:w="108" w:type="dxa"/>
              <w:bottom w:w="0" w:type="dxa"/>
              <w:right w:w="108" w:type="dxa"/>
            </w:tcMar>
          </w:tcPr>
          <w:p w:rsidR="005346D5" w:rsidRDefault="001C0494">
            <w:pPr>
              <w:pStyle w:val="jaen"/>
            </w:pPr>
            <w:r>
              <w:t>The sum of the amount obtained by multiplying 5,000 yen by the num</w:t>
            </w:r>
            <w:r>
              <w:t>ber of designated categories pertaining to the application and the amount prescribed in Article 4</w:t>
            </w:r>
          </w:p>
        </w:tc>
      </w:tr>
      <w:tr w:rsidR="005346D5">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4. a person who intends to undergo an investigation pertaining to an inspection method under Article 9, item (v) of the Act as applied mutatis mutandis pursu</w:t>
            </w:r>
            <w:r>
              <w:t>ant to Article 30, paragraph (3) of the Act</w:t>
            </w:r>
          </w:p>
        </w:tc>
        <w:tc>
          <w:tcPr>
            <w:tcW w:w="7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346D5" w:rsidRDefault="001C0494">
            <w:pPr>
              <w:pStyle w:val="jaen"/>
            </w:pPr>
            <w:r>
              <w:t>The amount obtained by multiplying 3,650 yen by the number of designated categories pertaining to the application</w:t>
            </w:r>
          </w:p>
        </w:tc>
      </w:tr>
      <w:tr w:rsidR="005346D5">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5346D5" w:rsidRDefault="001C0494">
            <w:pPr>
              <w:pStyle w:val="jaen"/>
            </w:pPr>
            <w:r>
              <w:t>Remarks</w:t>
            </w:r>
          </w:p>
        </w:tc>
      </w:tr>
      <w:tr w:rsidR="005346D5">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5346D5" w:rsidRDefault="001C0494">
            <w:pPr>
              <w:pStyle w:val="jaen"/>
            </w:pPr>
            <w:r>
              <w:t>(</w:t>
            </w:r>
            <w:r>
              <w:t>一</w:t>
            </w:r>
            <w:r>
              <w:t xml:space="preserve">) In the case where a person who intends to receive the registration of change </w:t>
            </w:r>
            <w:r>
              <w:t>pertaining to one of the matters (hereinafter referred to as "changed matters" in this (</w:t>
            </w:r>
            <w:r>
              <w:t>一</w:t>
            </w:r>
            <w:r>
              <w:t>)) specified in (1) through (3) of row (2)(f) or (1) through (3) of the same row (h)</w:t>
            </w:r>
          </w:p>
        </w:tc>
      </w:tr>
      <w:tr w:rsidR="005346D5">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5346D5" w:rsidRDefault="001C0494">
            <w:pPr>
              <w:pStyle w:val="jaen"/>
            </w:pPr>
            <w:r>
              <w:t>(</w:t>
            </w:r>
            <w:r>
              <w:t>二</w:t>
            </w:r>
            <w:r>
              <w:t>) In the case where a person who intends to receive a registration of change or</w:t>
            </w:r>
            <w:r>
              <w:t xml:space="preserve"> investigation pertaining to one of the particulars (hereinafter referred to as "changed particulars" in this (</w:t>
            </w:r>
            <w:r>
              <w:t>二</w:t>
            </w:r>
            <w:r>
              <w:t>)) specified in (1) through (3) of row (2)(g) or (1) through (3) of the same row (i), or (1) through (3) of row (3)(d) or (1) through (3) of the</w:t>
            </w:r>
            <w:r>
              <w:t xml:space="preserve"> same row (h) intends to receive a registration of change or investigation pertaining to other changed particulars at the same time, the amount of the fee for the registration of change or investigation pertaining to the relevent other changed particulars </w:t>
            </w:r>
            <w:r>
              <w:t>is the amount obtained by subtracting the amount specified in Article 4 from the amount specified in 1 through 3 of row 2 (g) or 1 through 3 of the same row (i), or 1 through 3 of row 3 (d) or 1 through 3 of the same row (h) respectively.</w:t>
            </w:r>
          </w:p>
        </w:tc>
      </w:tr>
      <w:tr w:rsidR="005346D5">
        <w:tblPrEx>
          <w:tblCellMar>
            <w:top w:w="0" w:type="dxa"/>
            <w:left w:w="0" w:type="dxa"/>
            <w:bottom w:w="0" w:type="dxa"/>
            <w:right w:w="0" w:type="dxa"/>
          </w:tblCellMar>
        </w:tblPrEx>
        <w:trPr>
          <w:cantSplit/>
        </w:trPr>
        <w:tc>
          <w:tcPr>
            <w:tcW w:w="8699" w:type="dxa"/>
            <w:gridSpan w:val="2"/>
            <w:tcMar>
              <w:top w:w="0" w:type="dxa"/>
              <w:left w:w="108" w:type="dxa"/>
              <w:bottom w:w="0" w:type="dxa"/>
              <w:right w:w="108" w:type="dxa"/>
            </w:tcMar>
          </w:tcPr>
          <w:p w:rsidR="005346D5" w:rsidRDefault="001C0494">
            <w:pPr>
              <w:pStyle w:val="jaen"/>
            </w:pPr>
            <w:r>
              <w:t>(</w:t>
            </w:r>
            <w:r>
              <w:t>三</w:t>
            </w:r>
            <w:r>
              <w:t xml:space="preserve">) In the case </w:t>
            </w:r>
            <w:r>
              <w:t>where a person who intends to receive the investigation pertaining to one of the particulars (hereinafter referred to as "changed particulars" in this (</w:t>
            </w:r>
            <w:r>
              <w:t>一</w:t>
            </w:r>
            <w:r>
              <w:t>)) specified in (1) through (3) of row (3)(b) or (1) through (3) of the same row (f) intends to receive</w:t>
            </w:r>
            <w:r>
              <w:t xml:space="preserve"> the investigation pertaining to other changed particulars at the same time, the amount of the fee for the investigation pertaining to the relevant other changed particulars is the amount obtained by subtracting 43,800 yen from the amount specified in 1 th</w:t>
            </w:r>
            <w:r>
              <w:t>rough 3 of row 3 (b) or 1 through 3 of the same row (f), respectively.</w:t>
            </w:r>
          </w:p>
        </w:tc>
      </w:tr>
    </w:tbl>
    <w:p w:rsidR="00000000" w:rsidRDefault="001C0494"/>
    <w:sectPr w:rsidR="00000000" w:rsidSect="005346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6D5" w:rsidRDefault="005346D5" w:rsidP="005346D5">
      <w:r>
        <w:separator/>
      </w:r>
    </w:p>
  </w:endnote>
  <w:endnote w:type="continuationSeparator" w:id="0">
    <w:p w:rsidR="005346D5" w:rsidRDefault="005346D5" w:rsidP="0053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6D5" w:rsidRDefault="005346D5">
    <w:pPr>
      <w:pStyle w:val="a3"/>
    </w:pPr>
    <w:r>
      <w:fldChar w:fldCharType="begin"/>
    </w:r>
    <w:r>
      <w:instrText xml:space="preserve"> PAGE  \* MERGEFORMAT </w:instrText>
    </w:r>
    <w:r>
      <w:fldChar w:fldCharType="separate"/>
    </w:r>
    <w:r w:rsidR="001C04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6D5" w:rsidRDefault="005346D5" w:rsidP="005346D5">
      <w:r>
        <w:separator/>
      </w:r>
    </w:p>
  </w:footnote>
  <w:footnote w:type="continuationSeparator" w:id="0">
    <w:p w:rsidR="005346D5" w:rsidRDefault="005346D5" w:rsidP="0053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4E3"/>
    <w:multiLevelType w:val="multilevel"/>
    <w:tmpl w:val="425630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44BB3"/>
    <w:multiLevelType w:val="multilevel"/>
    <w:tmpl w:val="B694B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8B0EA1"/>
    <w:multiLevelType w:val="multilevel"/>
    <w:tmpl w:val="F5C659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710B5"/>
    <w:multiLevelType w:val="multilevel"/>
    <w:tmpl w:val="3A703E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E0608"/>
    <w:multiLevelType w:val="multilevel"/>
    <w:tmpl w:val="1EC6D5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5B144A"/>
    <w:multiLevelType w:val="multilevel"/>
    <w:tmpl w:val="86A623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1D6682"/>
    <w:multiLevelType w:val="multilevel"/>
    <w:tmpl w:val="86EEC9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3718B0"/>
    <w:multiLevelType w:val="multilevel"/>
    <w:tmpl w:val="A82AD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E615F"/>
    <w:multiLevelType w:val="multilevel"/>
    <w:tmpl w:val="AD4484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FB2898"/>
    <w:multiLevelType w:val="multilevel"/>
    <w:tmpl w:val="2CE25B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E54C4"/>
    <w:multiLevelType w:val="multilevel"/>
    <w:tmpl w:val="31AC1C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752AE3"/>
    <w:multiLevelType w:val="multilevel"/>
    <w:tmpl w:val="EBFA76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884250"/>
    <w:multiLevelType w:val="multilevel"/>
    <w:tmpl w:val="802A5B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1731258">
    <w:abstractNumId w:val="5"/>
  </w:num>
  <w:num w:numId="2" w16cid:durableId="246230076">
    <w:abstractNumId w:val="12"/>
  </w:num>
  <w:num w:numId="3" w16cid:durableId="2013533395">
    <w:abstractNumId w:val="6"/>
  </w:num>
  <w:num w:numId="4" w16cid:durableId="779571416">
    <w:abstractNumId w:val="4"/>
  </w:num>
  <w:num w:numId="5" w16cid:durableId="812217073">
    <w:abstractNumId w:val="2"/>
  </w:num>
  <w:num w:numId="6" w16cid:durableId="414866573">
    <w:abstractNumId w:val="8"/>
  </w:num>
  <w:num w:numId="7" w16cid:durableId="1413625330">
    <w:abstractNumId w:val="9"/>
  </w:num>
  <w:num w:numId="8" w16cid:durableId="1317299057">
    <w:abstractNumId w:val="7"/>
  </w:num>
  <w:num w:numId="9" w16cid:durableId="469788584">
    <w:abstractNumId w:val="10"/>
  </w:num>
  <w:num w:numId="10" w16cid:durableId="101654729">
    <w:abstractNumId w:val="3"/>
  </w:num>
  <w:num w:numId="11" w16cid:durableId="1784349558">
    <w:abstractNumId w:val="1"/>
  </w:num>
  <w:num w:numId="12" w16cid:durableId="1624264831">
    <w:abstractNumId w:val="11"/>
  </w:num>
  <w:num w:numId="13" w16cid:durableId="130877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6D5"/>
    <w:rsid w:val="001C0494"/>
    <w:rsid w:val="005346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6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46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46D5"/>
    <w:rPr>
      <w:rFonts w:ascii="Century" w:eastAsia="Century" w:hAnsi="Century"/>
    </w:rPr>
  </w:style>
  <w:style w:type="paragraph" w:customStyle="1" w:styleId="ja0">
    <w:name w:val="款（ja）"/>
    <w:basedOn w:val="a"/>
    <w:rsid w:val="005346D5"/>
    <w:pPr>
      <w:widowControl w:val="0"/>
      <w:ind w:left="1321" w:hanging="221"/>
    </w:pPr>
    <w:rPr>
      <w:rFonts w:ascii="ＭＳ 明朝" w:eastAsia="ＭＳ 明朝" w:hAnsi="ＭＳ 明朝" w:cs="ＭＳ 明朝"/>
      <w:b/>
    </w:rPr>
  </w:style>
  <w:style w:type="paragraph" w:customStyle="1" w:styleId="en0">
    <w:name w:val="款（en）"/>
    <w:basedOn w:val="ja0"/>
    <w:rsid w:val="005346D5"/>
    <w:rPr>
      <w:rFonts w:ascii="Century" w:eastAsia="Century" w:hAnsi="Century" w:cs="Century"/>
    </w:rPr>
  </w:style>
  <w:style w:type="paragraph" w:customStyle="1" w:styleId="ja1">
    <w:name w:val="前文（ja）"/>
    <w:basedOn w:val="a"/>
    <w:rsid w:val="005346D5"/>
    <w:pPr>
      <w:widowControl w:val="0"/>
      <w:ind w:firstLine="219"/>
    </w:pPr>
    <w:rPr>
      <w:rFonts w:ascii="ＭＳ 明朝" w:eastAsia="ＭＳ 明朝" w:hAnsi="ＭＳ 明朝" w:cs="ＭＳ 明朝"/>
    </w:rPr>
  </w:style>
  <w:style w:type="paragraph" w:customStyle="1" w:styleId="en1">
    <w:name w:val="前文（en）"/>
    <w:basedOn w:val="ja1"/>
    <w:rsid w:val="005346D5"/>
    <w:rPr>
      <w:rFonts w:ascii="Century" w:eastAsia="Century" w:hAnsi="Century" w:cs="Century"/>
    </w:rPr>
  </w:style>
  <w:style w:type="paragraph" w:customStyle="1" w:styleId="ja2">
    <w:name w:val="附則（ja）"/>
    <w:basedOn w:val="a"/>
    <w:rsid w:val="005346D5"/>
    <w:pPr>
      <w:widowControl w:val="0"/>
      <w:ind w:left="881" w:hanging="221"/>
    </w:pPr>
    <w:rPr>
      <w:rFonts w:ascii="ＭＳ 明朝" w:eastAsia="ＭＳ 明朝" w:hAnsi="ＭＳ 明朝" w:cs="ＭＳ 明朝"/>
      <w:b/>
    </w:rPr>
  </w:style>
  <w:style w:type="paragraph" w:customStyle="1" w:styleId="en2">
    <w:name w:val="附則（en）"/>
    <w:basedOn w:val="ja2"/>
    <w:rsid w:val="005346D5"/>
    <w:rPr>
      <w:rFonts w:ascii="Century" w:hAnsi="Century" w:cs="Century"/>
    </w:rPr>
  </w:style>
  <w:style w:type="paragraph" w:customStyle="1" w:styleId="ja3">
    <w:name w:val="章（ja）"/>
    <w:basedOn w:val="a"/>
    <w:rsid w:val="005346D5"/>
    <w:pPr>
      <w:widowControl w:val="0"/>
      <w:ind w:left="881" w:hanging="221"/>
    </w:pPr>
    <w:rPr>
      <w:rFonts w:ascii="ＭＳ 明朝" w:eastAsia="ＭＳ 明朝" w:hAnsi="ＭＳ 明朝" w:cs="ＭＳ 明朝"/>
      <w:b/>
    </w:rPr>
  </w:style>
  <w:style w:type="paragraph" w:customStyle="1" w:styleId="en3">
    <w:name w:val="章（en）"/>
    <w:basedOn w:val="ja3"/>
    <w:rsid w:val="005346D5"/>
    <w:rPr>
      <w:rFonts w:ascii="Century" w:eastAsia="Century" w:hAnsi="Century" w:cs="Century"/>
    </w:rPr>
  </w:style>
  <w:style w:type="paragraph" w:customStyle="1" w:styleId="ja4">
    <w:name w:val="目次編（ja）"/>
    <w:basedOn w:val="a"/>
    <w:rsid w:val="005346D5"/>
    <w:pPr>
      <w:widowControl w:val="0"/>
      <w:ind w:left="219" w:hanging="219"/>
    </w:pPr>
    <w:rPr>
      <w:rFonts w:ascii="ＭＳ 明朝" w:eastAsia="ＭＳ 明朝" w:hAnsi="ＭＳ 明朝"/>
    </w:rPr>
  </w:style>
  <w:style w:type="paragraph" w:customStyle="1" w:styleId="en4">
    <w:name w:val="目次編（en）"/>
    <w:basedOn w:val="ja4"/>
    <w:rsid w:val="005346D5"/>
    <w:rPr>
      <w:rFonts w:ascii="Century" w:eastAsia="Century" w:hAnsi="Century"/>
    </w:rPr>
  </w:style>
  <w:style w:type="paragraph" w:customStyle="1" w:styleId="ja5">
    <w:name w:val="目次章（ja）"/>
    <w:basedOn w:val="a"/>
    <w:rsid w:val="005346D5"/>
    <w:pPr>
      <w:widowControl w:val="0"/>
      <w:ind w:left="439" w:hanging="219"/>
    </w:pPr>
    <w:rPr>
      <w:rFonts w:ascii="ＭＳ 明朝" w:eastAsia="ＭＳ 明朝" w:hAnsi="ＭＳ 明朝"/>
    </w:rPr>
  </w:style>
  <w:style w:type="paragraph" w:customStyle="1" w:styleId="en5">
    <w:name w:val="目次章（en）"/>
    <w:basedOn w:val="ja5"/>
    <w:rsid w:val="005346D5"/>
    <w:rPr>
      <w:rFonts w:ascii="Century" w:eastAsia="Century" w:hAnsi="Century"/>
    </w:rPr>
  </w:style>
  <w:style w:type="paragraph" w:customStyle="1" w:styleId="ja6">
    <w:name w:val="目次節（ja）"/>
    <w:basedOn w:val="a"/>
    <w:rsid w:val="005346D5"/>
    <w:pPr>
      <w:widowControl w:val="0"/>
      <w:ind w:left="659" w:hanging="219"/>
    </w:pPr>
    <w:rPr>
      <w:rFonts w:ascii="ＭＳ 明朝" w:eastAsia="ＭＳ 明朝" w:hAnsi="ＭＳ 明朝"/>
    </w:rPr>
  </w:style>
  <w:style w:type="paragraph" w:customStyle="1" w:styleId="en6">
    <w:name w:val="目次節（en）"/>
    <w:basedOn w:val="ja6"/>
    <w:rsid w:val="005346D5"/>
    <w:rPr>
      <w:rFonts w:ascii="Century" w:eastAsia="Century" w:hAnsi="Century"/>
    </w:rPr>
  </w:style>
  <w:style w:type="paragraph" w:customStyle="1" w:styleId="ja7">
    <w:name w:val="目次款（ja）"/>
    <w:basedOn w:val="a"/>
    <w:rsid w:val="005346D5"/>
    <w:pPr>
      <w:widowControl w:val="0"/>
      <w:ind w:left="879" w:hanging="219"/>
    </w:pPr>
    <w:rPr>
      <w:rFonts w:ascii="ＭＳ 明朝" w:eastAsia="ＭＳ 明朝" w:hAnsi="ＭＳ 明朝" w:cs="Kochi Mincho"/>
    </w:rPr>
  </w:style>
  <w:style w:type="paragraph" w:customStyle="1" w:styleId="en7">
    <w:name w:val="目次款（en）"/>
    <w:basedOn w:val="ja7"/>
    <w:rsid w:val="005346D5"/>
    <w:rPr>
      <w:rFonts w:ascii="Century" w:eastAsia="Century" w:hAnsi="Century"/>
    </w:rPr>
  </w:style>
  <w:style w:type="paragraph" w:customStyle="1" w:styleId="ja8">
    <w:name w:val="別表名（ja）"/>
    <w:basedOn w:val="a"/>
    <w:rsid w:val="005346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46D5"/>
    <w:rPr>
      <w:rFonts w:ascii="Century" w:eastAsia="Century" w:hAnsi="Century" w:cs="Century"/>
    </w:rPr>
  </w:style>
  <w:style w:type="paragraph" w:customStyle="1" w:styleId="ja9">
    <w:name w:val="目（ja）"/>
    <w:basedOn w:val="a"/>
    <w:rsid w:val="005346D5"/>
    <w:pPr>
      <w:widowControl w:val="0"/>
      <w:ind w:left="1541" w:hanging="221"/>
    </w:pPr>
    <w:rPr>
      <w:rFonts w:ascii="ＭＳ 明朝" w:eastAsia="ＭＳ 明朝" w:hAnsi="ＭＳ 明朝" w:cs="ＭＳ 明朝"/>
      <w:b/>
    </w:rPr>
  </w:style>
  <w:style w:type="paragraph" w:customStyle="1" w:styleId="en9">
    <w:name w:val="目（en）"/>
    <w:basedOn w:val="ja9"/>
    <w:rsid w:val="005346D5"/>
    <w:rPr>
      <w:rFonts w:ascii="Century" w:eastAsia="Century" w:hAnsi="Century" w:cs="Century"/>
    </w:rPr>
  </w:style>
  <w:style w:type="paragraph" w:customStyle="1" w:styleId="jaa">
    <w:name w:val="見出し（ja）"/>
    <w:basedOn w:val="a"/>
    <w:rsid w:val="005346D5"/>
    <w:pPr>
      <w:widowControl w:val="0"/>
      <w:ind w:left="439" w:hanging="219"/>
    </w:pPr>
    <w:rPr>
      <w:rFonts w:ascii="ＭＳ 明朝" w:eastAsia="ＭＳ 明朝" w:hAnsi="ＭＳ 明朝" w:cs="ＭＳ 明朝"/>
    </w:rPr>
  </w:style>
  <w:style w:type="paragraph" w:customStyle="1" w:styleId="ena">
    <w:name w:val="見出し（en）"/>
    <w:basedOn w:val="jaa"/>
    <w:rsid w:val="005346D5"/>
    <w:rPr>
      <w:rFonts w:ascii="Century" w:eastAsia="Century" w:hAnsi="Century" w:cs="Century"/>
    </w:rPr>
  </w:style>
  <w:style w:type="paragraph" w:styleId="a3">
    <w:name w:val="footer"/>
    <w:basedOn w:val="a"/>
    <w:rsid w:val="005346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46D5"/>
    <w:pPr>
      <w:widowControl w:val="0"/>
      <w:ind w:left="1099" w:hanging="219"/>
    </w:pPr>
    <w:rPr>
      <w:rFonts w:ascii="ＭＳ 明朝" w:eastAsia="ＭＳ 明朝" w:hAnsi="ＭＳ 明朝" w:cs="Kochi Mincho"/>
    </w:rPr>
  </w:style>
  <w:style w:type="paragraph" w:customStyle="1" w:styleId="enb">
    <w:name w:val="目次目（en）"/>
    <w:basedOn w:val="jab"/>
    <w:rsid w:val="005346D5"/>
    <w:rPr>
      <w:rFonts w:ascii="Century" w:eastAsia="Century" w:hAnsi="Century"/>
    </w:rPr>
  </w:style>
  <w:style w:type="paragraph" w:customStyle="1" w:styleId="jac">
    <w:name w:val="目次附則（ja）"/>
    <w:basedOn w:val="a"/>
    <w:rsid w:val="005346D5"/>
    <w:pPr>
      <w:widowControl w:val="0"/>
      <w:ind w:left="439" w:hanging="219"/>
    </w:pPr>
    <w:rPr>
      <w:rFonts w:ascii="ＭＳ 明朝" w:eastAsia="ＭＳ 明朝" w:hAnsi="ＭＳ 明朝" w:cs="Kochi Mincho"/>
    </w:rPr>
  </w:style>
  <w:style w:type="paragraph" w:customStyle="1" w:styleId="enc">
    <w:name w:val="目次附則（en）"/>
    <w:basedOn w:val="jac"/>
    <w:rsid w:val="005346D5"/>
    <w:rPr>
      <w:rFonts w:ascii="Century" w:eastAsia="Century" w:hAnsi="Century" w:cs="Century"/>
    </w:rPr>
  </w:style>
  <w:style w:type="paragraph" w:customStyle="1" w:styleId="jad">
    <w:name w:val="目次前文（ja）"/>
    <w:basedOn w:val="jac"/>
    <w:rsid w:val="005346D5"/>
  </w:style>
  <w:style w:type="paragraph" w:customStyle="1" w:styleId="end">
    <w:name w:val="目次前文（en）"/>
    <w:basedOn w:val="enc"/>
    <w:rsid w:val="005346D5"/>
  </w:style>
  <w:style w:type="paragraph" w:customStyle="1" w:styleId="jae">
    <w:name w:val="制定文（ja）"/>
    <w:basedOn w:val="a"/>
    <w:rsid w:val="005346D5"/>
    <w:pPr>
      <w:widowControl w:val="0"/>
      <w:ind w:firstLine="219"/>
    </w:pPr>
    <w:rPr>
      <w:rFonts w:ascii="ＭＳ 明朝" w:eastAsia="ＭＳ 明朝" w:hAnsi="ＭＳ 明朝" w:cs="ＭＳ 明朝"/>
    </w:rPr>
  </w:style>
  <w:style w:type="paragraph" w:customStyle="1" w:styleId="ene">
    <w:name w:val="制定文（en）"/>
    <w:basedOn w:val="jae"/>
    <w:rsid w:val="005346D5"/>
    <w:rPr>
      <w:rFonts w:ascii="Century" w:eastAsia="Century" w:hAnsi="Century" w:cs="Century"/>
    </w:rPr>
  </w:style>
  <w:style w:type="paragraph" w:customStyle="1" w:styleId="jaf">
    <w:name w:val="法令番号（ja）"/>
    <w:basedOn w:val="a"/>
    <w:rsid w:val="005346D5"/>
    <w:pPr>
      <w:widowControl w:val="0"/>
      <w:jc w:val="right"/>
    </w:pPr>
    <w:rPr>
      <w:rFonts w:ascii="ＭＳ 明朝" w:eastAsia="ＭＳ 明朝" w:hAnsi="ＭＳ 明朝" w:cs="Kochi Mincho"/>
    </w:rPr>
  </w:style>
  <w:style w:type="paragraph" w:customStyle="1" w:styleId="enf">
    <w:name w:val="法令番号（en）"/>
    <w:basedOn w:val="jaf"/>
    <w:rsid w:val="005346D5"/>
    <w:rPr>
      <w:rFonts w:ascii="Century" w:eastAsia="Century" w:hAnsi="Century" w:cs="Century"/>
    </w:rPr>
  </w:style>
  <w:style w:type="paragraph" w:customStyle="1" w:styleId="jaf0">
    <w:name w:val="目次（ja）"/>
    <w:basedOn w:val="a"/>
    <w:rsid w:val="005346D5"/>
    <w:rPr>
      <w:rFonts w:ascii="ＭＳ 明朝" w:eastAsia="ＭＳ 明朝" w:hAnsi="ＭＳ 明朝"/>
    </w:rPr>
  </w:style>
  <w:style w:type="paragraph" w:customStyle="1" w:styleId="enf0">
    <w:name w:val="目次（en）"/>
    <w:basedOn w:val="jaf0"/>
    <w:rsid w:val="005346D5"/>
    <w:rPr>
      <w:rFonts w:ascii="Century" w:eastAsia="Century" w:hAnsi="Century"/>
    </w:rPr>
  </w:style>
  <w:style w:type="paragraph" w:customStyle="1" w:styleId="jaf1">
    <w:name w:val="編（ja）"/>
    <w:basedOn w:val="a"/>
    <w:rsid w:val="005346D5"/>
    <w:pPr>
      <w:widowControl w:val="0"/>
      <w:ind w:left="661" w:hanging="221"/>
    </w:pPr>
    <w:rPr>
      <w:rFonts w:ascii="ＭＳ 明朝" w:eastAsia="ＭＳ 明朝" w:hAnsi="ＭＳ 明朝" w:cs="ＭＳ 明朝"/>
      <w:b/>
    </w:rPr>
  </w:style>
  <w:style w:type="paragraph" w:customStyle="1" w:styleId="enf1">
    <w:name w:val="編（en）"/>
    <w:basedOn w:val="jaf1"/>
    <w:rsid w:val="005346D5"/>
    <w:rPr>
      <w:rFonts w:ascii="Century" w:eastAsia="Century" w:hAnsi="Century" w:cs="Century"/>
    </w:rPr>
  </w:style>
  <w:style w:type="paragraph" w:customStyle="1" w:styleId="jaf2">
    <w:name w:val="節（ja）"/>
    <w:basedOn w:val="a"/>
    <w:rsid w:val="005346D5"/>
    <w:pPr>
      <w:widowControl w:val="0"/>
      <w:ind w:left="1101" w:hanging="221"/>
    </w:pPr>
    <w:rPr>
      <w:rFonts w:ascii="ＭＳ 明朝" w:eastAsia="ＭＳ 明朝" w:hAnsi="ＭＳ 明朝" w:cs="ＭＳ 明朝"/>
      <w:b/>
    </w:rPr>
  </w:style>
  <w:style w:type="paragraph" w:customStyle="1" w:styleId="enf2">
    <w:name w:val="節（en）"/>
    <w:basedOn w:val="jaf2"/>
    <w:rsid w:val="005346D5"/>
    <w:rPr>
      <w:rFonts w:ascii="Century" w:eastAsia="Century" w:hAnsi="Century" w:cs="Century"/>
    </w:rPr>
  </w:style>
  <w:style w:type="paragraph" w:customStyle="1" w:styleId="jaf3">
    <w:name w:val="条（ja）"/>
    <w:basedOn w:val="a"/>
    <w:rsid w:val="005346D5"/>
    <w:pPr>
      <w:widowControl w:val="0"/>
      <w:ind w:left="219" w:hanging="219"/>
    </w:pPr>
    <w:rPr>
      <w:rFonts w:ascii="ＭＳ 明朝" w:eastAsia="ＭＳ 明朝" w:hAnsi="ＭＳ 明朝" w:cs="ＭＳ 明朝"/>
    </w:rPr>
  </w:style>
  <w:style w:type="paragraph" w:customStyle="1" w:styleId="enf3">
    <w:name w:val="条（en）"/>
    <w:basedOn w:val="jaf3"/>
    <w:rsid w:val="005346D5"/>
    <w:rPr>
      <w:rFonts w:ascii="Century" w:eastAsia="Century" w:hAnsi="Century" w:cs="Century"/>
    </w:rPr>
  </w:style>
  <w:style w:type="paragraph" w:customStyle="1" w:styleId="jaf4">
    <w:name w:val="項（ja）"/>
    <w:basedOn w:val="a"/>
    <w:rsid w:val="005346D5"/>
    <w:pPr>
      <w:widowControl w:val="0"/>
      <w:ind w:left="219" w:hanging="219"/>
    </w:pPr>
    <w:rPr>
      <w:rFonts w:ascii="ＭＳ 明朝" w:eastAsia="ＭＳ 明朝" w:hAnsi="ＭＳ 明朝" w:cs="ＭＳ 明朝"/>
    </w:rPr>
  </w:style>
  <w:style w:type="paragraph" w:customStyle="1" w:styleId="enf4">
    <w:name w:val="項（en）"/>
    <w:basedOn w:val="jaf4"/>
    <w:rsid w:val="005346D5"/>
    <w:rPr>
      <w:rFonts w:ascii="Century" w:eastAsia="Century" w:hAnsi="Century" w:cs="Century"/>
    </w:rPr>
  </w:style>
  <w:style w:type="paragraph" w:customStyle="1" w:styleId="jaf5">
    <w:name w:val="項　番号なし（ja）"/>
    <w:basedOn w:val="a"/>
    <w:rsid w:val="005346D5"/>
    <w:pPr>
      <w:widowControl w:val="0"/>
      <w:ind w:firstLine="221"/>
    </w:pPr>
    <w:rPr>
      <w:rFonts w:ascii="ＭＳ 明朝" w:eastAsia="ＭＳ 明朝" w:hAnsi="ＭＳ 明朝" w:cs="ＭＳ 明朝"/>
    </w:rPr>
  </w:style>
  <w:style w:type="paragraph" w:customStyle="1" w:styleId="enf5">
    <w:name w:val="項　番号なし（en）"/>
    <w:basedOn w:val="jaf5"/>
    <w:rsid w:val="005346D5"/>
    <w:rPr>
      <w:rFonts w:ascii="Century" w:eastAsia="Century" w:hAnsi="Century" w:cs="Century"/>
    </w:rPr>
  </w:style>
  <w:style w:type="paragraph" w:customStyle="1" w:styleId="jaf6">
    <w:name w:val="号（ja）"/>
    <w:basedOn w:val="a"/>
    <w:rsid w:val="005346D5"/>
    <w:pPr>
      <w:widowControl w:val="0"/>
      <w:ind w:left="439" w:hanging="219"/>
    </w:pPr>
    <w:rPr>
      <w:rFonts w:ascii="ＭＳ 明朝" w:eastAsia="ＭＳ 明朝" w:hAnsi="ＭＳ 明朝" w:cs="ＭＳ 明朝"/>
    </w:rPr>
  </w:style>
  <w:style w:type="paragraph" w:customStyle="1" w:styleId="enf6">
    <w:name w:val="号（en）"/>
    <w:basedOn w:val="jaf6"/>
    <w:rsid w:val="005346D5"/>
    <w:rPr>
      <w:rFonts w:ascii="Century" w:eastAsia="Century" w:hAnsi="Century" w:cs="Century"/>
    </w:rPr>
  </w:style>
  <w:style w:type="paragraph" w:customStyle="1" w:styleId="jaf7">
    <w:name w:val="号　番号なし（ja）"/>
    <w:basedOn w:val="a"/>
    <w:rsid w:val="005346D5"/>
    <w:pPr>
      <w:widowControl w:val="0"/>
      <w:ind w:left="221" w:firstLine="221"/>
    </w:pPr>
    <w:rPr>
      <w:rFonts w:ascii="ＭＳ 明朝" w:eastAsia="ＭＳ 明朝" w:hAnsi="ＭＳ 明朝" w:cs="ＭＳ 明朝"/>
    </w:rPr>
  </w:style>
  <w:style w:type="paragraph" w:customStyle="1" w:styleId="enf7">
    <w:name w:val="号　番号なし（en）"/>
    <w:basedOn w:val="jaf7"/>
    <w:rsid w:val="005346D5"/>
    <w:rPr>
      <w:rFonts w:ascii="Century" w:eastAsia="Century" w:hAnsi="Century" w:cs="Century"/>
    </w:rPr>
  </w:style>
  <w:style w:type="paragraph" w:customStyle="1" w:styleId="jaf8">
    <w:name w:val="備考号（ja）"/>
    <w:basedOn w:val="a"/>
    <w:rsid w:val="005346D5"/>
    <w:pPr>
      <w:widowControl w:val="0"/>
      <w:ind w:left="659" w:hanging="219"/>
    </w:pPr>
    <w:rPr>
      <w:rFonts w:ascii="ＭＳ 明朝" w:eastAsia="ＭＳ 明朝" w:hAnsi="ＭＳ 明朝" w:cs="ＭＳ 明朝"/>
    </w:rPr>
  </w:style>
  <w:style w:type="paragraph" w:customStyle="1" w:styleId="enf8">
    <w:name w:val="備考号（en）"/>
    <w:basedOn w:val="jaf8"/>
    <w:rsid w:val="005346D5"/>
    <w:rPr>
      <w:rFonts w:ascii="Century" w:eastAsia="Century" w:hAnsi="Century" w:cs="Century"/>
    </w:rPr>
  </w:style>
  <w:style w:type="paragraph" w:customStyle="1" w:styleId="jaf9">
    <w:name w:val="号細分（ja）"/>
    <w:basedOn w:val="a"/>
    <w:rsid w:val="005346D5"/>
    <w:pPr>
      <w:widowControl w:val="0"/>
      <w:ind w:left="659" w:hanging="219"/>
    </w:pPr>
    <w:rPr>
      <w:rFonts w:ascii="ＭＳ 明朝" w:eastAsia="ＭＳ 明朝" w:hAnsi="ＭＳ 明朝" w:cs="ＭＳ 明朝"/>
    </w:rPr>
  </w:style>
  <w:style w:type="paragraph" w:customStyle="1" w:styleId="enf9">
    <w:name w:val="号細分（en）"/>
    <w:basedOn w:val="jaf9"/>
    <w:rsid w:val="005346D5"/>
    <w:rPr>
      <w:rFonts w:ascii="Century" w:eastAsia="Century" w:hAnsi="Century" w:cs="Century"/>
    </w:rPr>
  </w:style>
  <w:style w:type="paragraph" w:customStyle="1" w:styleId="jafa">
    <w:name w:val="号細分　番号なし（ja）"/>
    <w:basedOn w:val="a"/>
    <w:rsid w:val="005346D5"/>
    <w:pPr>
      <w:widowControl w:val="0"/>
      <w:ind w:left="439"/>
    </w:pPr>
    <w:rPr>
      <w:rFonts w:ascii="ＭＳ 明朝" w:eastAsia="ＭＳ 明朝" w:hAnsi="ＭＳ 明朝" w:cs="ＭＳ 明朝"/>
    </w:rPr>
  </w:style>
  <w:style w:type="paragraph" w:customStyle="1" w:styleId="enfa">
    <w:name w:val="号細分　番号なし（en）"/>
    <w:basedOn w:val="jafa"/>
    <w:rsid w:val="005346D5"/>
    <w:rPr>
      <w:rFonts w:ascii="Century" w:eastAsia="Century" w:hAnsi="Century" w:cs="Century"/>
    </w:rPr>
  </w:style>
  <w:style w:type="paragraph" w:customStyle="1" w:styleId="jafb">
    <w:name w:val="備考号細分（ja）"/>
    <w:basedOn w:val="a"/>
    <w:rsid w:val="005346D5"/>
    <w:pPr>
      <w:widowControl w:val="0"/>
      <w:ind w:left="1099" w:hanging="439"/>
    </w:pPr>
    <w:rPr>
      <w:rFonts w:ascii="ＭＳ 明朝" w:eastAsia="ＭＳ 明朝" w:hAnsi="ＭＳ 明朝" w:cs="ＭＳ 明朝"/>
    </w:rPr>
  </w:style>
  <w:style w:type="paragraph" w:customStyle="1" w:styleId="enfb">
    <w:name w:val="備考号細分（en）"/>
    <w:basedOn w:val="jafb"/>
    <w:rsid w:val="005346D5"/>
    <w:rPr>
      <w:rFonts w:ascii="Century" w:eastAsia="Century" w:hAnsi="Century" w:cs="Century"/>
    </w:rPr>
  </w:style>
  <w:style w:type="paragraph" w:customStyle="1" w:styleId="jafc">
    <w:name w:val="号細細分（ja）"/>
    <w:basedOn w:val="a"/>
    <w:rsid w:val="005346D5"/>
    <w:pPr>
      <w:widowControl w:val="0"/>
      <w:ind w:left="1099" w:hanging="439"/>
    </w:pPr>
    <w:rPr>
      <w:rFonts w:ascii="ＭＳ 明朝" w:eastAsia="ＭＳ 明朝" w:hAnsi="ＭＳ 明朝" w:cs="ＭＳ 明朝"/>
    </w:rPr>
  </w:style>
  <w:style w:type="paragraph" w:customStyle="1" w:styleId="enfc">
    <w:name w:val="号細細分（en）"/>
    <w:basedOn w:val="jafc"/>
    <w:rsid w:val="005346D5"/>
    <w:rPr>
      <w:rFonts w:ascii="Century" w:eastAsia="Century" w:hAnsi="Century" w:cs="Century"/>
    </w:rPr>
  </w:style>
  <w:style w:type="paragraph" w:customStyle="1" w:styleId="jafd">
    <w:name w:val="号細細分　番号なし（ja）"/>
    <w:basedOn w:val="a"/>
    <w:rsid w:val="005346D5"/>
    <w:pPr>
      <w:widowControl w:val="0"/>
      <w:ind w:left="659"/>
    </w:pPr>
    <w:rPr>
      <w:rFonts w:ascii="ＭＳ 明朝" w:eastAsia="ＭＳ 明朝" w:hAnsi="ＭＳ 明朝" w:cs="ＭＳ 明朝"/>
    </w:rPr>
  </w:style>
  <w:style w:type="paragraph" w:customStyle="1" w:styleId="enfd">
    <w:name w:val="号細細分　番号なし（en）"/>
    <w:basedOn w:val="jafd"/>
    <w:rsid w:val="005346D5"/>
    <w:rPr>
      <w:rFonts w:ascii="Century" w:eastAsia="Century" w:hAnsi="Century" w:cs="Century"/>
    </w:rPr>
  </w:style>
  <w:style w:type="paragraph" w:customStyle="1" w:styleId="jafe">
    <w:name w:val="備考号細細分（ja）"/>
    <w:basedOn w:val="a"/>
    <w:rsid w:val="005346D5"/>
    <w:pPr>
      <w:widowControl w:val="0"/>
      <w:ind w:left="1319" w:hanging="439"/>
    </w:pPr>
    <w:rPr>
      <w:rFonts w:ascii="ＭＳ 明朝" w:eastAsia="ＭＳ 明朝" w:hAnsi="ＭＳ 明朝" w:cs="ＭＳ 明朝"/>
    </w:rPr>
  </w:style>
  <w:style w:type="paragraph" w:customStyle="1" w:styleId="enfe">
    <w:name w:val="備考号細細分（en）"/>
    <w:basedOn w:val="jafe"/>
    <w:rsid w:val="005346D5"/>
    <w:rPr>
      <w:rFonts w:ascii="Century" w:eastAsia="Century" w:hAnsi="Century" w:cs="Century"/>
    </w:rPr>
  </w:style>
  <w:style w:type="paragraph" w:customStyle="1" w:styleId="jaff">
    <w:name w:val="号細細細分（ja）"/>
    <w:basedOn w:val="a"/>
    <w:rsid w:val="005346D5"/>
    <w:pPr>
      <w:widowControl w:val="0"/>
      <w:ind w:left="1319" w:hanging="439"/>
    </w:pPr>
    <w:rPr>
      <w:rFonts w:ascii="ＭＳ 明朝" w:eastAsia="ＭＳ 明朝" w:hAnsi="ＭＳ 明朝" w:cs="ＭＳ 明朝"/>
    </w:rPr>
  </w:style>
  <w:style w:type="paragraph" w:customStyle="1" w:styleId="enff">
    <w:name w:val="号細細細分（en）"/>
    <w:basedOn w:val="jaff"/>
    <w:rsid w:val="005346D5"/>
    <w:rPr>
      <w:rFonts w:ascii="Century" w:eastAsia="Century" w:hAnsi="Century" w:cs="Century"/>
    </w:rPr>
  </w:style>
  <w:style w:type="paragraph" w:customStyle="1" w:styleId="jaff0">
    <w:name w:val="号細細細分　番号なし（ja）"/>
    <w:basedOn w:val="a"/>
    <w:rsid w:val="005346D5"/>
    <w:pPr>
      <w:widowControl w:val="0"/>
      <w:ind w:left="879"/>
    </w:pPr>
    <w:rPr>
      <w:rFonts w:ascii="ＭＳ 明朝" w:eastAsia="ＭＳ 明朝" w:hAnsi="ＭＳ 明朝" w:cs="ＭＳ 明朝"/>
    </w:rPr>
  </w:style>
  <w:style w:type="paragraph" w:customStyle="1" w:styleId="enff0">
    <w:name w:val="号細細細分　番号なし（en）"/>
    <w:basedOn w:val="jaff0"/>
    <w:rsid w:val="005346D5"/>
    <w:rPr>
      <w:rFonts w:ascii="Century" w:eastAsia="Century" w:hAnsi="Century" w:cs="Century"/>
    </w:rPr>
  </w:style>
  <w:style w:type="paragraph" w:customStyle="1" w:styleId="jaff1">
    <w:name w:val="備考号細細細分（ja）"/>
    <w:basedOn w:val="a"/>
    <w:rsid w:val="005346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46D5"/>
    <w:rPr>
      <w:rFonts w:ascii="Century" w:eastAsia="Century" w:hAnsi="Century" w:cs="Century"/>
    </w:rPr>
  </w:style>
  <w:style w:type="paragraph" w:customStyle="1" w:styleId="jaff2">
    <w:name w:val="類（ja）"/>
    <w:basedOn w:val="a"/>
    <w:rsid w:val="005346D5"/>
    <w:pPr>
      <w:widowControl w:val="0"/>
      <w:ind w:left="439" w:hanging="219"/>
    </w:pPr>
    <w:rPr>
      <w:rFonts w:ascii="ＭＳ 明朝" w:eastAsia="ＭＳ 明朝" w:hAnsi="ＭＳ 明朝" w:cs="ＭＳ 明朝"/>
    </w:rPr>
  </w:style>
  <w:style w:type="paragraph" w:customStyle="1" w:styleId="enff2">
    <w:name w:val="類（en）"/>
    <w:basedOn w:val="jaff2"/>
    <w:rsid w:val="005346D5"/>
    <w:rPr>
      <w:rFonts w:ascii="Century" w:eastAsia="Century" w:hAnsi="Century" w:cs="Century"/>
    </w:rPr>
  </w:style>
  <w:style w:type="paragraph" w:customStyle="1" w:styleId="jaff3">
    <w:name w:val="公布文（ja）"/>
    <w:basedOn w:val="a"/>
    <w:rsid w:val="005346D5"/>
    <w:pPr>
      <w:widowControl w:val="0"/>
      <w:ind w:firstLine="219"/>
    </w:pPr>
    <w:rPr>
      <w:rFonts w:ascii="ＭＳ 明朝" w:eastAsia="ＭＳ 明朝" w:hAnsi="ＭＳ 明朝" w:cs="ＭＳ 明朝"/>
    </w:rPr>
  </w:style>
  <w:style w:type="paragraph" w:customStyle="1" w:styleId="enff3">
    <w:name w:val="公布文（en）"/>
    <w:basedOn w:val="jaff3"/>
    <w:rsid w:val="005346D5"/>
    <w:rPr>
      <w:rFonts w:ascii="Century" w:eastAsia="Century" w:hAnsi="Century" w:cs="Century"/>
    </w:rPr>
  </w:style>
  <w:style w:type="paragraph" w:customStyle="1" w:styleId="jaen">
    <w:name w:val="表（ja：en）"/>
    <w:basedOn w:val="a"/>
    <w:rsid w:val="005346D5"/>
    <w:pPr>
      <w:widowControl w:val="0"/>
      <w:snapToGrid w:val="0"/>
    </w:pPr>
    <w:rPr>
      <w:rFonts w:ascii="Century" w:eastAsia="ＭＳ 明朝" w:hAnsi="Century"/>
    </w:rPr>
  </w:style>
  <w:style w:type="paragraph" w:customStyle="1" w:styleId="jaff4">
    <w:name w:val="備考（ja）"/>
    <w:basedOn w:val="a"/>
    <w:rsid w:val="005346D5"/>
    <w:pPr>
      <w:widowControl w:val="0"/>
      <w:ind w:left="439" w:hanging="219"/>
    </w:pPr>
    <w:rPr>
      <w:rFonts w:ascii="ＭＳ 明朝" w:eastAsia="ＭＳ 明朝" w:hAnsi="ＭＳ 明朝" w:cs="ＭＳ 明朝"/>
    </w:rPr>
  </w:style>
  <w:style w:type="paragraph" w:customStyle="1" w:styleId="enff4">
    <w:name w:val="備考（en）"/>
    <w:basedOn w:val="jaff4"/>
    <w:rsid w:val="005346D5"/>
    <w:rPr>
      <w:rFonts w:ascii="Century" w:eastAsia="Century" w:hAnsi="Century" w:cs="Century"/>
    </w:rPr>
  </w:style>
  <w:style w:type="paragraph" w:customStyle="1" w:styleId="jaff5">
    <w:name w:val="表タイトル（ja）"/>
    <w:basedOn w:val="a"/>
    <w:rsid w:val="005346D5"/>
    <w:pPr>
      <w:widowControl w:val="0"/>
      <w:ind w:left="219"/>
    </w:pPr>
    <w:rPr>
      <w:rFonts w:ascii="ＭＳ 明朝" w:eastAsia="ＭＳ 明朝" w:hAnsi="ＭＳ 明朝" w:cs="ＭＳ 明朝"/>
    </w:rPr>
  </w:style>
  <w:style w:type="paragraph" w:customStyle="1" w:styleId="enff5">
    <w:name w:val="表タイトル（en）"/>
    <w:basedOn w:val="jaff5"/>
    <w:rsid w:val="005346D5"/>
    <w:rPr>
      <w:rFonts w:ascii="Century" w:eastAsia="Century" w:hAnsi="Century" w:cs="Century"/>
    </w:rPr>
  </w:style>
  <w:style w:type="paragraph" w:customStyle="1" w:styleId="jaff6">
    <w:name w:val="改正規定文（ja）"/>
    <w:basedOn w:val="a"/>
    <w:rsid w:val="005346D5"/>
    <w:pPr>
      <w:widowControl w:val="0"/>
      <w:ind w:left="219" w:firstLine="219"/>
    </w:pPr>
    <w:rPr>
      <w:rFonts w:ascii="ＭＳ 明朝" w:eastAsia="ＭＳ 明朝" w:hAnsi="ＭＳ 明朝" w:cs="ＭＳ 明朝"/>
    </w:rPr>
  </w:style>
  <w:style w:type="paragraph" w:customStyle="1" w:styleId="enff6">
    <w:name w:val="改正規定文（en）"/>
    <w:basedOn w:val="jaff6"/>
    <w:rsid w:val="005346D5"/>
    <w:rPr>
      <w:rFonts w:ascii="Century" w:eastAsia="Century" w:hAnsi="Century" w:cs="Century"/>
    </w:rPr>
  </w:style>
  <w:style w:type="paragraph" w:customStyle="1" w:styleId="jaff7">
    <w:name w:val="付記（ja）"/>
    <w:basedOn w:val="a"/>
    <w:rsid w:val="005346D5"/>
    <w:pPr>
      <w:widowControl w:val="0"/>
      <w:ind w:left="219" w:firstLine="219"/>
    </w:pPr>
    <w:rPr>
      <w:rFonts w:ascii="ＭＳ 明朝" w:eastAsia="ＭＳ 明朝" w:hAnsi="ＭＳ 明朝" w:cs="ＭＳ 明朝"/>
    </w:rPr>
  </w:style>
  <w:style w:type="paragraph" w:customStyle="1" w:styleId="enff7">
    <w:name w:val="付記（en）"/>
    <w:basedOn w:val="jaff7"/>
    <w:rsid w:val="005346D5"/>
    <w:rPr>
      <w:rFonts w:ascii="Century" w:eastAsia="Century" w:hAnsi="Century" w:cs="Century"/>
    </w:rPr>
  </w:style>
  <w:style w:type="paragraph" w:customStyle="1" w:styleId="jaff8">
    <w:name w:val="様式名（ja）"/>
    <w:basedOn w:val="a"/>
    <w:rsid w:val="005346D5"/>
    <w:pPr>
      <w:widowControl w:val="0"/>
      <w:ind w:left="439" w:hanging="219"/>
    </w:pPr>
    <w:rPr>
      <w:rFonts w:ascii="ＭＳ 明朝" w:eastAsia="ＭＳ 明朝" w:hAnsi="ＭＳ 明朝" w:cs="ＭＳ 明朝"/>
    </w:rPr>
  </w:style>
  <w:style w:type="paragraph" w:customStyle="1" w:styleId="enff8">
    <w:name w:val="様式名（en）"/>
    <w:basedOn w:val="jaff8"/>
    <w:rsid w:val="005346D5"/>
    <w:rPr>
      <w:rFonts w:ascii="Century" w:eastAsia="Century" w:hAnsi="Century" w:cs="Century"/>
    </w:rPr>
  </w:style>
  <w:style w:type="paragraph" w:customStyle="1" w:styleId="jaff9">
    <w:name w:val="様式項目（ja）"/>
    <w:basedOn w:val="a"/>
    <w:rsid w:val="005346D5"/>
    <w:pPr>
      <w:widowControl w:val="0"/>
      <w:ind w:left="221" w:firstLine="221"/>
    </w:pPr>
    <w:rPr>
      <w:rFonts w:ascii="ＭＳ 明朝" w:eastAsia="ＭＳ 明朝" w:hAnsi="ＭＳ 明朝" w:cs="ＭＳ 明朝"/>
    </w:rPr>
  </w:style>
  <w:style w:type="paragraph" w:customStyle="1" w:styleId="enff9">
    <w:name w:val="様式項目（en）"/>
    <w:basedOn w:val="jaff9"/>
    <w:rsid w:val="005346D5"/>
    <w:rPr>
      <w:rFonts w:ascii="Century" w:eastAsia="Century" w:hAnsi="Century" w:cs="Century"/>
    </w:rPr>
  </w:style>
  <w:style w:type="table" w:customStyle="1" w:styleId="1">
    <w:name w:val="表1"/>
    <w:rsid w:val="005346D5"/>
    <w:tblPr>
      <w:tblInd w:w="340" w:type="dxa"/>
      <w:tblCellMar>
        <w:top w:w="0" w:type="dxa"/>
        <w:left w:w="0" w:type="dxa"/>
        <w:bottom w:w="0" w:type="dxa"/>
        <w:right w:w="0" w:type="dxa"/>
      </w:tblCellMar>
    </w:tblPr>
  </w:style>
  <w:style w:type="numbering" w:customStyle="1" w:styleId="WW8Num1">
    <w:name w:val="WW8Num1"/>
    <w:rsid w:val="005346D5"/>
    <w:pPr>
      <w:numPr>
        <w:numId w:val="2"/>
      </w:numPr>
    </w:pPr>
  </w:style>
  <w:style w:type="numbering" w:customStyle="1" w:styleId="WW8Num2">
    <w:name w:val="WW8Num2"/>
    <w:rsid w:val="005346D5"/>
    <w:pPr>
      <w:numPr>
        <w:numId w:val="3"/>
      </w:numPr>
    </w:pPr>
  </w:style>
  <w:style w:type="numbering" w:customStyle="1" w:styleId="WW8Num3">
    <w:name w:val="WW8Num3"/>
    <w:rsid w:val="005346D5"/>
    <w:pPr>
      <w:numPr>
        <w:numId w:val="4"/>
      </w:numPr>
    </w:pPr>
  </w:style>
  <w:style w:type="numbering" w:customStyle="1" w:styleId="WW8Num4">
    <w:name w:val="WW8Num4"/>
    <w:rsid w:val="005346D5"/>
    <w:pPr>
      <w:numPr>
        <w:numId w:val="5"/>
      </w:numPr>
    </w:pPr>
  </w:style>
  <w:style w:type="numbering" w:customStyle="1" w:styleId="WW8Num5">
    <w:name w:val="WW8Num5"/>
    <w:rsid w:val="005346D5"/>
    <w:pPr>
      <w:numPr>
        <w:numId w:val="6"/>
      </w:numPr>
    </w:pPr>
  </w:style>
  <w:style w:type="numbering" w:customStyle="1" w:styleId="WW8Num6">
    <w:name w:val="WW8Num6"/>
    <w:rsid w:val="005346D5"/>
    <w:pPr>
      <w:numPr>
        <w:numId w:val="7"/>
      </w:numPr>
    </w:pPr>
  </w:style>
  <w:style w:type="numbering" w:customStyle="1" w:styleId="WW8Num7">
    <w:name w:val="WW8Num7"/>
    <w:rsid w:val="005346D5"/>
    <w:pPr>
      <w:numPr>
        <w:numId w:val="8"/>
      </w:numPr>
    </w:pPr>
  </w:style>
  <w:style w:type="numbering" w:customStyle="1" w:styleId="WW8Num8">
    <w:name w:val="WW8Num8"/>
    <w:rsid w:val="005346D5"/>
    <w:pPr>
      <w:numPr>
        <w:numId w:val="9"/>
      </w:numPr>
    </w:pPr>
  </w:style>
  <w:style w:type="numbering" w:customStyle="1" w:styleId="WW8Num9">
    <w:name w:val="WW8Num9"/>
    <w:rsid w:val="005346D5"/>
    <w:pPr>
      <w:numPr>
        <w:numId w:val="10"/>
      </w:numPr>
    </w:pPr>
  </w:style>
  <w:style w:type="numbering" w:customStyle="1" w:styleId="WW8Num10">
    <w:name w:val="WW8Num10"/>
    <w:rsid w:val="005346D5"/>
    <w:pPr>
      <w:numPr>
        <w:numId w:val="11"/>
      </w:numPr>
    </w:pPr>
  </w:style>
  <w:style w:type="numbering" w:customStyle="1" w:styleId="WW8Num11">
    <w:name w:val="WW8Num11"/>
    <w:rsid w:val="005346D5"/>
    <w:pPr>
      <w:numPr>
        <w:numId w:val="12"/>
      </w:numPr>
    </w:pPr>
  </w:style>
  <w:style w:type="numbering" w:customStyle="1" w:styleId="WW8Num12">
    <w:name w:val="WW8Num12"/>
    <w:rsid w:val="005346D5"/>
    <w:pPr>
      <w:numPr>
        <w:numId w:val="13"/>
      </w:numPr>
    </w:pPr>
  </w:style>
  <w:style w:type="paragraph" w:styleId="a4">
    <w:name w:val="header"/>
    <w:basedOn w:val="a"/>
    <w:link w:val="a5"/>
    <w:uiPriority w:val="99"/>
    <w:unhideWhenUsed/>
    <w:rsid w:val="001C0494"/>
    <w:pPr>
      <w:tabs>
        <w:tab w:val="center" w:pos="4252"/>
        <w:tab w:val="right" w:pos="8504"/>
      </w:tabs>
      <w:snapToGrid w:val="0"/>
    </w:pPr>
  </w:style>
  <w:style w:type="character" w:customStyle="1" w:styleId="a5">
    <w:name w:val="ヘッダー (文字)"/>
    <w:basedOn w:val="a0"/>
    <w:link w:val="a4"/>
    <w:uiPriority w:val="99"/>
    <w:rsid w:val="001C04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7502</Words>
  <Characters>42768</Characters>
  <Application>Microsoft Office Word</Application>
  <DocSecurity>0</DocSecurity>
  <Lines>356</Lines>
  <Paragraphs>100</Paragraphs>
  <ScaleCrop>false</ScaleCrop>
  <Company/>
  <LinksUpToDate>false</LinksUpToDate>
  <CharactersWithSpaces>50170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2022-09-13T02:25:00Z</dcterms:created>
  <dcterms:modified xsi:type="dcterms:W3CDTF">2022-09-13T02:25:00Z</dcterms:modified>
</cp:coreProperties>
</file>