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170" w:rsidRDefault="006B52E8">
      <w:pPr>
        <w:pStyle w:val="en"/>
      </w:pPr>
      <w:r>
        <w:t>Order for Enforcement of the Consumer Product Safety Act</w:t>
      </w:r>
    </w:p>
    <w:p w:rsidR="001E6170" w:rsidRDefault="001E6170"/>
    <w:p w:rsidR="001E6170" w:rsidRDefault="006B52E8">
      <w:pPr>
        <w:pStyle w:val="enf"/>
      </w:pPr>
      <w:r>
        <w:t>(Cabinet Order No. 48 of March 5, 1974)</w:t>
      </w:r>
    </w:p>
    <w:p w:rsidR="001E6170" w:rsidRDefault="001E6170"/>
    <w:p w:rsidR="001E6170" w:rsidRDefault="006B52E8">
      <w:pPr>
        <w:pStyle w:val="ene"/>
      </w:pPr>
      <w:r>
        <w:t xml:space="preserve">The Cabinet enacts this Cabinet Order pursuant to the provisions of Article 2, paragraph (2), Article 3, Article 25, paragraph (1), Article 64, </w:t>
      </w:r>
      <w:r>
        <w:t>paragraph (3), Article 82, Article 83, Article 94, Article 95, paragraph (1), item (iii), and paragraph (2), Article 96, and item (ix) of the Appended Table of the Consumer Product Safety Act (Act No. 31 of 1973).</w:t>
      </w:r>
    </w:p>
    <w:p w:rsidR="001E6170" w:rsidRDefault="001E6170"/>
    <w:p w:rsidR="001E6170" w:rsidRDefault="006B52E8">
      <w:pPr>
        <w:pStyle w:val="ena"/>
      </w:pPr>
      <w:r>
        <w:t>(Specified Products)</w:t>
      </w:r>
    </w:p>
    <w:p w:rsidR="001E6170" w:rsidRDefault="006B52E8">
      <w:pPr>
        <w:pStyle w:val="enf3"/>
      </w:pPr>
      <w:r>
        <w:t>Article 1  The speci</w:t>
      </w:r>
      <w:r>
        <w:t>fied products referred to in Article 2, paragraph (2) of the Consumer Product Safety Act (hereinafter referred to as the "Act") are as listed in the Appended Table 1.</w:t>
      </w:r>
    </w:p>
    <w:p w:rsidR="001E6170" w:rsidRDefault="001E6170"/>
    <w:p w:rsidR="001E6170" w:rsidRDefault="006B52E8">
      <w:pPr>
        <w:pStyle w:val="ena"/>
      </w:pPr>
      <w:r>
        <w:t>(Special Specified Products)</w:t>
      </w:r>
    </w:p>
    <w:p w:rsidR="001E6170" w:rsidRDefault="006B52E8">
      <w:pPr>
        <w:pStyle w:val="enf3"/>
      </w:pPr>
      <w:r>
        <w:t>Article 2  The special specified products referred to in Ar</w:t>
      </w:r>
      <w:r>
        <w:t>ticle 2, paragraph (3) of the Act are as listed in the left-hand column of the Appended Table 2.</w:t>
      </w:r>
    </w:p>
    <w:p w:rsidR="001E6170" w:rsidRDefault="001E6170"/>
    <w:p w:rsidR="001E6170" w:rsidRDefault="006B52E8">
      <w:pPr>
        <w:pStyle w:val="ena"/>
      </w:pPr>
      <w:r>
        <w:t>(Specified Products Requiring Maintenance)</w:t>
      </w:r>
    </w:p>
    <w:p w:rsidR="001E6170" w:rsidRDefault="006B52E8">
      <w:pPr>
        <w:pStyle w:val="enf3"/>
      </w:pPr>
      <w:r>
        <w:t>Article 3  The specified products requiring maintenance referred to in Article 2, paragraph (4) of the Act are as l</w:t>
      </w:r>
      <w:r>
        <w:t>isted in the Appended Table 3.</w:t>
      </w:r>
    </w:p>
    <w:p w:rsidR="001E6170" w:rsidRDefault="001E6170"/>
    <w:p w:rsidR="001E6170" w:rsidRDefault="006B52E8">
      <w:pPr>
        <w:pStyle w:val="ena"/>
      </w:pPr>
      <w:r>
        <w:t>(Accidents Excluded from Consideration as Product Accidents)</w:t>
      </w:r>
    </w:p>
    <w:p w:rsidR="001E6170" w:rsidRDefault="006B52E8">
      <w:pPr>
        <w:pStyle w:val="enf3"/>
      </w:pPr>
      <w:r>
        <w:t>Article 4  The accidents specified by Cabinet Order as referred to in Article 2, paragraph (5) of the Act are accidents in which food sanitation hazards have occur</w:t>
      </w:r>
      <w:r>
        <w:t>red resulting from the apparatus provided for in Article 4, paragraph (4) of the Food Sanitation Act (Act No. 233 of 1947), containers and packaging provided for in paragraph (5) of that Article, or toys provided for in Article 68, paragraph (1) of that Ac</w:t>
      </w:r>
      <w:r>
        <w:t>t.</w:t>
      </w:r>
    </w:p>
    <w:p w:rsidR="001E6170" w:rsidRDefault="001E6170"/>
    <w:p w:rsidR="001E6170" w:rsidRDefault="006B52E8">
      <w:pPr>
        <w:pStyle w:val="ena"/>
      </w:pPr>
      <w:r>
        <w:t>(Requirements for Serious Product Accidents)</w:t>
      </w:r>
    </w:p>
    <w:p w:rsidR="001E6170" w:rsidRDefault="006B52E8">
      <w:pPr>
        <w:pStyle w:val="enf3"/>
      </w:pPr>
      <w:r>
        <w:t>Article 5  The requirements specified by Cabinet Order as referred to in Article 2, paragraph (6) of the Act are any of the following:</w:t>
      </w:r>
    </w:p>
    <w:p w:rsidR="001E6170" w:rsidRDefault="006B52E8">
      <w:pPr>
        <w:pStyle w:val="enf6"/>
      </w:pPr>
      <w:r>
        <w:t>(i) any of the following harm has come to the lives or health of general</w:t>
      </w:r>
      <w:r>
        <w:t xml:space="preserve"> consumers;</w:t>
      </w:r>
    </w:p>
    <w:p w:rsidR="001E6170" w:rsidRDefault="006B52E8">
      <w:pPr>
        <w:pStyle w:val="enf9"/>
      </w:pPr>
      <w:r>
        <w:t>(a) death;</w:t>
      </w:r>
    </w:p>
    <w:p w:rsidR="001E6170" w:rsidRDefault="006B52E8">
      <w:pPr>
        <w:pStyle w:val="enf9"/>
      </w:pPr>
      <w:r>
        <w:t xml:space="preserve">(b) injury or disease for which treatment requires no less than 30 days or which causes physical disability specified by Cabinet Office Order when </w:t>
      </w:r>
      <w:r>
        <w:lastRenderedPageBreak/>
        <w:t>the injury or disease is cured (including when the symptoms stabilize); or</w:t>
      </w:r>
    </w:p>
    <w:p w:rsidR="001E6170" w:rsidRDefault="006B52E8">
      <w:pPr>
        <w:pStyle w:val="enf9"/>
      </w:pPr>
      <w:r>
        <w:t xml:space="preserve">(c) carbon </w:t>
      </w:r>
      <w:r>
        <w:t>monoxide poisoning; or</w:t>
      </w:r>
    </w:p>
    <w:p w:rsidR="001E6170" w:rsidRDefault="006B52E8">
      <w:pPr>
        <w:pStyle w:val="enf6"/>
      </w:pPr>
      <w:r>
        <w:t>(ii) the occurrence of a fire.</w:t>
      </w:r>
    </w:p>
    <w:p w:rsidR="001E6170" w:rsidRDefault="001E6170"/>
    <w:p w:rsidR="001E6170" w:rsidRDefault="006B52E8">
      <w:pPr>
        <w:pStyle w:val="ena"/>
      </w:pPr>
      <w:r>
        <w:t>(Other Acts Which May Specify Standards or Requirements)</w:t>
      </w:r>
    </w:p>
    <w:p w:rsidR="001E6170" w:rsidRDefault="006B52E8">
      <w:pPr>
        <w:pStyle w:val="enf3"/>
      </w:pPr>
      <w:r>
        <w:t xml:space="preserve">Article 6  Other laws specified by Cabinet Order as referred to in Article 3, paragraph (1) of the Act are to be as specified </w:t>
      </w:r>
      <w:r>
        <w:t>respectively in the following items in accordance with the classification of the specified products listed in those items:</w:t>
      </w:r>
    </w:p>
    <w:p w:rsidR="001E6170" w:rsidRDefault="006B52E8">
      <w:pPr>
        <w:pStyle w:val="enf6"/>
      </w:pPr>
      <w:r>
        <w:t>(i) specified products listed in item (i) of the Appended Table 1: the Food Sanitation Act and the Electrical Appliances and Material</w:t>
      </w:r>
      <w:r>
        <w:t>s Safety Act (Act No. 234 of 1961); and</w:t>
      </w:r>
    </w:p>
    <w:p w:rsidR="001E6170" w:rsidRDefault="006B52E8">
      <w:pPr>
        <w:pStyle w:val="enf6"/>
      </w:pPr>
      <w:r>
        <w:t>(ii) specified products listed in items (vi) and (ix) of the Appended Table 1: the Electrical Appliances and Materials Safety Act.</w:t>
      </w:r>
    </w:p>
    <w:p w:rsidR="001E6170" w:rsidRDefault="001E6170"/>
    <w:p w:rsidR="001E6170" w:rsidRDefault="006B52E8">
      <w:pPr>
        <w:pStyle w:val="ena"/>
      </w:pPr>
      <w:r>
        <w:t>(Preservation Period for Certificates)</w:t>
      </w:r>
    </w:p>
    <w:p w:rsidR="001E6170" w:rsidRDefault="006B52E8">
      <w:pPr>
        <w:pStyle w:val="enf3"/>
      </w:pPr>
      <w:r>
        <w:t>Article 7  The period specified by Cabinet Or</w:t>
      </w:r>
      <w:r>
        <w:t>der as referred to in the proviso to Article 12, paragraph (1) of the Act is as listed respectively in the right-hand column of the Appended Table 2 for each special specified product listed in the left-hand column of that Table.</w:t>
      </w:r>
    </w:p>
    <w:p w:rsidR="001E6170" w:rsidRDefault="001E6170"/>
    <w:p w:rsidR="001E6170" w:rsidRDefault="006B52E8">
      <w:pPr>
        <w:pStyle w:val="ena"/>
      </w:pPr>
      <w:r>
        <w:t>(Validity Period of Regis</w:t>
      </w:r>
      <w:r>
        <w:t>tration of a Conformity Inspection Body)</w:t>
      </w:r>
    </w:p>
    <w:p w:rsidR="001E6170" w:rsidRDefault="006B52E8">
      <w:pPr>
        <w:pStyle w:val="enf3"/>
      </w:pPr>
      <w:r>
        <w:t>Article 8  The period as specified by Cabinet Order as referred to in Article 19, paragraph (1) of the Act is three years.</w:t>
      </w:r>
    </w:p>
    <w:p w:rsidR="001E6170" w:rsidRDefault="001E6170"/>
    <w:p w:rsidR="001E6170" w:rsidRDefault="006B52E8">
      <w:pPr>
        <w:pStyle w:val="ena"/>
      </w:pPr>
      <w:r>
        <w:t>(Bearing of Expenses Required for Inspection at the Office of an Overseas Registered Confor</w:t>
      </w:r>
      <w:r>
        <w:t>mity Inspection Body)</w:t>
      </w:r>
    </w:p>
    <w:p w:rsidR="001E6170" w:rsidRDefault="006B52E8">
      <w:pPr>
        <w:pStyle w:val="enf3"/>
      </w:pPr>
      <w:r>
        <w:t xml:space="preserve">Article 9  The expenses specified by Cabinet Order as referred to in Article 31, paragraph (2) of the Act are to be of an amount equivalent to the amount of travel expenses required for the ministry officials referred to in paragraph </w:t>
      </w:r>
      <w:r>
        <w:t>(1), item (viii) of that Article (if the competent minister has the Independent Administrative Agency National Institute of Technology and Evaluation (hereinafter referred to as the "NITE") conduct the inspection pursuant to the provisions of paragraph (3)</w:t>
      </w:r>
      <w:r>
        <w:t xml:space="preserve"> of that Article, the officials of the NITE) to make an official trip to the location of the office or place of business subject to the inspection referred to in that item for conducting the inspection. In this case, the necessary details for the calculati</w:t>
      </w:r>
      <w:r>
        <w:t>on of the amount of the travel expenses are specified by order of the competent ministry.</w:t>
      </w:r>
    </w:p>
    <w:p w:rsidR="001E6170" w:rsidRDefault="001E6170"/>
    <w:p w:rsidR="001E6170" w:rsidRDefault="006B52E8">
      <w:pPr>
        <w:pStyle w:val="ena"/>
      </w:pPr>
      <w:r>
        <w:t>(The Other Acts Which Should Prevent the Occurrence and Amplification of Safety Hazards Caused by Serious Product Accidents)</w:t>
      </w:r>
    </w:p>
    <w:p w:rsidR="001E6170" w:rsidRDefault="006B52E8">
      <w:pPr>
        <w:pStyle w:val="enf3"/>
      </w:pPr>
      <w:r>
        <w:lastRenderedPageBreak/>
        <w:t>Article 10  The other Actspecified by Ca</w:t>
      </w:r>
      <w:r>
        <w:t>binet Order as referred to in Article 35, paragraph (4) of the Act is the Act on Control of Household Products Containing Harmful Substances (Act No. 112 of 1973).</w:t>
      </w:r>
    </w:p>
    <w:p w:rsidR="001E6170" w:rsidRDefault="001E6170"/>
    <w:p w:rsidR="001E6170" w:rsidRDefault="006B52E8">
      <w:pPr>
        <w:pStyle w:val="ena"/>
      </w:pPr>
      <w:r>
        <w:t>(Provisions of Other Acts Which May Order Recall and Other Measures)</w:t>
      </w:r>
    </w:p>
    <w:p w:rsidR="001E6170" w:rsidRDefault="006B52E8">
      <w:pPr>
        <w:pStyle w:val="enf3"/>
      </w:pPr>
      <w:r>
        <w:t>Article 11  The provis</w:t>
      </w:r>
      <w:r>
        <w:t>ions of other Acts specified by Cabinet Order as referred to in Article 39, paragraph (1) of the Act are the following:</w:t>
      </w:r>
    </w:p>
    <w:p w:rsidR="001E6170" w:rsidRDefault="006B52E8">
      <w:pPr>
        <w:pStyle w:val="enf6"/>
      </w:pPr>
      <w:r>
        <w:t>(i) the provisions of Article 59 of the Food Sanitation Act;</w:t>
      </w:r>
    </w:p>
    <w:p w:rsidR="001E6170" w:rsidRDefault="006B52E8">
      <w:pPr>
        <w:pStyle w:val="enf6"/>
      </w:pPr>
      <w:r>
        <w:t>(ii) the provisions of Article 157 of the Gas Business Act (Act No. 51 of 1</w:t>
      </w:r>
      <w:r>
        <w:t>954);</w:t>
      </w:r>
    </w:p>
    <w:p w:rsidR="001E6170" w:rsidRDefault="006B52E8">
      <w:pPr>
        <w:pStyle w:val="enf6"/>
      </w:pPr>
      <w:r>
        <w:t>(iii) the provisions of Article 42-5 of the Electrical Appliances and Materials Safety Act;</w:t>
      </w:r>
    </w:p>
    <w:p w:rsidR="001E6170" w:rsidRDefault="006B52E8">
      <w:pPr>
        <w:pStyle w:val="enf6"/>
      </w:pPr>
      <w:r>
        <w:t>(iv) the provisions of Article 65 of the Act on the Securing of Safety and the Optimization of Transaction of Liquefied Petroleum Gas (Act No. 149 of 1967); a</w:t>
      </w:r>
      <w:r>
        <w:t>nd</w:t>
      </w:r>
    </w:p>
    <w:p w:rsidR="001E6170" w:rsidRDefault="006B52E8">
      <w:pPr>
        <w:pStyle w:val="enf6"/>
      </w:pPr>
      <w:r>
        <w:t>(v) the provisions of the paragraphs of Article 6 of the Act on Control of Household Products Containing Harmful Substances.</w:t>
      </w:r>
    </w:p>
    <w:p w:rsidR="001E6170" w:rsidRDefault="001E6170"/>
    <w:p w:rsidR="001E6170" w:rsidRDefault="006B52E8">
      <w:pPr>
        <w:pStyle w:val="ena"/>
      </w:pPr>
      <w:r>
        <w:t>(Collection of Reports)</w:t>
      </w:r>
    </w:p>
    <w:p w:rsidR="001E6170" w:rsidRDefault="006B52E8">
      <w:pPr>
        <w:pStyle w:val="enf3"/>
      </w:pPr>
      <w:r>
        <w:t>Article 12  (1) The particulars on which the competent minister may, pursuant to the provisions of Arti</w:t>
      </w:r>
      <w:r>
        <w:t>cle 40, paragraph (1) of the Act, have a person engaged in the business of manufacturing or importing consumer products (excluding specified products and specified products requiring maintenance; hereinafter the same applies in this paragraph) make a repor</w:t>
      </w:r>
      <w:r>
        <w:t>t are the particulars concerning the kind, quantity, place of manufacture, storage or sale, and the main purchasers of the consumer products manufactured or imported, and the particulars concerning safety hazards resulting from the use of the consumer prod</w:t>
      </w:r>
      <w:r>
        <w:t>ucts and measures taken to prevent their recurrence, and other particulars concerning the operations in manufacturing or importing the consumer products.</w:t>
      </w:r>
    </w:p>
    <w:p w:rsidR="001E6170" w:rsidRDefault="006B52E8">
      <w:pPr>
        <w:pStyle w:val="enf4"/>
      </w:pPr>
      <w:r>
        <w:t>(2) The particulars on which the competent minister may, pursuant to the provisions of Article 40, par</w:t>
      </w:r>
      <w:r>
        <w:t xml:space="preserve">agraph (1) of the Act, have a person engaged in the business of manufacturing or importing specified products (excluding specified products requiring maintenance; hereinafter the same applies in this paragraph) make a report are the particulars concerning </w:t>
      </w:r>
      <w:r>
        <w:t>the kind (the type of the specified products in the case of a notifying enterprise), quantity, place of manufacture, storage, or sale, the contents of the inspection record, and the main purchasers of the specified products manufactured or imported, and th</w:t>
      </w:r>
      <w:r>
        <w:t>e particulars concerning safety hazards resulting from the use of the specified products and measures taken to prevent their recurrence, and other particulars concerning the operations in manufacturing or importing the specified products (including the par</w:t>
      </w:r>
      <w:r>
        <w:t>ticulars concerning the measures set forth in Article 6, item (iv) of the Act in the case of a notifying enterprise).</w:t>
      </w:r>
    </w:p>
    <w:p w:rsidR="001E6170" w:rsidRDefault="006B52E8">
      <w:pPr>
        <w:pStyle w:val="enf4"/>
      </w:pPr>
      <w:r>
        <w:t>(3) The particulars on which the competent minister may, pursuant to the provisions of Article 40, paragraph (1) of the Act, have a person</w:t>
      </w:r>
      <w:r>
        <w:t xml:space="preserve"> engaged in the business of manufacturing or importing specified products requiring maintenance make a report are particulars concerning the type, quantity, place of manufacture, storage, or sale, and the establishment of the design standard use period or </w:t>
      </w:r>
      <w:r>
        <w:t>the inspection period of the specified products requiring maintenance manufactured or imported, the particulars concerning the labeling of products or a document or owner form to be attached to products, the particulars concerning the management of owner i</w:t>
      </w:r>
      <w:r>
        <w:t>nformation, the particulars concerning notice of inspection notice particulars, the particulars concerning the implementation of an inspection, the particulars concerning the development of the system necessary to properly conduct an inspection or any othe</w:t>
      </w:r>
      <w:r>
        <w:t>r maintenance, the particulars concerning the main purchasers, and particulars concerning any safety hazards resulting from the use of the specified products requiring maintenance and measures taken to prevent their recurrence, and other particulars concer</w:t>
      </w:r>
      <w:r>
        <w:t>ning the operations in manufacturing or importing the specified products requiring maintenance.</w:t>
      </w:r>
    </w:p>
    <w:p w:rsidR="001E6170" w:rsidRDefault="006B52E8">
      <w:pPr>
        <w:pStyle w:val="enf4"/>
      </w:pPr>
      <w:r>
        <w:t xml:space="preserve">(4) The particulars on which the competent minister may, pursuant to the provisions of Article 40, paragraph (1) of the Act, have a person engaged in the </w:t>
      </w:r>
      <w:r>
        <w:t>business of selling consumer products (excluding specified products requiring maintenance; hereinafter the same applies in this paragraph) make a report are the particulars concerning the kind, quantity, place of storage or sale, the supplier, and the main</w:t>
      </w:r>
      <w:r>
        <w:t xml:space="preserve"> purchasers of the consumer products sold, and other particulars concerning the operations in selling the consumer products.</w:t>
      </w:r>
    </w:p>
    <w:p w:rsidR="001E6170" w:rsidRDefault="006B52E8">
      <w:pPr>
        <w:pStyle w:val="enf4"/>
      </w:pPr>
      <w:r>
        <w:t>(5) The particulars on which the competent minister may, pursuant to the provisions of Article 40, paragraph (1) of the Act, have a</w:t>
      </w:r>
      <w:r>
        <w:t>n enterprise transacting specified products requiring maintenance make a report are the particulars concerning the kind, quantity, place of storage or transactions of the specified products requiring maintenance transacted and their transaction partners, t</w:t>
      </w:r>
      <w:r>
        <w:t>he particulars concerning explanation upon delivery, and other particulars concerning the operations in transacting the specified products requiring maintenance.</w:t>
      </w:r>
    </w:p>
    <w:p w:rsidR="001E6170" w:rsidRDefault="006B52E8">
      <w:pPr>
        <w:pStyle w:val="enf4"/>
      </w:pPr>
      <w:r>
        <w:t>(6) The particulars on which the Prime Minister may, pursuant to the provisions of Article 40,</w:t>
      </w:r>
      <w:r>
        <w:t xml:space="preserve"> paragraph (3) of the Act, have a person engaged in the business of manufacturing or importing consumer products make a report are the particulars concerning the kind, quantity, place of manufacture, storage or sale, and the main purchasers of the consumer</w:t>
      </w:r>
      <w:r>
        <w:t xml:space="preserve"> products manufactured or imported, and the particulars concerning safety hazards resulting from the use of the consumer products and measures taken to prevent their recurrence, and other particulars concerning the operations in manufacturing or importing </w:t>
      </w:r>
      <w:r>
        <w:t>the consumer products.</w:t>
      </w:r>
    </w:p>
    <w:p w:rsidR="001E6170" w:rsidRDefault="001E6170"/>
    <w:p w:rsidR="001E6170" w:rsidRDefault="006B52E8">
      <w:pPr>
        <w:pStyle w:val="ena"/>
      </w:pPr>
      <w:r>
        <w:t>(Competent Minister and Order of the Competent Ministry)</w:t>
      </w:r>
    </w:p>
    <w:p w:rsidR="001E6170" w:rsidRDefault="006B52E8">
      <w:pPr>
        <w:pStyle w:val="enf3"/>
      </w:pPr>
      <w:r>
        <w:t>Article 13  (1) The competent minister for the particulars provided for in Article 54, paragraph (1), item (iii) of the Act (excluding the particulars concerning the collectio</w:t>
      </w:r>
      <w:r>
        <w:t xml:space="preserve">n of information under the provisions of Article 33 of the Act, the receipt of a notice under the provisions of Article 35, paragraph (3) of the Act, the consultation under the provisions of Article 36, paragraph (2) of the Act and the investigation under </w:t>
      </w:r>
      <w:r>
        <w:t>the provisions of paragraph (3) of that Article, the consultation under the provisions of Article 37, paragraph (2) of the Act and the request under the provisions of paragraph (3) of that Article, and the orders under the provisions of Article 39, paragra</w:t>
      </w:r>
      <w:r>
        <w:t>ph (1) of the Act) and the particulars provided for in Article 54, paragraph (1), item (iv) of the Act (excluding the particulars concerning the recommendations under the provisions of Article 32-6, paragraph (1) of the Act and the publication under the pr</w:t>
      </w:r>
      <w:r>
        <w:t>ovisions of paragraph (2) of that Article, and the collection of information under the provisions of Article 32-21, paragraph (1) of the Act) is the Minister of Economy, Trade and Industry.</w:t>
      </w:r>
    </w:p>
    <w:p w:rsidR="001E6170" w:rsidRDefault="006B52E8">
      <w:pPr>
        <w:pStyle w:val="enf4"/>
      </w:pPr>
      <w:r>
        <w:t>(2) The competent minister for the recommendations under the provi</w:t>
      </w:r>
      <w:r>
        <w:t>sions of Article 32-6, paragraph (1) of the Act and the publication under the provisions of paragraph (2) of that Article is the minister having jurisdiction over the business in which the enterprise transacting specified products requiring maintenance eng</w:t>
      </w:r>
      <w:r>
        <w:t>ages.</w:t>
      </w:r>
    </w:p>
    <w:p w:rsidR="001E6170" w:rsidRDefault="006B52E8">
      <w:pPr>
        <w:pStyle w:val="enf4"/>
      </w:pPr>
      <w:r>
        <w:t>(3) The competent minister for the particulars concerning the collection of information under the provisions of Article 32-21, paragraph (1) of the Act and the particulars concerning the collection of information under the provisions of Article 33 of</w:t>
      </w:r>
      <w:r>
        <w:t xml:space="preserve"> the Act, the receipt of a notice under the provisions of Article 35, paragraph (3) of the Act, the consultation under the provisions of Article 36, paragraph (2) of the Act and the investigation under the provisions of paragraph (3) of that Article, the c</w:t>
      </w:r>
      <w:r>
        <w:t xml:space="preserve">onsultation under the provisions of Article 37, paragraph (2) of the Act and the request under the provisions of paragraph (3) of that Article, and the orders under the provisions of Article 39, paragraph (1) of the Act is the minister having jurisdiction </w:t>
      </w:r>
      <w:r>
        <w:t>over the business of manufacturing or importing the respective consumer products with regard to persons engaged in the business of manufacturing or importing consumer products related to the collection of information, receipt of a notice, consultation, inv</w:t>
      </w:r>
      <w:r>
        <w:t>estigation, request and orders.</w:t>
      </w:r>
    </w:p>
    <w:p w:rsidR="001E6170" w:rsidRDefault="006B52E8">
      <w:pPr>
        <w:pStyle w:val="enf4"/>
      </w:pPr>
      <w:r>
        <w:t>(4) The competent ministers for the particulars concerning the collection of reports under the provisions of Article 40, paragraph (1) of the Act and the on-site inspection under the provisions of Article 41, paragraph (1) o</w:t>
      </w:r>
      <w:r>
        <w:t>f the Act and the particulars concerning the acceptance of a request under the provisions of Article 52, paragraph (1) of the Act are as follows:</w:t>
      </w:r>
    </w:p>
    <w:p w:rsidR="001E6170" w:rsidRDefault="006B52E8">
      <w:pPr>
        <w:pStyle w:val="enf6"/>
      </w:pPr>
      <w:r>
        <w:t>(i) for persons engaged in the business of manufacturing, importing or selling consumer products pertaining to</w:t>
      </w:r>
      <w:r>
        <w:t xml:space="preserve"> the collection of reports, on-site inspection and acceptance of requests: the minister having jurisdiction over the business of manufacturing, importing or selling the respective consumer products; and</w:t>
      </w:r>
    </w:p>
    <w:p w:rsidR="001E6170" w:rsidRDefault="006B52E8">
      <w:pPr>
        <w:pStyle w:val="enf6"/>
      </w:pPr>
      <w:r>
        <w:t xml:space="preserve">(ii) for enterprises transacting specified </w:t>
      </w:r>
      <w:r>
        <w:t>products requiring maintenance related to the collection of reports, on-site inspection and acceptance of requests: the minister having jurisdiction over the business of the enterprises transacting specified products requiring maintenance.</w:t>
      </w:r>
    </w:p>
    <w:p w:rsidR="001E6170" w:rsidRDefault="006B52E8">
      <w:pPr>
        <w:pStyle w:val="enf4"/>
      </w:pPr>
      <w:r>
        <w:t>(5) The competen</w:t>
      </w:r>
      <w:r>
        <w:t>t minister for the particulars concerning the collection of reports under the provisions of Article 40, paragraph (2) of the Act and the on-site inspection under the provisions of Article 41, paragraph (2) of the Act is the Minister of Economy, Trade and I</w:t>
      </w:r>
      <w:r>
        <w:t>ndustry.</w:t>
      </w:r>
    </w:p>
    <w:p w:rsidR="001E6170" w:rsidRDefault="006B52E8">
      <w:pPr>
        <w:pStyle w:val="enf4"/>
      </w:pPr>
      <w:r>
        <w:t>(6) The orders of the competent ministry for the particulars provided for in Article 54, paragraph (1), item (iii) of the Act (excluding the particulars concerning the receipt of a notice under the provisions of Article 35, paragraph (3) of the Ac</w:t>
      </w:r>
      <w:r>
        <w:t>t, the consultation under the provisions of Article 36, paragraph (2) of the Act and the investigation under the provisions of paragraph (3) of that Article, the consultation under the provisions of Article 37, paragraph (2) of the Act and the request unde</w:t>
      </w:r>
      <w:r>
        <w:t>r the provisions of paragraph (3) of that Article, and the orders under the provisions of Article 39, paragraph (1) of the Act) and the particulars provided for in Article 54, paragraph (1), item (iv) of the Act (excluding the particulars concerning the re</w:t>
      </w:r>
      <w:r>
        <w:t>commendations under the provisions of Article 32-6, paragraph (1) of the Act and the publication under the provisions of paragraph (2) of that Article, and the collection of information under the provisions of Article 32-21, paragraph (1) of the Act) are o</w:t>
      </w:r>
      <w:r>
        <w:t>rders issued by the competent minister provided for in paragraph (1).</w:t>
      </w:r>
    </w:p>
    <w:p w:rsidR="001E6170" w:rsidRDefault="001E6170"/>
    <w:p w:rsidR="001E6170" w:rsidRDefault="006B52E8">
      <w:pPr>
        <w:pStyle w:val="ena"/>
      </w:pPr>
      <w:r>
        <w:t>(Work Administered by the Prefectural or City Government)</w:t>
      </w:r>
    </w:p>
    <w:p w:rsidR="001E6170" w:rsidRDefault="006B52E8">
      <w:pPr>
        <w:pStyle w:val="enf3"/>
      </w:pPr>
      <w:r>
        <w:t xml:space="preserve">Article 14  (1) The work that is under the authority of the Minister of Economy, Trade and Industry as provided for in Article </w:t>
      </w:r>
      <w:r>
        <w:t xml:space="preserve">40, paragraph (1), Article 41, paragraph (1), and Article 42, paragraph (1) of the Act concerning persons engaged in the business of selling specified products or enterprises transacting specified products requiring maintenance (hereinafter referred to as </w:t>
      </w:r>
      <w:r>
        <w:t>"on-site inspection and other work" in this Article) is to be performed by a person provided for respectively in the following items in accordance with the category of cases listed in those items; provided, however, that this does not preclude the Minister</w:t>
      </w:r>
      <w:r>
        <w:t xml:space="preserve"> of Economy, Trade and Industry from personally performing the work.</w:t>
      </w:r>
    </w:p>
    <w:p w:rsidR="001E6170" w:rsidRDefault="006B52E8">
      <w:pPr>
        <w:pStyle w:val="enf6"/>
      </w:pPr>
      <w:r>
        <w:t>(i) if their offices, workplaces, stores or warehouses are located in an area in a city: the mayor of the city (if the mayor of that city has made a request and the governor of the prefec</w:t>
      </w:r>
      <w:r>
        <w:t>ture that includes the city finds it necessary, the prefectural governor and the city mayor); or</w:t>
      </w:r>
    </w:p>
    <w:p w:rsidR="001E6170" w:rsidRDefault="006B52E8">
      <w:pPr>
        <w:pStyle w:val="enf6"/>
      </w:pPr>
      <w:r>
        <w:t>(ii) if their offices, workplaces, stores or warehouses are located in an area in a town or village: the governor of the prefecture that includes the town or v</w:t>
      </w:r>
      <w:r>
        <w:t>illage.</w:t>
      </w:r>
    </w:p>
    <w:p w:rsidR="001E6170" w:rsidRDefault="006B52E8">
      <w:pPr>
        <w:pStyle w:val="enf4"/>
      </w:pPr>
      <w:r>
        <w:t>(2) A prefectural governor or a city mayor who has performed the on-site inspection and other work pursuant to the provisions of the preceding paragraph must report to the Minister of Economy, Trade and Industry their results pursuant to the provis</w:t>
      </w:r>
      <w:r>
        <w:t>ions of Order of the Ministry of Economy, Trade and Industry.</w:t>
      </w:r>
    </w:p>
    <w:p w:rsidR="001E6170" w:rsidRDefault="006B52E8">
      <w:pPr>
        <w:pStyle w:val="enf4"/>
      </w:pPr>
      <w:r>
        <w:t>(3) If a prefectural governor or a city mayor performs the on-site inspection and other work pursuant to the provisions of paragraph (1), the provisions on the Minister of Economy, Trade and Ind</w:t>
      </w:r>
      <w:r>
        <w:t>ustry concerning the on-site inspection and other work provided for in the Act are to apply to the prefectural governor or the city mayor as provisions on prefectural governors or city mayors, respectively.</w:t>
      </w:r>
    </w:p>
    <w:p w:rsidR="001E6170" w:rsidRDefault="001E6170"/>
    <w:p w:rsidR="001E6170" w:rsidRDefault="006B52E8">
      <w:pPr>
        <w:pStyle w:val="ena"/>
      </w:pPr>
      <w:r>
        <w:t>(Authority Which Is Not Delegated to the Commiss</w:t>
      </w:r>
      <w:r>
        <w:t>ioner of the Consumer Affairs Agency)</w:t>
      </w:r>
    </w:p>
    <w:p w:rsidR="001E6170" w:rsidRDefault="006B52E8">
      <w:pPr>
        <w:pStyle w:val="enf3"/>
      </w:pPr>
      <w:r>
        <w:t>Article 15  The authority specified by Cabinet Order as referred to in Article 56, paragraph (1) of the Act is the authority to make a request under the provisions of Article 41, paragraph (6) of the Act.</w:t>
      </w:r>
    </w:p>
    <w:p w:rsidR="001E6170" w:rsidRDefault="001E6170"/>
    <w:p w:rsidR="001E6170" w:rsidRDefault="006B52E8">
      <w:pPr>
        <w:pStyle w:val="ena"/>
      </w:pPr>
      <w:r>
        <w:t>(Work for Wh</w:t>
      </w:r>
      <w:r>
        <w:t>ich the Competent Minister May Give Instructions)</w:t>
      </w:r>
    </w:p>
    <w:p w:rsidR="001E6170" w:rsidRDefault="006B52E8">
      <w:pPr>
        <w:pStyle w:val="enf3"/>
      </w:pPr>
      <w:r>
        <w:t>Article 16  The work specified by Cabinet Order as referred to in Article 57 of the Act is the work to be performed by a prefectural governor or a city mayor pursuant to the provisions of Article 14, paragr</w:t>
      </w:r>
      <w:r>
        <w:t>aph (1) (excluding those concerning enterprises transacting specified products requiring maintenance).</w:t>
      </w:r>
    </w:p>
    <w:p w:rsidR="001E6170" w:rsidRDefault="001E6170"/>
    <w:p w:rsidR="001E6170" w:rsidRDefault="006B52E8">
      <w:pPr>
        <w:pStyle w:val="ena"/>
      </w:pPr>
      <w:r>
        <w:t>(Delegation of Authority)</w:t>
      </w:r>
    </w:p>
    <w:p w:rsidR="001E6170" w:rsidRDefault="006B52E8">
      <w:pPr>
        <w:pStyle w:val="enf3"/>
      </w:pPr>
      <w:r>
        <w:t xml:space="preserve">Article 17  (1) The authority of the Minister of Economy, Trade and Industry pursuant to the provisions of Article 4, </w:t>
      </w:r>
      <w:r>
        <w:t>paragraph (2), item (i) of the Act concerning persons whose factories or workplaces related to the business of manufacturing specified products are located within an area under the jurisdiction of only one Regional Bureau of Economy, Trade and Industry, is</w:t>
      </w:r>
      <w:r>
        <w:t xml:space="preserve"> to be exercised by the Director-General of the Regional Bureau of Economy, Trade and Industry having jurisdiction over the locality of those factories or workplaces.</w:t>
      </w:r>
    </w:p>
    <w:p w:rsidR="001E6170" w:rsidRDefault="006B52E8">
      <w:pPr>
        <w:pStyle w:val="enf4"/>
      </w:pPr>
      <w:r>
        <w:t>(2) The authority of the Minister of Economy, Trade and Industry pursuant to the provisio</w:t>
      </w:r>
      <w:r>
        <w:t>ns of Article 4, paragraph (2), item (i) of the Act concerning persons whose offices, workplaces, stores or warehouses related to the business of importing or selling specified products are located within an area under the jurisdiction of only one Regional</w:t>
      </w:r>
      <w:r>
        <w:t xml:space="preserve"> Bureau of Economy, Trade and Industry is to be exercised by the Director-General of the Regional Bureau of Economy, Trade and Industry having jurisdiction over the locality of those offices, workplaces, stores or warehouses.</w:t>
      </w:r>
    </w:p>
    <w:p w:rsidR="001E6170" w:rsidRDefault="006B52E8">
      <w:pPr>
        <w:pStyle w:val="enf4"/>
      </w:pPr>
      <w:r>
        <w:t>(3) The authority of the Minis</w:t>
      </w:r>
      <w:r>
        <w:t>ter of Economy, Trade and Industry pursuant to the provisions of Article 6, Article 7, paragraph (2), Articles 8 through 10, and Article 11, paragraph (1), item (i) of the Act concerning notifying enterprises whose factories or workplaces related to the bu</w:t>
      </w:r>
      <w:r>
        <w:t>siness of manufacturing specified products that belong to one category of notification (meaning the category of specified products specified by order of the competent ministry provided for in Article 6 of the Act; the same applies in the following paragrap</w:t>
      </w:r>
      <w:r>
        <w:t xml:space="preserve">h) are located within an area under the jurisdiction of only one Regional Bureau of Economy, Trade and Industry is to be exercised by the Director-General of the Regional Bureau of Economy, Trade and Industry having jurisdiction over the locality of those </w:t>
      </w:r>
      <w:r>
        <w:t>factories and workplaces.</w:t>
      </w:r>
    </w:p>
    <w:p w:rsidR="001E6170" w:rsidRDefault="006B52E8">
      <w:pPr>
        <w:pStyle w:val="enf4"/>
      </w:pPr>
      <w:r>
        <w:t>(4) The authority of the Minister of Economy, Trade and Industry pursuant to the provisions of Article 6, Article 7, paragraph (2), Articles 8 through 10, and Article 11, paragraph (1), item (i) of the Act concerning notifying ent</w:t>
      </w:r>
      <w:r>
        <w:t>erprises whose offices, workplaces, stores or warehouses related to the business of importing specified products that belong to one category of notification are located within an area under the jurisdiction of only one Regional Bureau of Economy, Trade and</w:t>
      </w:r>
      <w:r>
        <w:t xml:space="preserve"> Industry is to be exercised by the Director-General of the Regional Bureau of Economy, Trade and Industry having jurisdiction over the locality of those offices, workplaces, stores or warehouses.</w:t>
      </w:r>
    </w:p>
    <w:p w:rsidR="001E6170" w:rsidRDefault="006B52E8">
      <w:pPr>
        <w:pStyle w:val="enf4"/>
      </w:pPr>
      <w:r>
        <w:t>(5) The authority of the Minister of Economy, Trade and Ind</w:t>
      </w:r>
      <w:r>
        <w:t>ustry pursuant to the provisions of Articles 14 and 15 of the Act is to be exercised by the Director-General of the Regional Bureau of Economy, Trade and Industry having jurisdiction over the locality of offices, factories, workplaces, stores or warehouses</w:t>
      </w:r>
      <w:r>
        <w:t xml:space="preserve"> of the notifying enterprise; provided, however, that this does not preclude the Minister of Economy, Trade and Industry from personally exercising the authority.</w:t>
      </w:r>
    </w:p>
    <w:p w:rsidR="001E6170" w:rsidRDefault="006B52E8">
      <w:pPr>
        <w:pStyle w:val="enf4"/>
      </w:pPr>
      <w:r>
        <w:t>(6) The authority of the Minister of Economy, Trade and Industry pursuant to the provisions o</w:t>
      </w:r>
      <w:r>
        <w:t>f Article 32-2 of the Act is to be exercised by the Director-General of the Regional Bureau of Economy, Trade and Industry having jurisdiction over the locality of the head office or principal office of the specified manufacturer, etc.</w:t>
      </w:r>
    </w:p>
    <w:p w:rsidR="001E6170" w:rsidRDefault="006B52E8">
      <w:pPr>
        <w:pStyle w:val="enf4"/>
      </w:pPr>
      <w:r>
        <w:t>(7) The authority of</w:t>
      </w:r>
      <w:r>
        <w:t xml:space="preserve"> the Minister of Economy, Trade and Industry pursuant to the provisions of Articles 32-16 and 32-20 of the Act is to be exercised by the Director-General of the Regional Bureau of Economy, Trade and Industry having jurisdiction over the locality of the hea</w:t>
      </w:r>
      <w:r>
        <w:t>d office or principal office of the specified manufacturer, etc.; provided, however, that this does not preclude the Minister of Economy, Trade and Industry from personally exercising the authority.</w:t>
      </w:r>
    </w:p>
    <w:p w:rsidR="001E6170" w:rsidRDefault="006B52E8">
      <w:pPr>
        <w:pStyle w:val="enf4"/>
      </w:pPr>
      <w:r>
        <w:t>(8) The authority of the Minister of Economy, Trade and I</w:t>
      </w:r>
      <w:r>
        <w:t>ndustry pursuant to the provisions of Article 40, paragraph (1), Article 41, paragraph (1), and Article 42, paragraph (1) of the Act concerning persons engaged in the business of manufacturing or importing consumer products is to be exercised by the Direct</w:t>
      </w:r>
      <w:r>
        <w:t>or-General of the Regional Bureau of Economy, Trade and Industry having jurisdiction over the locality of their offices, factories, workplaces, stores or warehouses; provided, however, that this does not preclude the Minister of Economy, Trade and Industry</w:t>
      </w:r>
      <w:r>
        <w:t xml:space="preserve"> from personally exercising the authority.</w:t>
      </w:r>
    </w:p>
    <w:p w:rsidR="001E6170" w:rsidRDefault="001E6170"/>
    <w:p w:rsidR="001E6170" w:rsidRDefault="006B52E8">
      <w:pPr>
        <w:pStyle w:val="ena"/>
      </w:pPr>
      <w:r>
        <w:t>(Products Excluded from Consideration as Consumer Products)</w:t>
      </w:r>
    </w:p>
    <w:p w:rsidR="001E6170" w:rsidRDefault="006B52E8">
      <w:pPr>
        <w:pStyle w:val="enf3"/>
      </w:pPr>
      <w:r>
        <w:t>Article 18  Other Actsspecified by Cabinet Order as referred to in item (ix) of the Appended Table of the Act are as listed in the left-hand column of t</w:t>
      </w:r>
      <w:r>
        <w:t>he Appended Table 4, and the products specified by Cabinet Order as referred to in that item are as listed in the right-hand column of the Appended Table 4 respectively for each Actlisted in the left-hand column of the Appended Table 4.</w:t>
      </w:r>
    </w:p>
    <w:p w:rsidR="001E6170" w:rsidRDefault="001E6170"/>
    <w:p w:rsidR="001E6170" w:rsidRDefault="006B52E8">
      <w:pPr>
        <w:pStyle w:val="en2"/>
      </w:pPr>
      <w:r>
        <w:t>Supplementary Prov</w:t>
      </w:r>
      <w:r>
        <w:t>isions  [Extract]</w:t>
      </w:r>
    </w:p>
    <w:p w:rsidR="001E6170" w:rsidRDefault="001E6170"/>
    <w:p w:rsidR="001E6170" w:rsidRDefault="006B52E8">
      <w:pPr>
        <w:pStyle w:val="ena"/>
      </w:pPr>
      <w:r>
        <w:t>(Effective Date)</w:t>
      </w:r>
    </w:p>
    <w:p w:rsidR="001E6170" w:rsidRDefault="006B52E8">
      <w:pPr>
        <w:pStyle w:val="enf4"/>
      </w:pPr>
      <w:r>
        <w:t>(1) This Cabinet Order comes into effect as of the day of promulgation.</w:t>
      </w:r>
    </w:p>
    <w:p w:rsidR="001E6170" w:rsidRDefault="001E6170"/>
    <w:p w:rsidR="001E6170" w:rsidRDefault="006B52E8">
      <w:pPr>
        <w:pStyle w:val="ena"/>
      </w:pPr>
      <w:r>
        <w:t>(Transitional Measures)</w:t>
      </w:r>
    </w:p>
    <w:p w:rsidR="001E6170" w:rsidRDefault="006B52E8">
      <w:pPr>
        <w:pStyle w:val="enf4"/>
      </w:pPr>
      <w:r>
        <w:t>(4) With regard to consumer products listed in the left-hand column of the Appended Table 1 and specified products provided</w:t>
      </w:r>
      <w:r>
        <w:t xml:space="preserve"> for in the preceding paragraph which have been sold to general consumers prior to the enforcement of this Cabinet Order, the term "specified products" in Article 82 of the Act is deemed to be replaced with "specified products which have been sold under th</w:t>
      </w:r>
      <w:r>
        <w:t>e proviso to Article 4" and the provisions of Article 82 of the Act apply.</w:t>
      </w:r>
    </w:p>
    <w:p w:rsidR="001E6170" w:rsidRDefault="001E6170"/>
    <w:p w:rsidR="001E6170" w:rsidRDefault="006B52E8">
      <w:pPr>
        <w:pStyle w:val="en2"/>
      </w:pPr>
      <w:r>
        <w:t>Supplementary Provisions  [Cabinet Order No. 335 of September 26, 1974]</w:t>
      </w:r>
    </w:p>
    <w:p w:rsidR="001E6170" w:rsidRDefault="001E6170"/>
    <w:p w:rsidR="001E6170" w:rsidRDefault="006B52E8">
      <w:pPr>
        <w:pStyle w:val="enf5"/>
      </w:pPr>
      <w:r>
        <w:t>This Cabinet Order comes into effect as of October 1, 1974.</w:t>
      </w:r>
    </w:p>
    <w:p w:rsidR="001E6170" w:rsidRDefault="001E6170"/>
    <w:p w:rsidR="001E6170" w:rsidRDefault="006B52E8">
      <w:pPr>
        <w:pStyle w:val="en2"/>
      </w:pPr>
      <w:r>
        <w:t>Supplementary Provisions  [Cabinet Order No. 1</w:t>
      </w:r>
      <w:r>
        <w:t>76 of June 5, 1975]  [Extract]</w:t>
      </w:r>
    </w:p>
    <w:p w:rsidR="001E6170" w:rsidRDefault="001E6170"/>
    <w:p w:rsidR="001E6170" w:rsidRDefault="006B52E8">
      <w:pPr>
        <w:pStyle w:val="ena"/>
      </w:pPr>
      <w:r>
        <w:t>(Effective Date)</w:t>
      </w:r>
    </w:p>
    <w:p w:rsidR="001E6170" w:rsidRDefault="006B52E8">
      <w:pPr>
        <w:pStyle w:val="enf4"/>
      </w:pPr>
      <w:r>
        <w:t>(1) This Cabinet Order comes into effect as of the day of promulgation.</w:t>
      </w:r>
    </w:p>
    <w:p w:rsidR="001E6170" w:rsidRDefault="001E6170"/>
    <w:p w:rsidR="001E6170" w:rsidRDefault="006B52E8">
      <w:pPr>
        <w:pStyle w:val="ena"/>
      </w:pPr>
      <w:r>
        <w:t>(Transitional Measures)</w:t>
      </w:r>
    </w:p>
    <w:p w:rsidR="001E6170" w:rsidRDefault="006B52E8">
      <w:pPr>
        <w:pStyle w:val="enf4"/>
      </w:pPr>
      <w:r>
        <w:t xml:space="preserve">(2) A person engaging in the business of manufacturing, importing or selling specified products listed in </w:t>
      </w:r>
      <w:r>
        <w:t>the left-hand column of rows 6 through 9 of the Appended Table 1 of the Order for Enforcement of the Consumer Product Safety Act as amended by the provisions of Article 1 (hereinafter referred to as the "New Order") (hereinafter, the specified products are</w:t>
      </w:r>
      <w:r>
        <w:t xml:space="preserve"> referred to as the "additional specified products") may sell or display for the purpose of the sale, the additional specified products without labeling them pursuant to the provisions of Article 6 or Article 27 of the Consumer Product Safety Act (hereinaf</w:t>
      </w:r>
      <w:r>
        <w:t>ter referred to as the "Act") for one year and three months from the date on which this Cabinet Order comes into effect, notwithstanding the provisions of Article 4 of the Act.</w:t>
      </w:r>
    </w:p>
    <w:p w:rsidR="001E6170" w:rsidRDefault="006B52E8">
      <w:pPr>
        <w:pStyle w:val="enf4"/>
      </w:pPr>
      <w:r>
        <w:t>(3) If a person engaging in the business of manufacturing, importing or selling</w:t>
      </w:r>
      <w:r>
        <w:t xml:space="preserve"> additional specified products has sold the additional specified products without affixing the label referred to in Article 6 or Article 27 of the Act during the period of one year and three months from the date on which this Cabinet Order comes into effec</w:t>
      </w:r>
      <w:r>
        <w:t>t (excluding the case in which a registered manufacturer who has obtained the approval referred to in Article 23, paragraph (1) of the Act has sold additional specified products related to the approval), the provisions of Article 35 of the Act do not apply</w:t>
      </w:r>
      <w:r>
        <w:t xml:space="preserve"> to the additional specified products, and the term "specified products" in Article 82 of the Act is deemed to be replaced with "specified products which have been sold pursuant to the proviso to Article 4."</w:t>
      </w:r>
    </w:p>
    <w:p w:rsidR="001E6170" w:rsidRDefault="006B52E8">
      <w:pPr>
        <w:pStyle w:val="enf4"/>
      </w:pPr>
      <w:r>
        <w:t>(4) With regard to the application of the provis</w:t>
      </w:r>
      <w:r>
        <w:t>ions of Article 82 of the Act to consumer products listed in the left-hand column of rows 6 through 9 in the Appended Table 1 of the New Order which have been sold to general consumers prior to the enforcement of this Cabinet Order, the term "consumer prod</w:t>
      </w:r>
      <w:r>
        <w:t>ucts (excluding specified products)" in that Article is deemed to be replaced with "consumer products."</w:t>
      </w:r>
    </w:p>
    <w:p w:rsidR="001E6170" w:rsidRDefault="001E6170"/>
    <w:p w:rsidR="001E6170" w:rsidRDefault="006B52E8">
      <w:pPr>
        <w:pStyle w:val="en2"/>
      </w:pPr>
      <w:r>
        <w:t>Supplementary Provisions  [Cabinet Order No. 282 of July 5, 1978]  [Extract]</w:t>
      </w:r>
    </w:p>
    <w:p w:rsidR="001E6170" w:rsidRDefault="001E6170"/>
    <w:p w:rsidR="001E6170" w:rsidRDefault="006B52E8">
      <w:pPr>
        <w:pStyle w:val="ena"/>
      </w:pPr>
      <w:r>
        <w:t>(Effective Date)</w:t>
      </w:r>
    </w:p>
    <w:p w:rsidR="001E6170" w:rsidRDefault="006B52E8">
      <w:pPr>
        <w:pStyle w:val="enf3"/>
      </w:pPr>
      <w:r>
        <w:t>Article 1  This Cabinet Order comes into effect as of th</w:t>
      </w:r>
      <w:r>
        <w:t>e day of promulgation.</w:t>
      </w:r>
    </w:p>
    <w:p w:rsidR="001E6170" w:rsidRDefault="001E6170"/>
    <w:p w:rsidR="001E6170" w:rsidRDefault="006B52E8">
      <w:pPr>
        <w:pStyle w:val="en2"/>
      </w:pPr>
      <w:r>
        <w:t>Supplementary Provisions  [Cabinet Order No. 2 of January 6, 1983]</w:t>
      </w:r>
    </w:p>
    <w:p w:rsidR="001E6170" w:rsidRDefault="001E6170"/>
    <w:p w:rsidR="001E6170" w:rsidRDefault="006B52E8">
      <w:pPr>
        <w:pStyle w:val="enf4"/>
      </w:pPr>
      <w:r>
        <w:t>(1) This Cabinet Order comes into effect as of the day of promulgation.</w:t>
      </w:r>
    </w:p>
    <w:p w:rsidR="001E6170" w:rsidRDefault="006B52E8">
      <w:pPr>
        <w:pStyle w:val="enf4"/>
      </w:pPr>
      <w:r>
        <w:t>(2) Prior laws continue to govern the application of penal provisions to acts performed prio</w:t>
      </w:r>
      <w:r>
        <w:t>r to the enforcement of this Cabinet Order.</w:t>
      </w:r>
    </w:p>
    <w:p w:rsidR="001E6170" w:rsidRDefault="001E6170"/>
    <w:p w:rsidR="001E6170" w:rsidRDefault="006B52E8">
      <w:pPr>
        <w:pStyle w:val="en2"/>
      </w:pPr>
      <w:r>
        <w:t>Supplementary Provisions  [Cabinet Order No. 171 of July 22, 1983]</w:t>
      </w:r>
    </w:p>
    <w:p w:rsidR="001E6170" w:rsidRDefault="001E6170"/>
    <w:p w:rsidR="001E6170" w:rsidRDefault="006B52E8">
      <w:pPr>
        <w:pStyle w:val="enf5"/>
      </w:pPr>
      <w:r>
        <w:t>This Cabinet Order comes into effect as of the date on which the Act for Partial Revision of Relevant Acts for Facilitating Acquisition of Appr</w:t>
      </w:r>
      <w:r>
        <w:t>oval for Product Types by Foreign Enterprises comes into effect (August 1, 1983).</w:t>
      </w:r>
    </w:p>
    <w:p w:rsidR="001E6170" w:rsidRDefault="001E6170"/>
    <w:p w:rsidR="001E6170" w:rsidRDefault="006B52E8">
      <w:pPr>
        <w:pStyle w:val="en2"/>
      </w:pPr>
      <w:r>
        <w:t>Supplementary Provisions  [Cabinet Order No. 258 of December 10, 1983]</w:t>
      </w:r>
    </w:p>
    <w:p w:rsidR="001E6170" w:rsidRDefault="001E6170"/>
    <w:p w:rsidR="001E6170" w:rsidRDefault="006B52E8">
      <w:pPr>
        <w:pStyle w:val="enf5"/>
      </w:pPr>
      <w:r>
        <w:t>This Cabinet Order comes into effect as of the day of promulgation.</w:t>
      </w:r>
    </w:p>
    <w:p w:rsidR="001E6170" w:rsidRDefault="001E6170"/>
    <w:p w:rsidR="001E6170" w:rsidRDefault="006B52E8">
      <w:pPr>
        <w:pStyle w:val="en2"/>
      </w:pPr>
      <w:r>
        <w:t>Supplementary Provisions  [Cabin</w:t>
      </w:r>
      <w:r>
        <w:t>et Order No. 190 of May 30, 1986]</w:t>
      </w:r>
    </w:p>
    <w:p w:rsidR="001E6170" w:rsidRDefault="001E6170"/>
    <w:p w:rsidR="001E6170" w:rsidRDefault="006B52E8">
      <w:pPr>
        <w:pStyle w:val="enf4"/>
      </w:pPr>
      <w:r>
        <w:t>(1) This Cabinet Order comes into effect as of the date on which the provisions of Article 10 of the Act on the Consolidation and Streamlining of Regulations on Permissions, Approvals and Other Private Sector Activities (</w:t>
      </w:r>
      <w:r>
        <w:t>excluding the provisions amending the Appended Table of the Consumer Product Safety Act) come into effect (June 20, 1986).</w:t>
      </w:r>
    </w:p>
    <w:p w:rsidR="001E6170" w:rsidRDefault="006B52E8">
      <w:pPr>
        <w:pStyle w:val="enf4"/>
      </w:pPr>
      <w:r>
        <w:t xml:space="preserve">(2) Prior laws continue to govern the application of penal provisions to acts performed prior to the enforcement of this </w:t>
      </w:r>
      <w:r>
        <w:t>Cabinet Order.</w:t>
      </w:r>
    </w:p>
    <w:p w:rsidR="001E6170" w:rsidRDefault="001E6170"/>
    <w:p w:rsidR="001E6170" w:rsidRDefault="006B52E8">
      <w:pPr>
        <w:pStyle w:val="en2"/>
      </w:pPr>
      <w:r>
        <w:t>Supplementary Provisions  [Cabinet Order No. 263 of June 26, 1995]</w:t>
      </w:r>
    </w:p>
    <w:p w:rsidR="001E6170" w:rsidRDefault="001E6170"/>
    <w:p w:rsidR="001E6170" w:rsidRDefault="006B52E8">
      <w:pPr>
        <w:pStyle w:val="ena"/>
      </w:pPr>
      <w:r>
        <w:t>(Effective Date)</w:t>
      </w:r>
    </w:p>
    <w:p w:rsidR="001E6170" w:rsidRDefault="006B52E8">
      <w:pPr>
        <w:pStyle w:val="enf3"/>
      </w:pPr>
      <w:r>
        <w:t>Article 1  This Cabinet Order comes into effect as of January 1, 1996.</w:t>
      </w:r>
    </w:p>
    <w:p w:rsidR="001E6170" w:rsidRDefault="001E6170"/>
    <w:p w:rsidR="001E6170" w:rsidRDefault="006B52E8">
      <w:pPr>
        <w:pStyle w:val="ena"/>
      </w:pPr>
      <w:r>
        <w:t>(Transitional Measures)</w:t>
      </w:r>
    </w:p>
    <w:p w:rsidR="001E6170" w:rsidRDefault="006B52E8">
      <w:pPr>
        <w:pStyle w:val="enf3"/>
      </w:pPr>
      <w:r>
        <w:t xml:space="preserve">Article 2  (1) The label referred to in Article 7 and </w:t>
      </w:r>
      <w:r>
        <w:t>Article 27 of the Consumer Product Safety Act (including as applied mutatis mutandis pursuant to Article 32-4, paragraph (2)) which is affixed to the specified products listed in the left-hand column of rows 1 through 3 and row 5 in the Appended Table 1 of</w:t>
      </w:r>
      <w:r>
        <w:t xml:space="preserve"> the Order for Enforcement of the Consumer Product Safety Act prior to the amendment pursuant to the provisions of Article 1 before this Cabinet Order comes into effect, is deemed to be the label referred to in Article 32-10 of that Act for three years fro</w:t>
      </w:r>
      <w:r>
        <w:t>m the date on which this Cabinet Order comes into effect.</w:t>
      </w:r>
    </w:p>
    <w:p w:rsidR="001E6170" w:rsidRDefault="006B52E8">
      <w:pPr>
        <w:pStyle w:val="enf4"/>
      </w:pPr>
      <w:r>
        <w:t>(2) Prior laws continue to govern the application of penal provisions to acts performed prior to the enforcement of this Cabinet Order.</w:t>
      </w:r>
    </w:p>
    <w:p w:rsidR="001E6170" w:rsidRDefault="001E6170"/>
    <w:p w:rsidR="001E6170" w:rsidRDefault="006B52E8">
      <w:pPr>
        <w:pStyle w:val="en2"/>
      </w:pPr>
      <w:r>
        <w:t>Supplementary Provisions  [Cabinet Order No. 96 of April 3, 1</w:t>
      </w:r>
      <w:r>
        <w:t>996]  [Extract]</w:t>
      </w:r>
    </w:p>
    <w:p w:rsidR="001E6170" w:rsidRDefault="001E6170"/>
    <w:p w:rsidR="001E6170" w:rsidRDefault="006B52E8">
      <w:pPr>
        <w:pStyle w:val="ena"/>
      </w:pPr>
      <w:r>
        <w:t>(Effective Date)</w:t>
      </w:r>
    </w:p>
    <w:p w:rsidR="001E6170" w:rsidRDefault="006B52E8">
      <w:pPr>
        <w:pStyle w:val="enf3"/>
      </w:pPr>
      <w:r>
        <w:t>Article 1  This Cabinet Order comes into effect as of May 1, 1996.</w:t>
      </w:r>
    </w:p>
    <w:p w:rsidR="001E6170" w:rsidRDefault="001E6170"/>
    <w:p w:rsidR="001E6170" w:rsidRDefault="006B52E8">
      <w:pPr>
        <w:pStyle w:val="en2"/>
      </w:pPr>
      <w:r>
        <w:t>Supplementary Provisions  [Cabinet Order No.98 of April 3, 1996]  [Extract]</w:t>
      </w:r>
    </w:p>
    <w:p w:rsidR="001E6170" w:rsidRDefault="001E6170"/>
    <w:p w:rsidR="001E6170" w:rsidRDefault="006B52E8">
      <w:pPr>
        <w:pStyle w:val="ena"/>
      </w:pPr>
      <w:r>
        <w:t>(Effective Date)</w:t>
      </w:r>
    </w:p>
    <w:p w:rsidR="001E6170" w:rsidRDefault="006B52E8">
      <w:pPr>
        <w:pStyle w:val="enf3"/>
      </w:pPr>
      <w:r>
        <w:t>Article 1  This Cabinet Order comes into effect as of May 1,</w:t>
      </w:r>
      <w:r>
        <w:t xml:space="preserve"> 1996.</w:t>
      </w:r>
    </w:p>
    <w:p w:rsidR="001E6170" w:rsidRDefault="001E6170"/>
    <w:p w:rsidR="001E6170" w:rsidRDefault="006B52E8">
      <w:pPr>
        <w:pStyle w:val="en2"/>
      </w:pPr>
      <w:r>
        <w:t>Supplementary Provisions  [Cabinet Order No. 335 of November 21, 1997]</w:t>
      </w:r>
    </w:p>
    <w:p w:rsidR="001E6170" w:rsidRDefault="001E6170"/>
    <w:p w:rsidR="001E6170" w:rsidRDefault="006B52E8">
      <w:pPr>
        <w:pStyle w:val="enf5"/>
      </w:pPr>
      <w:r>
        <w:t>This Cabinet Order comes into effect as of the day of promulgation.</w:t>
      </w:r>
    </w:p>
    <w:p w:rsidR="001E6170" w:rsidRDefault="001E6170"/>
    <w:p w:rsidR="001E6170" w:rsidRDefault="006B52E8">
      <w:pPr>
        <w:pStyle w:val="en2"/>
      </w:pPr>
      <w:r>
        <w:t>Supplementary Provisions  [Cabinet Order No. 385 of December 3, 1999]  [Extract]</w:t>
      </w:r>
    </w:p>
    <w:p w:rsidR="001E6170" w:rsidRDefault="001E6170"/>
    <w:p w:rsidR="001E6170" w:rsidRDefault="006B52E8">
      <w:pPr>
        <w:pStyle w:val="ena"/>
      </w:pPr>
      <w:r>
        <w:t>(Effective Date)</w:t>
      </w:r>
    </w:p>
    <w:p w:rsidR="001E6170" w:rsidRDefault="006B52E8">
      <w:pPr>
        <w:pStyle w:val="enf3"/>
      </w:pPr>
      <w:r>
        <w:t xml:space="preserve">Article </w:t>
      </w:r>
      <w:r>
        <w:t>1  This Cabinet Order comes into effect as of April 1, 2000.</w:t>
      </w:r>
    </w:p>
    <w:p w:rsidR="001E6170" w:rsidRDefault="001E6170"/>
    <w:p w:rsidR="001E6170" w:rsidRDefault="006B52E8">
      <w:pPr>
        <w:pStyle w:val="en2"/>
      </w:pPr>
      <w:r>
        <w:t>Supplementary Provisions  [Cabinet Order No. 136 of March 29, 2000]  [Extract]</w:t>
      </w:r>
    </w:p>
    <w:p w:rsidR="001E6170" w:rsidRDefault="001E6170"/>
    <w:p w:rsidR="001E6170" w:rsidRDefault="006B52E8">
      <w:pPr>
        <w:pStyle w:val="ena"/>
      </w:pPr>
      <w:r>
        <w:t>(Effective Date)</w:t>
      </w:r>
    </w:p>
    <w:p w:rsidR="001E6170" w:rsidRDefault="006B52E8">
      <w:pPr>
        <w:pStyle w:val="enf3"/>
      </w:pPr>
      <w:r>
        <w:t>Article 1  This Cabinet Order comes into effect as of October 1, 2000.</w:t>
      </w:r>
    </w:p>
    <w:p w:rsidR="001E6170" w:rsidRDefault="001E6170"/>
    <w:p w:rsidR="001E6170" w:rsidRDefault="006B52E8">
      <w:pPr>
        <w:pStyle w:val="ena"/>
      </w:pPr>
      <w:r>
        <w:t xml:space="preserve">(Period </w:t>
      </w:r>
      <w:r>
        <w:t>Specified by Cabinet Order as Referred to in Article 5, Paragraph (1) of the Supplementary Provisions of the Consolidation and Streamlining Act)</w:t>
      </w:r>
    </w:p>
    <w:p w:rsidR="001E6170" w:rsidRDefault="006B52E8">
      <w:pPr>
        <w:pStyle w:val="enf3"/>
      </w:pPr>
      <w:r>
        <w:t>Article 2  The periods specified by Cabinet Order as referred to in Article 5, paragraph (1) of the Supplementa</w:t>
      </w:r>
      <w:r>
        <w:t>ry Provisions of the Act on the Consolidation and Streamlining of Standards and Certification Systems Relating to the Ministry of International Trade and Industry (hereinafter referred to as the "Consolidation and Streamlining Act") are as listed in the ri</w:t>
      </w:r>
      <w:r>
        <w:t>ght-hand column of the Appended Table 1 of the Supplementary Provisions with regard to specified products under transition listed in the left-hand column of that Table (meaning specified products under transition prescribed in that paragraph).</w:t>
      </w:r>
    </w:p>
    <w:p w:rsidR="001E6170" w:rsidRDefault="001E6170"/>
    <w:p w:rsidR="001E6170" w:rsidRDefault="006B52E8">
      <w:pPr>
        <w:pStyle w:val="ena"/>
      </w:pPr>
      <w:r>
        <w:t>(Period Spe</w:t>
      </w:r>
      <w:r>
        <w:t>cified by Cabinet Order as Referred to in Article 5, Paragraph (2) of the Supplementary Provisions of the Consolidation and Streamlining Act)</w:t>
      </w:r>
    </w:p>
    <w:p w:rsidR="001E6170" w:rsidRDefault="006B52E8">
      <w:pPr>
        <w:pStyle w:val="enf3"/>
      </w:pPr>
      <w:r>
        <w:t xml:space="preserve">Article 3  The periods specified by Cabinet Order as referred to in Article 5, paragraph (2) of the Supplementary </w:t>
      </w:r>
      <w:r>
        <w:t>Provisions of the Consolidation and Streamlining Act are as listed in the right-hand column of the Appended Table 2 of the Supplementary Provisions with regard to special specified products under transition listed in the left-hand column of that Table (mea</w:t>
      </w:r>
      <w:r>
        <w:t>ning special specified products under transition prescribed in that paragraph).</w:t>
      </w:r>
    </w:p>
    <w:p w:rsidR="001E6170" w:rsidRDefault="001E6170"/>
    <w:p w:rsidR="001E6170" w:rsidRDefault="006B52E8">
      <w:pPr>
        <w:pStyle w:val="ena"/>
      </w:pPr>
      <w:r>
        <w:t>(Period Specified by Cabinet Order as Referred to in Article 18, Paragraph (1) of the Supplementary Provisions of the Consolidation and Streamlining Act)</w:t>
      </w:r>
    </w:p>
    <w:p w:rsidR="001E6170" w:rsidRDefault="006B52E8">
      <w:pPr>
        <w:pStyle w:val="enf3"/>
      </w:pPr>
      <w:r>
        <w:t>Article 4  The period</w:t>
      </w:r>
      <w:r>
        <w:t>s specified by Cabinet Order as referred to in Article 18, paragraph (1) of the Supplementary Provisions of the Consolidation and Streamlining Act are as respectively listed in the right-hand column of the Appended Table 3 of the Supplementary Provisions w</w:t>
      </w:r>
      <w:r>
        <w:t>ith regard to each liquefied petroleum gas equipment, etc. under transition listed in the left-hand column of that Table (meaning liquefied petroleum gas equipment, etc. under transition prescribed in Article 16 of the Supplementary Provisions of the Conso</w:t>
      </w:r>
      <w:r>
        <w:t>lidation and Streamlining Act).</w:t>
      </w:r>
    </w:p>
    <w:p w:rsidR="001E6170" w:rsidRDefault="001E6170"/>
    <w:p w:rsidR="001E6170" w:rsidRDefault="006B52E8">
      <w:pPr>
        <w:pStyle w:val="ena"/>
      </w:pPr>
      <w:r>
        <w:t>(Period Specified by Cabinet Order as Referred to in Article 18, Paragraph (2) of the Supplementary Provisions of the Consolidation and Streamlining Act)</w:t>
      </w:r>
    </w:p>
    <w:p w:rsidR="001E6170" w:rsidRDefault="006B52E8">
      <w:pPr>
        <w:pStyle w:val="enf3"/>
      </w:pPr>
      <w:r>
        <w:t>Article 5  The periods specified by Cabinet Order as referred to in A</w:t>
      </w:r>
      <w:r>
        <w:t>rticle 18, paragraph (2) of the Supplementary Provisions of the Consolidation and Streamlining Act are as respectively listed in the right-hand column of the Appended Table 4 of the Supplementary Provisions with regard to each specified liquefied petroleum</w:t>
      </w:r>
      <w:r>
        <w:t xml:space="preserve"> gas equipment, etc. under transition listed in the left-hand column of that Table (meaning specified liquefied petroleum gas equipment, etc. under transition prescribed in that paragraph).</w:t>
      </w:r>
    </w:p>
    <w:p w:rsidR="001E6170" w:rsidRDefault="001E6170"/>
    <w:p w:rsidR="001E6170" w:rsidRDefault="006B52E8">
      <w:pPr>
        <w:pStyle w:val="ena"/>
      </w:pPr>
      <w:r>
        <w:t>(Period Specified by Cabinet Order as Referred to in Article 19 o</w:t>
      </w:r>
      <w:r>
        <w:t>f the Supplementary Provisions of the Consolidation and Streamlining Act)</w:t>
      </w:r>
    </w:p>
    <w:p w:rsidR="001E6170" w:rsidRDefault="006B52E8">
      <w:pPr>
        <w:pStyle w:val="enf3"/>
      </w:pPr>
      <w:r>
        <w:t>Article 6  The periods specified by Cabinet Order as referred to in Article 19 of the Supplementary Provisions of the Consolidation and Streamlining Act are as respectively listed in</w:t>
      </w:r>
      <w:r>
        <w:t xml:space="preserve"> the right-hand column of the Appended Table 5 of the Supplementary Provisions with regard to each second-class liquefied petroleum gas equipment, etc. under transition listed in the left-hand column of that Table (meaning the second-class liquefied petrol</w:t>
      </w:r>
      <w:r>
        <w:t>eum gas equipment, etc. under transition prescribed in that Article).</w:t>
      </w:r>
    </w:p>
    <w:p w:rsidR="001E6170" w:rsidRDefault="001E6170"/>
    <w:p w:rsidR="001E6170" w:rsidRDefault="006B52E8">
      <w:pPr>
        <w:pStyle w:val="ena"/>
      </w:pPr>
      <w:r>
        <w:t>(Period Specified by Cabinet Order as Referred to in Article 61, Paragraph (1) of the Supplementary Provisions of the Consolidation and Streamlining Act)</w:t>
      </w:r>
    </w:p>
    <w:p w:rsidR="001E6170" w:rsidRDefault="006B52E8">
      <w:pPr>
        <w:pStyle w:val="enf3"/>
      </w:pPr>
      <w:r>
        <w:t>Article 7  The periods specifie</w:t>
      </w:r>
      <w:r>
        <w:t xml:space="preserve">d by Cabinet Order as referred to in Article 61, paragraph (1) of the Supplementary Provisions of the Consolidation and Streamlining Act are as respectively listed in the right-hand column of Appended Table 6 of the Supplementary Provisions with regard to </w:t>
      </w:r>
      <w:r>
        <w:t>each gas equipment under transition listed in the left-hand column of that Table (meaning gas equipment under transition prescribed in Article 59 of the Supplementary Provisions of the Consolidation and Streamlining Act).</w:t>
      </w:r>
    </w:p>
    <w:p w:rsidR="001E6170" w:rsidRDefault="001E6170"/>
    <w:p w:rsidR="001E6170" w:rsidRDefault="006B52E8">
      <w:pPr>
        <w:pStyle w:val="ena"/>
      </w:pPr>
      <w:r>
        <w:t>(Period Specified by Cabinet Orde</w:t>
      </w:r>
      <w:r>
        <w:t>r as Referred to in Article 61, Paragraph (2) of the Supplementary Provisions of the Consolidation and Streamlining Act)</w:t>
      </w:r>
    </w:p>
    <w:p w:rsidR="001E6170" w:rsidRDefault="006B52E8">
      <w:pPr>
        <w:pStyle w:val="enf3"/>
      </w:pPr>
      <w:r>
        <w:t>Article 8  The periods specified by Cabinet Order as referred to in Article 61, paragraph (2) of the Supplementary Provisions of the Co</w:t>
      </w:r>
      <w:r>
        <w:t xml:space="preserve">nsolidation and Streamlining Act are as respectively listed in the right-hand column of the Appended Table 7 of the Supplementary Provisions with regard to each specified gas equipment under transition listed in the left-hand column of that Table (meaning </w:t>
      </w:r>
      <w:r>
        <w:t>specified gas equipment under transition prescribed in that paragraph).</w:t>
      </w:r>
    </w:p>
    <w:p w:rsidR="001E6170" w:rsidRDefault="001E6170"/>
    <w:p w:rsidR="001E6170" w:rsidRDefault="006B52E8">
      <w:pPr>
        <w:pStyle w:val="ena"/>
      </w:pPr>
      <w:r>
        <w:t>(Period Specified by Cabinet Order as Referred to in Article 62 of the Supplementary Provisions of the Consolidation and Streamlining Act)</w:t>
      </w:r>
    </w:p>
    <w:p w:rsidR="001E6170" w:rsidRDefault="006B52E8">
      <w:pPr>
        <w:pStyle w:val="enf3"/>
      </w:pPr>
      <w:r>
        <w:t xml:space="preserve">Article 9  The periods specified by </w:t>
      </w:r>
      <w:r>
        <w:t xml:space="preserve">Cabinet Order as set forth in Article 62 of the Supplementary Provisions of the Consolidation and Streamlining Act are as respectively listed in the right-hand column of the Appended Table 8 of the Supplementary Provisions with regard to each second-class </w:t>
      </w:r>
      <w:r>
        <w:t>gas equipment under transition listed in the left-hand column of that Table (meaning the second-class gas equipment under transition prescribed in that Article).</w:t>
      </w:r>
    </w:p>
    <w:p w:rsidR="001E6170" w:rsidRDefault="001E6170"/>
    <w:p w:rsidR="001E6170" w:rsidRDefault="006B52E8">
      <w:pPr>
        <w:pStyle w:val="ena"/>
      </w:pPr>
      <w:r>
        <w:t>(Transitional Measures for Enforcement of the Consolidation and Streamlining Act)</w:t>
      </w:r>
    </w:p>
    <w:p w:rsidR="001E6170" w:rsidRDefault="006B52E8">
      <w:pPr>
        <w:pStyle w:val="enf3"/>
      </w:pPr>
      <w:r>
        <w:t xml:space="preserve">Article 10 </w:t>
      </w:r>
      <w:r>
        <w:t xml:space="preserve"> (1) In addition to cases which are to continue to be governed by prior laws pursuant to the provisions of the following paragraph, prior laws continue to govern the first-class specified products listed in item (ii) of the Appended Table 1 of the Order fo</w:t>
      </w:r>
      <w:r>
        <w:t>r Enforcement of the Consumer Product Safety Act prior to the amendment pursuant to the provisions of Article 3, to which the label under the provisions of Article 27 of the Consumer Product Safety Act prior to the amendment pursuant to the provisions of A</w:t>
      </w:r>
      <w:r>
        <w:t>rticle 1 of the Consolidation and Streamlining Act (hereinafter referred to as the "former Consumer Product Safety Act" in this Article) as applied mutatis mutandis pursuant to Article 32-4, paragraph (2) of the former Consumer Product Safety Act, is affix</w:t>
      </w:r>
      <w:r>
        <w:t>ed, until the day on which three years have passed from the date on which the provisions of Article 1 of the Consolidation and Streamlining Act come into effect, notwithstanding the provisions of Article 4, paragraph (1) and Article 5 of the Consumer Produ</w:t>
      </w:r>
      <w:r>
        <w:t>ct Safety Act as amended by the provisions of Article 1 of the Consolidation and Streamlining Act (referred to as the "new Consumer Product Safety Act" in the following paragraph).</w:t>
      </w:r>
    </w:p>
    <w:p w:rsidR="001E6170" w:rsidRDefault="006B52E8">
      <w:pPr>
        <w:pStyle w:val="enf4"/>
      </w:pPr>
      <w:r>
        <w:t>(2) Prior laws continue to govern the sale or labeling of the first-class s</w:t>
      </w:r>
      <w:r>
        <w:t>pecified products listed in item (ii) of the Appended Table 1 of the Order for Enforcement of the Consumer Product Safety Act prior to the amendment pursuant to the provisions of Article 3, which are subject to approval of product type under the provisions</w:t>
      </w:r>
      <w:r>
        <w:t xml:space="preserve"> of Article 32-4, paragraph (1) of the former Consumer Products Safety Act, which is in effect at the time of the enforcement of the provisions of Article 1 of the Consolidation and Streamlining Act (including approval of product type obtained by deeming t</w:t>
      </w:r>
      <w:r>
        <w:t>hat it is to continue to be governed by prior laws pursuant to the provisions of Article 4, paragraph (1) or (3) of the Supplementary Provisions of the Consolidation and Streamlining Act (limited to the approval of product type for a foreign registered man</w:t>
      </w:r>
      <w:r>
        <w:t>ufacturer referred to in Article 32-2 of the former Consumer Products Safety Act)), until the day on which three years have passed from the date on which the provisions of Article 1 of the Consolidation and Streamlining Act come into effect or the day on w</w:t>
      </w:r>
      <w:r>
        <w:t>hich 10 years have passed from the day of the approval, whichever comes earlier, notwithstanding the provisions of Article 4, paragraph (1) and Article 5 of the new Consumer Products Safety Act.</w:t>
      </w:r>
    </w:p>
    <w:p w:rsidR="001E6170" w:rsidRDefault="001E6170"/>
    <w:p w:rsidR="001E6170" w:rsidRDefault="006B52E8">
      <w:pPr>
        <w:pStyle w:val="enf3"/>
      </w:pPr>
      <w:r>
        <w:t>Article 11  (1) In addition to cases which are to continue t</w:t>
      </w:r>
      <w:r>
        <w:t>o be governed by prior laws pursuant to the provisions of the following paragraph, with regard to the first-class gas equipment prescribed in the Appended Table 2 of the Order for Enforcement of the Gas Business Act prior to the amendment pursuant to the p</w:t>
      </w:r>
      <w:r>
        <w:t>rovisions of Article 1, to which the label under the provisions of Article 39-12 of the Gas Business Act prior to the amendment pursuant to the provisions of Article 11 of the Consolidation and Streamlining Act (hereinafter referred to as the "former Gas B</w:t>
      </w:r>
      <w:r>
        <w:t>usiness Act" in this Article) as applied mutatis mutandis pursuant to Article 39-14, paragraph (7) of the former Gas Business Act, is affixed, and which is not prescribed in the left-hand column of the Appended Table 2 of the Order for Enforcement of the G</w:t>
      </w:r>
      <w:r>
        <w:t>as Business Act as amended by the provisions of Article 1 (referred to as the "first-class gas equipment under transition" in the following paragraph), the provisions that continue to govern remain applicable until the day on which five years have passed f</w:t>
      </w:r>
      <w:r>
        <w:t>rom the day of the enforcement of the provisions of Article 11 of the Consolidation and Streamlining Act, notwithstanding the provisions of Article 39-3, paragraph (1) and Article 39-4 of the Gas Business Act as amended by the provisions of Article 11 of t</w:t>
      </w:r>
      <w:r>
        <w:t>he Consolidation and Streamlining Act (referred to as the "new Gas Business Act" in the following paragraph).</w:t>
      </w:r>
    </w:p>
    <w:p w:rsidR="001E6170" w:rsidRDefault="006B52E8">
      <w:pPr>
        <w:pStyle w:val="enf4"/>
      </w:pPr>
      <w:r>
        <w:t>(2) With regard to the sale or labeling of the first-class gas equipment under transition which is subject to approval of the type pursuant to the</w:t>
      </w:r>
      <w:r>
        <w:t xml:space="preserve"> provisions of Article 39-13-3 of the former Gas Business Act, which is in effect at the time of the enforcement of the provisions of Article 11 of the Consolidation and Streamlining Act (including approval of the type obtained by deeming that the provisio</w:t>
      </w:r>
      <w:r>
        <w:t>ns that continue to govern remain applicable pursuant to the provisions of Article 60, paragraph (1) or (3) of the Supplementary Provisions of the Consolidation and Streamlining Act (limited to the approval for a foreign registered manufacturer referred to</w:t>
      </w:r>
      <w:r>
        <w:t xml:space="preserve"> in Article 39-13-3 of the former Gas Business Act)), the provisions that continue to govern remain applicable until the day on which five years have passed from the day of the enforcement of the provisions of Article 11 of the Consolidation and Streamlini</w:t>
      </w:r>
      <w:r>
        <w:t>ng Act or the day on which five years have pass from the day on which the approval is obtained, whichever comes earlier, notwithstanding the provisions of Article 39-3, paragraph (1) and Article 39-4 of the new Gas Business Act.</w:t>
      </w:r>
    </w:p>
    <w:p w:rsidR="001E6170" w:rsidRDefault="001E6170"/>
    <w:p w:rsidR="001E6170" w:rsidRDefault="006B52E8">
      <w:pPr>
        <w:pStyle w:val="ena"/>
      </w:pPr>
      <w:r>
        <w:t>(Transitional Measures Con</w:t>
      </w:r>
      <w:r>
        <w:t>cerning Penal Provisions)</w:t>
      </w:r>
    </w:p>
    <w:p w:rsidR="001E6170" w:rsidRDefault="006B52E8">
      <w:pPr>
        <w:pStyle w:val="enf3"/>
      </w:pPr>
      <w:r>
        <w:t>Article 12  Prior laws continue to govern the application of penal provisions to acts performed prior to the enforcement of this Cabinet Order and acts performed after the enforcement of this Cabinet Order in the cases which are c</w:t>
      </w:r>
      <w:r>
        <w:t>ontinue to be governed by prior laws pursuant to the provisions of these Supplementary Provisions.</w:t>
      </w:r>
    </w:p>
    <w:p w:rsidR="001E6170" w:rsidRDefault="001E6170"/>
    <w:p w:rsidR="001E6170" w:rsidRDefault="006B52E8">
      <w:pPr>
        <w:pStyle w:val="en2"/>
      </w:pPr>
      <w:r>
        <w:t>Supplementary Provisions  [Cabinet Order No. 311 of June 7, 2000]  [Extract]</w:t>
      </w:r>
    </w:p>
    <w:p w:rsidR="001E6170" w:rsidRDefault="001E6170"/>
    <w:p w:rsidR="001E6170" w:rsidRDefault="006B52E8">
      <w:pPr>
        <w:pStyle w:val="ena"/>
      </w:pPr>
      <w:r>
        <w:t>(Effective Date)</w:t>
      </w:r>
    </w:p>
    <w:p w:rsidR="001E6170" w:rsidRDefault="006B52E8">
      <w:pPr>
        <w:pStyle w:val="enf3"/>
      </w:pPr>
      <w:r>
        <w:t>Article 1  This Cabinet Order comes into effect as of the dat</w:t>
      </w:r>
      <w:r>
        <w:t>e on which the Act Partially Amending the Cabinet Act (Act No. 88 of 1999) comes into effect (January 6, 2001).</w:t>
      </w:r>
    </w:p>
    <w:p w:rsidR="001E6170" w:rsidRDefault="001E6170"/>
    <w:p w:rsidR="001E6170" w:rsidRDefault="006B52E8">
      <w:pPr>
        <w:pStyle w:val="en2"/>
      </w:pPr>
      <w:r>
        <w:t>Supplementary Provisions  [Cabinet Order No. 333 of June 7, 2000]  [Extract]</w:t>
      </w:r>
    </w:p>
    <w:p w:rsidR="001E6170" w:rsidRDefault="001E6170"/>
    <w:p w:rsidR="001E6170" w:rsidRDefault="006B52E8">
      <w:pPr>
        <w:pStyle w:val="ena"/>
      </w:pPr>
      <w:r>
        <w:t>(Effective Date)</w:t>
      </w:r>
    </w:p>
    <w:p w:rsidR="001E6170" w:rsidRDefault="006B52E8">
      <w:pPr>
        <w:pStyle w:val="enf4"/>
      </w:pPr>
      <w:r>
        <w:t>(1) This Cabinet Order (excluding Article 1) com</w:t>
      </w:r>
      <w:r>
        <w:t>es into effect as of April 1, 2001.</w:t>
      </w:r>
    </w:p>
    <w:p w:rsidR="001E6170" w:rsidRDefault="001E6170"/>
    <w:p w:rsidR="001E6170" w:rsidRDefault="006B52E8">
      <w:pPr>
        <w:pStyle w:val="en2"/>
      </w:pPr>
      <w:r>
        <w:t>Supplementary Provisions  [Cabinet Order No. 434 of September 22, 2000]  [Extract]</w:t>
      </w:r>
    </w:p>
    <w:p w:rsidR="001E6170" w:rsidRDefault="001E6170"/>
    <w:p w:rsidR="001E6170" w:rsidRDefault="006B52E8">
      <w:pPr>
        <w:pStyle w:val="ena"/>
      </w:pPr>
      <w:r>
        <w:t>(Effective Date)</w:t>
      </w:r>
    </w:p>
    <w:p w:rsidR="001E6170" w:rsidRDefault="006B52E8">
      <w:pPr>
        <w:pStyle w:val="enf3"/>
      </w:pPr>
      <w:r>
        <w:t xml:space="preserve">Article 1  This Cabinet Order comes into effect as of October 1, 2000; provided, however, that the </w:t>
      </w:r>
      <w:r>
        <w:t>provisions of Article 1 (limited to the part related to item (i)) through Article 3 and Article 5, the provisions amending Article 3 of the Order for Enforcement of the Consumer Product Safety Act in Article 10, and the provisions of Article 12 come into e</w:t>
      </w:r>
      <w:r>
        <w:t>ffect as of April 1, 2001.</w:t>
      </w:r>
    </w:p>
    <w:p w:rsidR="001E6170" w:rsidRDefault="001E6170"/>
    <w:p w:rsidR="001E6170" w:rsidRDefault="006B52E8">
      <w:pPr>
        <w:pStyle w:val="en2"/>
      </w:pPr>
      <w:r>
        <w:t>Supplementary Provisions  [Cabinet Order No. 14 of January 31, 2001]</w:t>
      </w:r>
    </w:p>
    <w:p w:rsidR="001E6170" w:rsidRDefault="001E6170"/>
    <w:p w:rsidR="001E6170" w:rsidRDefault="006B52E8">
      <w:pPr>
        <w:pStyle w:val="ena"/>
      </w:pPr>
      <w:r>
        <w:t>(Effective Date)</w:t>
      </w:r>
    </w:p>
    <w:p w:rsidR="001E6170" w:rsidRDefault="006B52E8">
      <w:pPr>
        <w:pStyle w:val="enf3"/>
      </w:pPr>
      <w:r>
        <w:t>Article 1  This Cabinet Order comes into effect as of the day of promulgation.</w:t>
      </w:r>
    </w:p>
    <w:p w:rsidR="001E6170" w:rsidRDefault="001E6170"/>
    <w:p w:rsidR="001E6170" w:rsidRDefault="006B52E8">
      <w:pPr>
        <w:pStyle w:val="ena"/>
      </w:pPr>
      <w:r>
        <w:t>(Transitional Measures)</w:t>
      </w:r>
    </w:p>
    <w:p w:rsidR="001E6170" w:rsidRDefault="006B52E8">
      <w:pPr>
        <w:pStyle w:val="enf3"/>
      </w:pPr>
      <w:r>
        <w:t xml:space="preserve">Article 2  A person engaged in the </w:t>
      </w:r>
      <w:r>
        <w:t>business of manufacturing, importing or selling the specified products listed in item (v) of the Appended Table 1 of the Order for Enforcement of the Consumer Product Safety Act as amended by this Cabinet Order (hereinafter referred to as the "additional s</w:t>
      </w:r>
      <w:r>
        <w:t>pecified products") may sell or display for the purpose of sale, the additional specified products without labeling them pursuant to the provisions of Article 13 of the Consumer Product Safety Act (hereinafter referred to as the "Act") for one month from t</w:t>
      </w:r>
      <w:r>
        <w:t>he date on which this Cabinet Order comes into effect, notwithstanding the provisions of Article 4, paragraph (1) of the Act.</w:t>
      </w:r>
    </w:p>
    <w:p w:rsidR="001E6170" w:rsidRDefault="001E6170"/>
    <w:p w:rsidR="001E6170" w:rsidRDefault="006B52E8">
      <w:pPr>
        <w:pStyle w:val="en2"/>
      </w:pPr>
      <w:r>
        <w:t>Supplementary Provisions  [Cabinet Order No. 225 of May 16, 2003]</w:t>
      </w:r>
    </w:p>
    <w:p w:rsidR="001E6170" w:rsidRDefault="001E6170"/>
    <w:p w:rsidR="001E6170" w:rsidRDefault="006B52E8">
      <w:pPr>
        <w:pStyle w:val="ena"/>
      </w:pPr>
      <w:r>
        <w:t>(Effective Date)</w:t>
      </w:r>
    </w:p>
    <w:p w:rsidR="001E6170" w:rsidRDefault="006B52E8">
      <w:pPr>
        <w:pStyle w:val="enf3"/>
      </w:pPr>
      <w:r>
        <w:t>Article 1  This Cabinet Order comes into effe</w:t>
      </w:r>
      <w:r>
        <w:t>ct as of August 1, 2003; provided, however, that the provisions of paragraph (2) of the following Article come into effect as of the day of promulgation.</w:t>
      </w:r>
    </w:p>
    <w:p w:rsidR="001E6170" w:rsidRDefault="001E6170"/>
    <w:p w:rsidR="001E6170" w:rsidRDefault="006B52E8">
      <w:pPr>
        <w:pStyle w:val="ena"/>
      </w:pPr>
      <w:r>
        <w:t>(Transitional Measures)</w:t>
      </w:r>
    </w:p>
    <w:p w:rsidR="001E6170" w:rsidRDefault="006B52E8">
      <w:pPr>
        <w:pStyle w:val="enf3"/>
      </w:pPr>
      <w:r>
        <w:t>Article 2  (1) A person engaged in the business of manufacturing, importing o</w:t>
      </w:r>
      <w:r>
        <w:t>r selling the specified products listed in item (vi) of the Appended Table 1 of the Order for Enforcement of the Consumer Product Safety Act as amended by this Cabinet Order (hereinafter referred to as the "additional specified products") may sell or displ</w:t>
      </w:r>
      <w:r>
        <w:t>ay for the purpose of sale, the additional specified products without labeling them pursuant to the provisions of Article 13 of the Consumer Product Safety Act (hereinafter referred to as the "Act") for three months from the date on which this Cabinet Orde</w:t>
      </w:r>
      <w:r>
        <w:t>r comes into effect, notwithstanding the provisions of Article 4, paragraph (1) of the Act.</w:t>
      </w:r>
    </w:p>
    <w:p w:rsidR="001E6170" w:rsidRDefault="006B52E8">
      <w:pPr>
        <w:pStyle w:val="enf4"/>
      </w:pPr>
      <w:r>
        <w:t>(2) A person who seeks to obtain a certification or approval as referred to in Article 12, paragraph (1) of the Act for additional specified products may file an ap</w:t>
      </w:r>
      <w:r>
        <w:t xml:space="preserve">plication for the certification or approval prior to the enforcement of this Cabinet Order. The same applies to the notification of operational rules pursuant to the provisions of Article 22, paragraph (1) of the Act (including as applied mutatis mutandis </w:t>
      </w:r>
      <w:r>
        <w:t>pursuant to Article 29, paragraph (2) of the Act).</w:t>
      </w:r>
    </w:p>
    <w:p w:rsidR="001E6170" w:rsidRDefault="001E6170"/>
    <w:p w:rsidR="001E6170" w:rsidRDefault="006B52E8">
      <w:pPr>
        <w:pStyle w:val="en2"/>
      </w:pPr>
      <w:r>
        <w:t>Supplementary Provisions  [Cabinet Order No. 505 of December 10, 2003]  [Extract]</w:t>
      </w:r>
    </w:p>
    <w:p w:rsidR="001E6170" w:rsidRDefault="001E6170"/>
    <w:p w:rsidR="001E6170" w:rsidRDefault="006B52E8">
      <w:pPr>
        <w:pStyle w:val="ena"/>
      </w:pPr>
      <w:r>
        <w:t>(Effective Date)</w:t>
      </w:r>
    </w:p>
    <w:p w:rsidR="001E6170" w:rsidRDefault="006B52E8">
      <w:pPr>
        <w:pStyle w:val="enf3"/>
      </w:pPr>
      <w:r>
        <w:t>Article 1  This Cabinet Order comes into effect as of the date on which the provisions listed in Article</w:t>
      </w:r>
      <w:r>
        <w:t xml:space="preserve"> 1, item (iii) of the Supplementary Provisions of the Act Partially Amending the Food Sanitation Act, etc. (hereinafter referred to as the "amended Act") come into effect (February 27, 2004).</w:t>
      </w:r>
    </w:p>
    <w:p w:rsidR="001E6170" w:rsidRDefault="001E6170"/>
    <w:p w:rsidR="001E6170" w:rsidRDefault="006B52E8">
      <w:pPr>
        <w:pStyle w:val="en2"/>
      </w:pPr>
      <w:r>
        <w:t>Supplementary Provisions  [Cabinet Order No. 526 of December 17</w:t>
      </w:r>
      <w:r>
        <w:t>, 2003]  [Extract]</w:t>
      </w:r>
    </w:p>
    <w:p w:rsidR="001E6170" w:rsidRDefault="001E6170"/>
    <w:p w:rsidR="001E6170" w:rsidRDefault="006B52E8">
      <w:pPr>
        <w:pStyle w:val="ena"/>
      </w:pPr>
      <w:r>
        <w:t>(Effective Date)</w:t>
      </w:r>
    </w:p>
    <w:p w:rsidR="001E6170" w:rsidRDefault="006B52E8">
      <w:pPr>
        <w:pStyle w:val="enf3"/>
      </w:pPr>
      <w:r>
        <w:t>Article 1  This Cabinet Order comes into effect as of the date on which the Act on the Development of Acts Related to the Ministry of Economy, Trade and Industry to Promote Reform of Public Interest Corporations comes i</w:t>
      </w:r>
      <w:r>
        <w:t>nto effect (March 1, 2004).</w:t>
      </w:r>
    </w:p>
    <w:p w:rsidR="001E6170" w:rsidRDefault="001E6170"/>
    <w:p w:rsidR="001E6170" w:rsidRDefault="006B52E8">
      <w:pPr>
        <w:pStyle w:val="en2"/>
      </w:pPr>
      <w:r>
        <w:t>Supplementary Provisions  [Cabinet Order No. 37 of February 28, 2007]</w:t>
      </w:r>
    </w:p>
    <w:p w:rsidR="001E6170" w:rsidRDefault="001E6170"/>
    <w:p w:rsidR="001E6170" w:rsidRDefault="006B52E8">
      <w:pPr>
        <w:pStyle w:val="enf5"/>
      </w:pPr>
      <w:r>
        <w:t xml:space="preserve">This Cabinet Order comes into effect as of the date on which the Act on the Partial Amendment of the Consumer Product Safety Act comes into effect (May </w:t>
      </w:r>
      <w:r>
        <w:t>14, 2007).</w:t>
      </w:r>
    </w:p>
    <w:p w:rsidR="001E6170" w:rsidRDefault="001E6170"/>
    <w:p w:rsidR="001E6170" w:rsidRDefault="006B52E8">
      <w:pPr>
        <w:pStyle w:val="en2"/>
      </w:pPr>
      <w:r>
        <w:t>Supplementary Provisions  [Cabinet Order No. 70 of March 26, 2008]</w:t>
      </w:r>
    </w:p>
    <w:p w:rsidR="001E6170" w:rsidRDefault="001E6170"/>
    <w:p w:rsidR="001E6170" w:rsidRDefault="006B52E8">
      <w:pPr>
        <w:pStyle w:val="ena"/>
      </w:pPr>
      <w:r>
        <w:t>(Effective Date)</w:t>
      </w:r>
    </w:p>
    <w:p w:rsidR="001E6170" w:rsidRDefault="006B52E8">
      <w:pPr>
        <w:pStyle w:val="enf3"/>
      </w:pPr>
      <w:r>
        <w:t>Article 1  This Cabinet Order comes into effect as of the date on which the Act on the Partial Amendment of the Consumer Product Safety Act comes into effect (</w:t>
      </w:r>
      <w:r>
        <w:t>April 1, 2009).</w:t>
      </w:r>
    </w:p>
    <w:p w:rsidR="001E6170" w:rsidRDefault="001E6170"/>
    <w:p w:rsidR="001E6170" w:rsidRDefault="006B52E8">
      <w:pPr>
        <w:pStyle w:val="ena"/>
      </w:pPr>
      <w:r>
        <w:t>(Transitional Measures Concerning Specified Products)</w:t>
      </w:r>
    </w:p>
    <w:p w:rsidR="001E6170" w:rsidRDefault="006B52E8">
      <w:pPr>
        <w:pStyle w:val="enf3"/>
      </w:pPr>
      <w:r>
        <w:t>Article 2  A person engaged in the business of manufacturing, importing or selling the specified products listed in items (vii) through (ix) of the Appended Table 1 of the Order for Enf</w:t>
      </w:r>
      <w:r>
        <w:t>orcement of the Consumer Product Safety Act as amended by this Cabinet Order (hereinafter referred to as the "additional specified products") may sell or display for the purpose of sale, the additional specified products without labeling them pursuant to t</w:t>
      </w:r>
      <w:r>
        <w:t>he provisions of Article 13 of the Consumer Product Safety Act (hereinafter referred to as the "Act") for two years from the date this Cabinet Order comes into effect, notwithstanding the provisions of Article 4, paragraph (1) of the Act.</w:t>
      </w:r>
    </w:p>
    <w:p w:rsidR="001E6170" w:rsidRDefault="001E6170"/>
    <w:p w:rsidR="001E6170" w:rsidRDefault="006B52E8">
      <w:pPr>
        <w:pStyle w:val="ena"/>
      </w:pPr>
      <w:r>
        <w:t>(Transitional Me</w:t>
      </w:r>
      <w:r>
        <w:t>asures Concerning Specified Products Requiring Maintenance)</w:t>
      </w:r>
    </w:p>
    <w:p w:rsidR="001E6170" w:rsidRDefault="006B52E8">
      <w:pPr>
        <w:pStyle w:val="enf3"/>
      </w:pPr>
      <w:r>
        <w:t>Article 3  (1) With regard to the application of Article 32-2 of the Act to a person engaged in the business of manufacturing or importing specified products requiring maintenance listed in the Ap</w:t>
      </w:r>
      <w:r>
        <w:t>pended Table 3 of the Enforcement Order of the Consumer Product Safety Act after the amendment at the time of the enforcement of this Cabinet Order, the term "starting date of the business" in paragraph (1) of that Article is deemed to be replaced with "da</w:t>
      </w:r>
      <w:r>
        <w:t>te on which the Act on the Partial Amendment of the Consumer Product Safety Act (Act No. 117 of 2007) comes into effect."</w:t>
      </w:r>
    </w:p>
    <w:p w:rsidR="001E6170" w:rsidRDefault="006B52E8">
      <w:pPr>
        <w:pStyle w:val="enf4"/>
      </w:pPr>
      <w:r>
        <w:t>(2) The provisions of Articles 32-2 through 32-17 of the Act do not apply to specified products requiring maintenance referred to in t</w:t>
      </w:r>
      <w:r>
        <w:t>he preceding paragraph which have been manufactured or imported prior to the enforcement of those provisions.</w:t>
      </w:r>
    </w:p>
    <w:p w:rsidR="001E6170" w:rsidRDefault="001E6170"/>
    <w:p w:rsidR="001E6170" w:rsidRDefault="006B52E8">
      <w:pPr>
        <w:pStyle w:val="en2"/>
      </w:pPr>
      <w:r>
        <w:t>Supplementary Provisions  [Cabinet Order No. 217 of August 14, 2009]  [Extract]</w:t>
      </w:r>
    </w:p>
    <w:p w:rsidR="001E6170" w:rsidRDefault="001E6170"/>
    <w:p w:rsidR="001E6170" w:rsidRDefault="006B52E8">
      <w:pPr>
        <w:pStyle w:val="ena"/>
      </w:pPr>
      <w:r>
        <w:t>(Effective Date)</w:t>
      </w:r>
    </w:p>
    <w:p w:rsidR="001E6170" w:rsidRDefault="006B52E8">
      <w:pPr>
        <w:pStyle w:val="enf4"/>
      </w:pPr>
      <w:r>
        <w:t xml:space="preserve">(1) This Cabinet Order comes into effect as of </w:t>
      </w:r>
      <w:r>
        <w:t>the date on which the Act for Establishment of the Consumer Affairs Agency and the Consumer Commission comes into effect (September 1, 2009).</w:t>
      </w:r>
    </w:p>
    <w:p w:rsidR="001E6170" w:rsidRDefault="001E6170"/>
    <w:p w:rsidR="001E6170" w:rsidRDefault="006B52E8">
      <w:pPr>
        <w:pStyle w:val="ena"/>
      </w:pPr>
      <w:r>
        <w:t>(Transitional Measures Concerning Penal Provisions)</w:t>
      </w:r>
    </w:p>
    <w:p w:rsidR="001E6170" w:rsidRDefault="006B52E8">
      <w:pPr>
        <w:pStyle w:val="enf4"/>
      </w:pPr>
      <w:r>
        <w:t>(2) Prior laws continue to govern the application of penal pr</w:t>
      </w:r>
      <w:r>
        <w:t>ovisions to acts performed prior to the enforcement of this Cabinet Order.</w:t>
      </w:r>
    </w:p>
    <w:p w:rsidR="001E6170" w:rsidRDefault="001E6170"/>
    <w:p w:rsidR="001E6170" w:rsidRDefault="006B52E8">
      <w:pPr>
        <w:pStyle w:val="en2"/>
      </w:pPr>
      <w:r>
        <w:t>Supplementary Provisions  [Cabinet Order No. 223 of November 10, 2010]</w:t>
      </w:r>
    </w:p>
    <w:p w:rsidR="001E6170" w:rsidRDefault="001E6170"/>
    <w:p w:rsidR="001E6170" w:rsidRDefault="006B52E8">
      <w:pPr>
        <w:pStyle w:val="ena"/>
      </w:pPr>
      <w:r>
        <w:t>(Effective Date)</w:t>
      </w:r>
    </w:p>
    <w:p w:rsidR="001E6170" w:rsidRDefault="006B52E8">
      <w:pPr>
        <w:pStyle w:val="enf3"/>
      </w:pPr>
      <w:r>
        <w:t>Article 1  This Cabinet Order comes into effect as of December 27, 2010; provided, however,</w:t>
      </w:r>
      <w:r>
        <w:t xml:space="preserve"> that the provisions of paragraph (2) of the following Article come into effect as of the day of promulgation.</w:t>
      </w:r>
    </w:p>
    <w:p w:rsidR="001E6170" w:rsidRDefault="001E6170"/>
    <w:p w:rsidR="001E6170" w:rsidRDefault="006B52E8">
      <w:pPr>
        <w:pStyle w:val="ena"/>
      </w:pPr>
      <w:r>
        <w:t>(Transitional Measures)</w:t>
      </w:r>
    </w:p>
    <w:p w:rsidR="001E6170" w:rsidRDefault="006B52E8">
      <w:pPr>
        <w:pStyle w:val="enf3"/>
      </w:pPr>
      <w:r>
        <w:t xml:space="preserve">Article 2  (1) A person engaged in the business of manufacturing, importing or selling the specified products </w:t>
      </w:r>
      <w:r>
        <w:t>listed in item (x) of the Appended Table 1 of the Order for Enforcement of the Consumer Product Safety Act as amended by this Cabinet Order (hereinafter referred to as the "additional specified products") may sell or display for the purpose of sale, the ad</w:t>
      </w:r>
      <w:r>
        <w:t>ditional specified products without labeling them pursuant to the provisions of Article 13 of the Consumer Product Safety Act (hereinafter referred to as the "Act") for nine months from the date on which this Cabinet Order comes into effect, notwithstandin</w:t>
      </w:r>
      <w:r>
        <w:t>g the provisions of Article 4, paragraph (1) of the Act.</w:t>
      </w:r>
    </w:p>
    <w:p w:rsidR="001E6170" w:rsidRDefault="006B52E8">
      <w:pPr>
        <w:pStyle w:val="enf4"/>
      </w:pPr>
      <w:r>
        <w:t>(2) A person who seeks to obtain a registration referred to in Article 12, paragraph (1) of the Act for additional specified products may file an application for the registration prior to the enforce</w:t>
      </w:r>
      <w:r>
        <w:t>ment of this Cabinet Order. The same applies to the notification of operational rules under the provisions of Article 22, paragraph (1) of the Act (including as applied mutatis mutandis pursuant to Article 30, paragraph (2) of the Act).</w:t>
      </w:r>
    </w:p>
    <w:p w:rsidR="001E6170" w:rsidRDefault="001E6170"/>
    <w:p w:rsidR="001E6170" w:rsidRDefault="006B52E8">
      <w:pPr>
        <w:pStyle w:val="en2"/>
      </w:pPr>
      <w:r>
        <w:t>Supplementary Prov</w:t>
      </w:r>
      <w:r>
        <w:t>isions  [Cabinet Order No. 96 of March 30, 2012]  [Extract]</w:t>
      </w:r>
    </w:p>
    <w:p w:rsidR="001E6170" w:rsidRDefault="001E6170"/>
    <w:p w:rsidR="001E6170" w:rsidRDefault="006B52E8">
      <w:pPr>
        <w:pStyle w:val="ena"/>
      </w:pPr>
      <w:r>
        <w:t>(Effective Date)</w:t>
      </w:r>
    </w:p>
    <w:p w:rsidR="001E6170" w:rsidRDefault="006B52E8">
      <w:pPr>
        <w:pStyle w:val="enf3"/>
      </w:pPr>
      <w:r>
        <w:t>Article 1  This Cabinet Order comes into effect as of April 1, 2012.</w:t>
      </w:r>
    </w:p>
    <w:p w:rsidR="001E6170" w:rsidRDefault="001E6170"/>
    <w:p w:rsidR="001E6170" w:rsidRDefault="006B52E8">
      <w:pPr>
        <w:pStyle w:val="ena"/>
      </w:pPr>
      <w:r>
        <w:t>(Transitional Measures upon Partial Amendment of the Order for Enforcement of the Consumer Product Safety Ac</w:t>
      </w:r>
      <w:r>
        <w:t>t)</w:t>
      </w:r>
    </w:p>
    <w:p w:rsidR="001E6170" w:rsidRDefault="006B52E8">
      <w:pPr>
        <w:pStyle w:val="enf3"/>
      </w:pPr>
      <w:r>
        <w:t xml:space="preserve">Article 6  The collection of reports or other acts which have been performed, prior to the effective date, by a prefectural governor pursuant to the provisions of Article 40, paragraph (1), Article 41, paragraph (1), or Article 42, paragraph (1) of the </w:t>
      </w:r>
      <w:r>
        <w:t>Consumer Product Safety Act and which are related to the work to be performed by a city mayor after the effective date pursuant to those provisions are deemed to be the collection of reports or other acts that have been performed by the city mayor respecti</w:t>
      </w:r>
      <w:r>
        <w:t>vely pursuant to those provisions.</w:t>
      </w:r>
    </w:p>
    <w:p w:rsidR="001E6170" w:rsidRDefault="001E6170"/>
    <w:p w:rsidR="001E6170" w:rsidRDefault="006B52E8">
      <w:pPr>
        <w:pStyle w:val="en2"/>
      </w:pPr>
      <w:r>
        <w:t>Supplementary Provisions  [Cabinet Order No. 40 of March 23, 2017]  [Extract]</w:t>
      </w:r>
    </w:p>
    <w:p w:rsidR="001E6170" w:rsidRDefault="001E6170"/>
    <w:p w:rsidR="001E6170" w:rsidRDefault="006B52E8">
      <w:pPr>
        <w:pStyle w:val="ena"/>
      </w:pPr>
      <w:r>
        <w:t>(Effective Date)</w:t>
      </w:r>
    </w:p>
    <w:p w:rsidR="001E6170" w:rsidRDefault="006B52E8">
      <w:pPr>
        <w:pStyle w:val="enf3"/>
      </w:pPr>
      <w:r>
        <w:t>Article 1  This Cabinet Order comes into effect as of the "item (v) date of enforcement" (April 1, 2017).</w:t>
      </w:r>
    </w:p>
    <w:p w:rsidR="001E6170" w:rsidRDefault="001E6170"/>
    <w:p w:rsidR="001E6170" w:rsidRDefault="006B52E8">
      <w:pPr>
        <w:pStyle w:val="en2"/>
      </w:pPr>
      <w:r>
        <w:t>Supplementary Pro</w:t>
      </w:r>
      <w:r>
        <w:t>visions  [Cabinet Order No. 123 of October 9, 2019]  [Extract]</w:t>
      </w:r>
    </w:p>
    <w:p w:rsidR="001E6170" w:rsidRDefault="001E6170"/>
    <w:p w:rsidR="001E6170" w:rsidRDefault="006B52E8">
      <w:pPr>
        <w:pStyle w:val="ena"/>
      </w:pPr>
      <w:r>
        <w:t>(Effective Date)</w:t>
      </w:r>
    </w:p>
    <w:p w:rsidR="001E6170" w:rsidRDefault="006B52E8">
      <w:pPr>
        <w:pStyle w:val="enf3"/>
      </w:pPr>
      <w:r>
        <w:t xml:space="preserve">Article 1  This Cabinet Order comes into effect as of the date on which the provisions listed in Article 1, item (iii) of the Supplementary Provisions of the Act </w:t>
      </w:r>
      <w:r>
        <w:t>Partially Amending the Food Sanitation Act, etc. (referred to as the "amended Act" in the following Article) comes into effect (June 1, 2021).</w:t>
      </w:r>
    </w:p>
    <w:p w:rsidR="001E6170" w:rsidRDefault="001E6170"/>
    <w:p w:rsidR="001E6170" w:rsidRDefault="006B52E8">
      <w:pPr>
        <w:pStyle w:val="ena"/>
      </w:pPr>
      <w:r>
        <w:t>(Transitional Measures Concerning Penal Provisions)</w:t>
      </w:r>
    </w:p>
    <w:p w:rsidR="001E6170" w:rsidRDefault="006B52E8">
      <w:pPr>
        <w:pStyle w:val="enf3"/>
      </w:pPr>
      <w:r>
        <w:t xml:space="preserve">Article 3  Prior laws continue to govern the application of </w:t>
      </w:r>
      <w:r>
        <w:t>penal provisions to acts performed prior to the enforcement of this Cabinet Order and acts performed after the enforcement of this Cabinet Order in the cases which are to continue to be governed by prior laws pursuant to the provisions of the preceding Art</w:t>
      </w:r>
      <w:r>
        <w:t>icle.</w:t>
      </w:r>
    </w:p>
    <w:p w:rsidR="001E6170" w:rsidRDefault="001E6170"/>
    <w:p w:rsidR="001E6170" w:rsidRDefault="006B52E8">
      <w:pPr>
        <w:pStyle w:val="en2"/>
      </w:pPr>
      <w:r>
        <w:t>Supplementary Provisions  [Cabinet Order No. 21 of January 31, 2020]</w:t>
      </w:r>
    </w:p>
    <w:p w:rsidR="001E6170" w:rsidRDefault="001E6170"/>
    <w:p w:rsidR="001E6170" w:rsidRDefault="006B52E8">
      <w:pPr>
        <w:pStyle w:val="enf5"/>
      </w:pPr>
      <w:r>
        <w:t>This Cabinet Order comes into effect as of the date on which the Act Partially Amending the Road Transport Vehicle Act comes into effect (April 1, 2020).</w:t>
      </w:r>
    </w:p>
    <w:p w:rsidR="001E6170" w:rsidRDefault="001E6170"/>
    <w:p w:rsidR="001E6170" w:rsidRDefault="006B52E8">
      <w:pPr>
        <w:pStyle w:val="en8"/>
        <w:ind w:left="227" w:hanging="227"/>
      </w:pPr>
      <w:r>
        <w:t xml:space="preserve">Appended Table 1 </w:t>
      </w:r>
      <w:r>
        <w:t>(Re: Article 1 and Article 6)</w:t>
      </w:r>
    </w:p>
    <w:p w:rsidR="001E6170" w:rsidRDefault="006B52E8">
      <w:pPr>
        <w:pStyle w:val="enf6"/>
      </w:pPr>
      <w:r>
        <w:t>(i) autoclaves and pressure cookers for household use (limited to those with an inner volume of not more than 10 liters which are designed to be used under a gauge pressure of not less than 9.8 kilopascals)</w:t>
      </w:r>
    </w:p>
    <w:p w:rsidR="001E6170" w:rsidRDefault="006B52E8">
      <w:pPr>
        <w:pStyle w:val="enf6"/>
      </w:pPr>
      <w:r>
        <w:t>(ii) riding helmets</w:t>
      </w:r>
      <w:r>
        <w:t xml:space="preserve"> (limited to those for riding a two-wheeled motor vehicle or motorized bicycle)</w:t>
      </w:r>
    </w:p>
    <w:p w:rsidR="001E6170" w:rsidRDefault="006B52E8">
      <w:pPr>
        <w:pStyle w:val="enf6"/>
      </w:pPr>
      <w:r>
        <w:t>(iii) infant beds (limited to those designed to be used mainly at home for infants to sleep in or for childcare for infants up to 24 months from their birth; excluding beds tha</w:t>
      </w:r>
      <w:r>
        <w:t>t swing)</w:t>
      </w:r>
    </w:p>
    <w:p w:rsidR="001E6170" w:rsidRDefault="006B52E8">
      <w:pPr>
        <w:pStyle w:val="enf6"/>
      </w:pPr>
      <w:r>
        <w:t>(iv) climbing ropes (limited to those for ensuring bodily safety)</w:t>
      </w:r>
    </w:p>
    <w:p w:rsidR="001E6170" w:rsidRDefault="006B52E8">
      <w:pPr>
        <w:pStyle w:val="enf6"/>
      </w:pPr>
      <w:r>
        <w:t>(v) portable laser application devices (limited to those designed to display characters or figures by emitting a laser beam (limited to a visible beam) outside)</w:t>
      </w:r>
    </w:p>
    <w:p w:rsidR="001E6170" w:rsidRDefault="006B52E8">
      <w:pPr>
        <w:pStyle w:val="enf6"/>
      </w:pPr>
      <w:r>
        <w:t>(vi) hot water circu</w:t>
      </w:r>
      <w:r>
        <w:t xml:space="preserve">lators for baths (limited to those designed to be used mainly at home; excluding those in which the water suction port and jetting port are structurally integrated and which circulate water exclusively for heating and the maximum flow of water that can be </w:t>
      </w:r>
      <w:r>
        <w:t>circulated is less than 10 liters per minute)</w:t>
      </w:r>
    </w:p>
    <w:p w:rsidR="001E6170" w:rsidRDefault="006B52E8">
      <w:pPr>
        <w:pStyle w:val="enf6"/>
      </w:pPr>
      <w:r>
        <w:t>(vii) oil water heaters (limited to those for which the amount of consumed kerosene is not more than 70 kilowatts and for which the heat exchanger capacity is not more than 50 liters; the same applies hereinaft</w:t>
      </w:r>
      <w:r>
        <w:t>er)</w:t>
      </w:r>
    </w:p>
    <w:p w:rsidR="001E6170" w:rsidRDefault="006B52E8">
      <w:pPr>
        <w:pStyle w:val="enf6"/>
      </w:pPr>
      <w:r>
        <w:t>(viii) oil bath boilers (limited to those for which the amount of consumed kerosene is not more than 39 kilowatts; the same applies hereinafter)</w:t>
      </w:r>
    </w:p>
    <w:p w:rsidR="001E6170" w:rsidRDefault="006B52E8">
      <w:pPr>
        <w:pStyle w:val="enf6"/>
      </w:pPr>
      <w:r>
        <w:t xml:space="preserve">(ix) oil heaters (limited to those for which the amount of consumed kerosene is not more than 12 kilowatts </w:t>
      </w:r>
      <w:r>
        <w:t>(7 kilowatts for an open combustion type oil heater which is a natural draft type heater))</w:t>
      </w:r>
    </w:p>
    <w:p w:rsidR="001E6170" w:rsidRDefault="006B52E8">
      <w:pPr>
        <w:pStyle w:val="enf6"/>
      </w:pPr>
      <w:r>
        <w:t xml:space="preserve">(x) lighters (including apparatuses that light things other than tobacco; limited to those for household use which are structurally integrated with a fuel container </w:t>
      </w:r>
      <w:r>
        <w:t>and the whole or part of the container is made of plastic)</w:t>
      </w:r>
    </w:p>
    <w:p w:rsidR="001E6170" w:rsidRDefault="001E6170"/>
    <w:p w:rsidR="001E6170" w:rsidRDefault="006B52E8">
      <w:pPr>
        <w:pStyle w:val="en8"/>
        <w:ind w:left="227" w:hanging="227"/>
      </w:pPr>
      <w:r>
        <w:t>Appended Table 2 (Re: Article 2 and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1E6170">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(i) Infant beds (limited to those designed to be used mainly at home for infants to sleep in or for childcare for infants 24 months from their birth;</w:t>
            </w:r>
            <w:r>
              <w:t xml:space="preserve"> excluding beds that swing)</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Ten years</w:t>
            </w:r>
          </w:p>
        </w:tc>
      </w:tr>
      <w:tr w:rsidR="001E6170">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(ii) Portable laser application devices (limited to those designed to display characters or figures by emitting a laser beam (limited to a visible beam) outside)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Three years</w:t>
            </w:r>
          </w:p>
        </w:tc>
      </w:tr>
      <w:tr w:rsidR="001E6170">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(iii) Hot water circulators for bathtubs (</w:t>
            </w:r>
            <w:r>
              <w:t>limited to those designed to be used mainly at home; excluding those where the water suction port and jetting port are united in terms of structure and which circulate water exclusively for heating and those where the maximum flow of water that can be circ</w:t>
            </w:r>
            <w:r>
              <w:t>ulated is less than 10 liters per minute)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Three years</w:t>
            </w:r>
          </w:p>
        </w:tc>
      </w:tr>
      <w:tr w:rsidR="001E6170">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 xml:space="preserve">(iv) Lighters (including apparatuses that lights things other than tobacco; limited to those for household use with an integral fuel container where all or part of the container is made of </w:t>
            </w:r>
            <w:r>
              <w:t>plastic)</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Three years</w:t>
            </w:r>
          </w:p>
        </w:tc>
      </w:tr>
    </w:tbl>
    <w:p w:rsidR="001E6170" w:rsidRDefault="001E6170"/>
    <w:p w:rsidR="001E6170" w:rsidRDefault="006B52E8">
      <w:pPr>
        <w:pStyle w:val="en8"/>
        <w:ind w:left="227" w:hanging="227"/>
      </w:pPr>
      <w:r>
        <w:t>Appended Table 3 (Re: Article 3)</w:t>
      </w:r>
    </w:p>
    <w:p w:rsidR="001E6170" w:rsidRDefault="006B52E8">
      <w:pPr>
        <w:pStyle w:val="enf6"/>
      </w:pPr>
      <w:r>
        <w:t>(i) instantaneous gas water heaters listed in item (i) of the Appended Table 1 of the Order for Enforcement of the Gas Business Act (Cabinet Order No. 68 of 1954) (excluding outdoor type heaters (mean</w:t>
      </w:r>
      <w:r>
        <w:t>ing those that are installed outdoors and have a structure that is resistant to the effects of wind and rain; the same applies hereinafter))</w:t>
      </w:r>
    </w:p>
    <w:p w:rsidR="001E6170" w:rsidRDefault="006B52E8">
      <w:pPr>
        <w:pStyle w:val="enf6"/>
      </w:pPr>
      <w:r>
        <w:t xml:space="preserve">(ii) instantaneous liquefied petroleum gas water heaters listed in item (iii) of the Appended Table 1 of the Order </w:t>
      </w:r>
      <w:r>
        <w:t>for Enforcement of the Act on the Securing of Safety and the Optimization of Transaction of Liquefied Petroleum Gas (Cabinet Order No. 14 of 1968) (excluding outdoor type heaters)</w:t>
      </w:r>
    </w:p>
    <w:p w:rsidR="001E6170" w:rsidRDefault="006B52E8">
      <w:pPr>
        <w:pStyle w:val="enf6"/>
      </w:pPr>
      <w:r>
        <w:t>(iii) oil water heaters</w:t>
      </w:r>
    </w:p>
    <w:p w:rsidR="001E6170" w:rsidRDefault="006B52E8">
      <w:pPr>
        <w:pStyle w:val="enf6"/>
      </w:pPr>
      <w:r>
        <w:t xml:space="preserve">(iv) bath boilers equipped with a gas burner listed </w:t>
      </w:r>
      <w:r>
        <w:t>in item (iii) of the Appended Table 1 of the Order for Enforcement of the Gas Business Act (excluding outdoor type bath boilers)</w:t>
      </w:r>
    </w:p>
    <w:p w:rsidR="001E6170" w:rsidRDefault="006B52E8">
      <w:pPr>
        <w:pStyle w:val="enf6"/>
      </w:pPr>
      <w:r>
        <w:t>(v) bath boilers equipped with a liquefied petroleum gas burner listed in item (v) of the Appended Table 1 of the Order for Enf</w:t>
      </w:r>
      <w:r>
        <w:t>orcement of the Act on the Securing of Safety and the Optimization of Transaction of Liquefied Petroleum Gas (excluding outdoor type bath boilers)</w:t>
      </w:r>
    </w:p>
    <w:p w:rsidR="001E6170" w:rsidRDefault="006B52E8">
      <w:pPr>
        <w:pStyle w:val="enf6"/>
      </w:pPr>
      <w:r>
        <w:t>(vi) oil bath boilers</w:t>
      </w:r>
    </w:p>
    <w:p w:rsidR="001E6170" w:rsidRDefault="006B52E8">
      <w:pPr>
        <w:pStyle w:val="enf6"/>
      </w:pPr>
      <w:r>
        <w:t>(vii) electric dishwashers listed in item (viii), 27 of the Appended Table 2 of the Ord</w:t>
      </w:r>
      <w:r>
        <w:t>er for Enforcement of the Electrical Appliances and Materials Safety Act (Cabinet Order No. 324 of 1962) (limited to those designed to be built into integrated kitchen systems (meaning products which are manufactured in the form where a kitchen sink, kitch</w:t>
      </w:r>
      <w:r>
        <w:t>en counter, cupboards, and other apparatuses or facilities necessary for cooking food are integrated) which use electricity as the source of heat)</w:t>
      </w:r>
    </w:p>
    <w:p w:rsidR="001E6170" w:rsidRDefault="006B52E8">
      <w:pPr>
        <w:pStyle w:val="enf6"/>
      </w:pPr>
      <w:r>
        <w:t xml:space="preserve">(viii) hot air heaters listed in item (viii), 48 of the Appended Table 2 of the Order for Enforcement of the </w:t>
      </w:r>
      <w:r>
        <w:t>Electrical Appliances and Materials Safety Act (limited to enclosed combustion types for which the amount of consumed kerosene is not more than 12 kilowatts)</w:t>
      </w:r>
    </w:p>
    <w:p w:rsidR="001E6170" w:rsidRDefault="006B52E8">
      <w:pPr>
        <w:pStyle w:val="enf6"/>
      </w:pPr>
      <w:r>
        <w:t>(ix) electric dryers listed in item (viii), 60 of the Appended Table 2 of the Order for Enforcemen</w:t>
      </w:r>
      <w:r>
        <w:t>t of the Electrical Appliances and Materials Safety Act (limited to those to be used in bathrooms, which have an electric heating device)</w:t>
      </w:r>
    </w:p>
    <w:p w:rsidR="001E6170" w:rsidRDefault="001E6170"/>
    <w:p w:rsidR="001E6170" w:rsidRDefault="006B52E8">
      <w:pPr>
        <w:pStyle w:val="en8"/>
        <w:ind w:left="227" w:hanging="227"/>
      </w:pPr>
      <w:r>
        <w:t>Appended Table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1E6170">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(i) Ship Safety Act (Act No. 11 of 1933)</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 xml:space="preserve">Objects related to the particulars listed </w:t>
            </w:r>
            <w:r>
              <w:t>in the items of Article 2, paragraph (1) of the Ship Safety Act</w:t>
            </w:r>
          </w:p>
        </w:tc>
      </w:tr>
      <w:tr w:rsidR="001E6170">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(ii) Road Transport Vehicle Act (Act No. 185 of 1951)</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6170" w:rsidRDefault="006B52E8">
            <w:pPr>
              <w:pStyle w:val="jaen"/>
            </w:pPr>
            <w:r>
              <w:t xml:space="preserve">Automobile devices listed in the items of Article 41 of the Road Transport Vehicle Act and motorized bicycle devices listed in </w:t>
            </w:r>
            <w:r>
              <w:t>Article 44, items (iii) through (xi) of that Act</w:t>
            </w:r>
          </w:p>
        </w:tc>
      </w:tr>
    </w:tbl>
    <w:p w:rsidR="00000000" w:rsidRDefault="006B52E8"/>
    <w:sectPr w:rsidR="00000000" w:rsidSect="001E61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170" w:rsidRDefault="001E6170" w:rsidP="001E6170">
      <w:r>
        <w:separator/>
      </w:r>
    </w:p>
  </w:endnote>
  <w:endnote w:type="continuationSeparator" w:id="0">
    <w:p w:rsidR="001E6170" w:rsidRDefault="001E6170" w:rsidP="001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170" w:rsidRDefault="001E6170">
    <w:pPr>
      <w:pStyle w:val="a3"/>
    </w:pPr>
    <w:r>
      <w:fldChar w:fldCharType="begin"/>
    </w:r>
    <w:r>
      <w:instrText xml:space="preserve"> PAGE  \* MERGEFORMAT </w:instrText>
    </w:r>
    <w:r>
      <w:fldChar w:fldCharType="separate"/>
    </w:r>
    <w:r w:rsidR="006B52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170" w:rsidRDefault="001E6170" w:rsidP="001E6170">
      <w:r>
        <w:separator/>
      </w:r>
    </w:p>
  </w:footnote>
  <w:footnote w:type="continuationSeparator" w:id="0">
    <w:p w:rsidR="001E6170" w:rsidRDefault="001E6170" w:rsidP="001E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4F58"/>
    <w:multiLevelType w:val="multilevel"/>
    <w:tmpl w:val="58007F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4F728F"/>
    <w:multiLevelType w:val="multilevel"/>
    <w:tmpl w:val="5C28E0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517D46"/>
    <w:multiLevelType w:val="multilevel"/>
    <w:tmpl w:val="56F2FB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82B01"/>
    <w:multiLevelType w:val="multilevel"/>
    <w:tmpl w:val="F41EC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C55FD"/>
    <w:multiLevelType w:val="multilevel"/>
    <w:tmpl w:val="19F636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D3A2F"/>
    <w:multiLevelType w:val="multilevel"/>
    <w:tmpl w:val="CF2A2B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E11E77"/>
    <w:multiLevelType w:val="multilevel"/>
    <w:tmpl w:val="F6C0D8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C4868"/>
    <w:multiLevelType w:val="multilevel"/>
    <w:tmpl w:val="17B84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235CCC"/>
    <w:multiLevelType w:val="multilevel"/>
    <w:tmpl w:val="708E5C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544E71"/>
    <w:multiLevelType w:val="multilevel"/>
    <w:tmpl w:val="B2864F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DB06F6"/>
    <w:multiLevelType w:val="multilevel"/>
    <w:tmpl w:val="75720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52DEE"/>
    <w:multiLevelType w:val="multilevel"/>
    <w:tmpl w:val="5E901B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A746F"/>
    <w:multiLevelType w:val="multilevel"/>
    <w:tmpl w:val="268E88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5741486">
    <w:abstractNumId w:val="9"/>
  </w:num>
  <w:num w:numId="2" w16cid:durableId="1123421353">
    <w:abstractNumId w:val="12"/>
  </w:num>
  <w:num w:numId="3" w16cid:durableId="1537350956">
    <w:abstractNumId w:val="11"/>
  </w:num>
  <w:num w:numId="4" w16cid:durableId="118841555">
    <w:abstractNumId w:val="0"/>
  </w:num>
  <w:num w:numId="5" w16cid:durableId="522594497">
    <w:abstractNumId w:val="10"/>
  </w:num>
  <w:num w:numId="6" w16cid:durableId="481579133">
    <w:abstractNumId w:val="8"/>
  </w:num>
  <w:num w:numId="7" w16cid:durableId="121193808">
    <w:abstractNumId w:val="6"/>
  </w:num>
  <w:num w:numId="8" w16cid:durableId="1154184438">
    <w:abstractNumId w:val="3"/>
  </w:num>
  <w:num w:numId="9" w16cid:durableId="1344090721">
    <w:abstractNumId w:val="1"/>
  </w:num>
  <w:num w:numId="10" w16cid:durableId="904293407">
    <w:abstractNumId w:val="7"/>
  </w:num>
  <w:num w:numId="11" w16cid:durableId="1270895154">
    <w:abstractNumId w:val="2"/>
  </w:num>
  <w:num w:numId="12" w16cid:durableId="1064840765">
    <w:abstractNumId w:val="5"/>
  </w:num>
  <w:num w:numId="13" w16cid:durableId="1539783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6170"/>
    <w:rsid w:val="001E6170"/>
    <w:rsid w:val="006B52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1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61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6170"/>
    <w:rPr>
      <w:rFonts w:ascii="Century" w:eastAsia="Century" w:hAnsi="Century"/>
    </w:rPr>
  </w:style>
  <w:style w:type="paragraph" w:customStyle="1" w:styleId="ja0">
    <w:name w:val="款（ja）"/>
    <w:basedOn w:val="a"/>
    <w:rsid w:val="001E6170"/>
    <w:pPr>
      <w:widowControl w:val="0"/>
      <w:ind w:left="1321" w:hanging="221"/>
    </w:pPr>
    <w:rPr>
      <w:rFonts w:ascii="ＭＳ 明朝" w:eastAsia="ＭＳ 明朝" w:hAnsi="ＭＳ 明朝" w:cs="ＭＳ 明朝"/>
      <w:b/>
    </w:rPr>
  </w:style>
  <w:style w:type="paragraph" w:customStyle="1" w:styleId="en0">
    <w:name w:val="款（en）"/>
    <w:basedOn w:val="ja0"/>
    <w:rsid w:val="001E6170"/>
    <w:rPr>
      <w:rFonts w:ascii="Century" w:eastAsia="Century" w:hAnsi="Century" w:cs="Century"/>
    </w:rPr>
  </w:style>
  <w:style w:type="paragraph" w:customStyle="1" w:styleId="ja1">
    <w:name w:val="前文（ja）"/>
    <w:basedOn w:val="a"/>
    <w:rsid w:val="001E6170"/>
    <w:pPr>
      <w:widowControl w:val="0"/>
      <w:ind w:firstLine="219"/>
    </w:pPr>
    <w:rPr>
      <w:rFonts w:ascii="ＭＳ 明朝" w:eastAsia="ＭＳ 明朝" w:hAnsi="ＭＳ 明朝" w:cs="ＭＳ 明朝"/>
    </w:rPr>
  </w:style>
  <w:style w:type="paragraph" w:customStyle="1" w:styleId="en1">
    <w:name w:val="前文（en）"/>
    <w:basedOn w:val="ja1"/>
    <w:rsid w:val="001E6170"/>
    <w:rPr>
      <w:rFonts w:ascii="Century" w:eastAsia="Century" w:hAnsi="Century" w:cs="Century"/>
    </w:rPr>
  </w:style>
  <w:style w:type="paragraph" w:customStyle="1" w:styleId="ja2">
    <w:name w:val="附則（ja）"/>
    <w:basedOn w:val="a"/>
    <w:rsid w:val="001E6170"/>
    <w:pPr>
      <w:widowControl w:val="0"/>
      <w:ind w:left="881" w:hanging="221"/>
    </w:pPr>
    <w:rPr>
      <w:rFonts w:ascii="ＭＳ 明朝" w:eastAsia="ＭＳ 明朝" w:hAnsi="ＭＳ 明朝" w:cs="ＭＳ 明朝"/>
      <w:b/>
    </w:rPr>
  </w:style>
  <w:style w:type="paragraph" w:customStyle="1" w:styleId="en2">
    <w:name w:val="附則（en）"/>
    <w:basedOn w:val="ja2"/>
    <w:rsid w:val="001E6170"/>
    <w:rPr>
      <w:rFonts w:ascii="Century" w:hAnsi="Century" w:cs="Century"/>
    </w:rPr>
  </w:style>
  <w:style w:type="paragraph" w:customStyle="1" w:styleId="ja3">
    <w:name w:val="章（ja）"/>
    <w:basedOn w:val="a"/>
    <w:rsid w:val="001E6170"/>
    <w:pPr>
      <w:widowControl w:val="0"/>
      <w:ind w:left="881" w:hanging="221"/>
    </w:pPr>
    <w:rPr>
      <w:rFonts w:ascii="ＭＳ 明朝" w:eastAsia="ＭＳ 明朝" w:hAnsi="ＭＳ 明朝" w:cs="ＭＳ 明朝"/>
      <w:b/>
    </w:rPr>
  </w:style>
  <w:style w:type="paragraph" w:customStyle="1" w:styleId="en3">
    <w:name w:val="章（en）"/>
    <w:basedOn w:val="ja3"/>
    <w:rsid w:val="001E6170"/>
    <w:rPr>
      <w:rFonts w:ascii="Century" w:eastAsia="Century" w:hAnsi="Century" w:cs="Century"/>
    </w:rPr>
  </w:style>
  <w:style w:type="paragraph" w:customStyle="1" w:styleId="ja4">
    <w:name w:val="目次編（ja）"/>
    <w:basedOn w:val="a"/>
    <w:rsid w:val="001E6170"/>
    <w:pPr>
      <w:widowControl w:val="0"/>
      <w:ind w:left="219" w:hanging="219"/>
    </w:pPr>
    <w:rPr>
      <w:rFonts w:ascii="ＭＳ 明朝" w:eastAsia="ＭＳ 明朝" w:hAnsi="ＭＳ 明朝"/>
    </w:rPr>
  </w:style>
  <w:style w:type="paragraph" w:customStyle="1" w:styleId="en4">
    <w:name w:val="目次編（en）"/>
    <w:basedOn w:val="ja4"/>
    <w:rsid w:val="001E6170"/>
    <w:rPr>
      <w:rFonts w:ascii="Century" w:eastAsia="Century" w:hAnsi="Century"/>
    </w:rPr>
  </w:style>
  <w:style w:type="paragraph" w:customStyle="1" w:styleId="ja5">
    <w:name w:val="目次章（ja）"/>
    <w:basedOn w:val="a"/>
    <w:rsid w:val="001E6170"/>
    <w:pPr>
      <w:widowControl w:val="0"/>
      <w:ind w:left="439" w:hanging="219"/>
    </w:pPr>
    <w:rPr>
      <w:rFonts w:ascii="ＭＳ 明朝" w:eastAsia="ＭＳ 明朝" w:hAnsi="ＭＳ 明朝"/>
    </w:rPr>
  </w:style>
  <w:style w:type="paragraph" w:customStyle="1" w:styleId="en5">
    <w:name w:val="目次章（en）"/>
    <w:basedOn w:val="ja5"/>
    <w:rsid w:val="001E6170"/>
    <w:rPr>
      <w:rFonts w:ascii="Century" w:eastAsia="Century" w:hAnsi="Century"/>
    </w:rPr>
  </w:style>
  <w:style w:type="paragraph" w:customStyle="1" w:styleId="ja6">
    <w:name w:val="目次節（ja）"/>
    <w:basedOn w:val="a"/>
    <w:rsid w:val="001E6170"/>
    <w:pPr>
      <w:widowControl w:val="0"/>
      <w:ind w:left="659" w:hanging="219"/>
    </w:pPr>
    <w:rPr>
      <w:rFonts w:ascii="ＭＳ 明朝" w:eastAsia="ＭＳ 明朝" w:hAnsi="ＭＳ 明朝"/>
    </w:rPr>
  </w:style>
  <w:style w:type="paragraph" w:customStyle="1" w:styleId="en6">
    <w:name w:val="目次節（en）"/>
    <w:basedOn w:val="ja6"/>
    <w:rsid w:val="001E6170"/>
    <w:rPr>
      <w:rFonts w:ascii="Century" w:eastAsia="Century" w:hAnsi="Century"/>
    </w:rPr>
  </w:style>
  <w:style w:type="paragraph" w:customStyle="1" w:styleId="ja7">
    <w:name w:val="目次款（ja）"/>
    <w:basedOn w:val="a"/>
    <w:rsid w:val="001E6170"/>
    <w:pPr>
      <w:widowControl w:val="0"/>
      <w:ind w:left="879" w:hanging="219"/>
    </w:pPr>
    <w:rPr>
      <w:rFonts w:ascii="ＭＳ 明朝" w:eastAsia="ＭＳ 明朝" w:hAnsi="ＭＳ 明朝" w:cs="Kochi Mincho"/>
    </w:rPr>
  </w:style>
  <w:style w:type="paragraph" w:customStyle="1" w:styleId="en7">
    <w:name w:val="目次款（en）"/>
    <w:basedOn w:val="ja7"/>
    <w:rsid w:val="001E6170"/>
    <w:rPr>
      <w:rFonts w:ascii="Century" w:eastAsia="Century" w:hAnsi="Century"/>
    </w:rPr>
  </w:style>
  <w:style w:type="paragraph" w:customStyle="1" w:styleId="ja8">
    <w:name w:val="別表名（ja）"/>
    <w:basedOn w:val="a"/>
    <w:rsid w:val="001E61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6170"/>
    <w:rPr>
      <w:rFonts w:ascii="Century" w:eastAsia="Century" w:hAnsi="Century" w:cs="Century"/>
    </w:rPr>
  </w:style>
  <w:style w:type="paragraph" w:customStyle="1" w:styleId="ja9">
    <w:name w:val="目（ja）"/>
    <w:basedOn w:val="a"/>
    <w:rsid w:val="001E6170"/>
    <w:pPr>
      <w:widowControl w:val="0"/>
      <w:ind w:left="1541" w:hanging="221"/>
    </w:pPr>
    <w:rPr>
      <w:rFonts w:ascii="ＭＳ 明朝" w:eastAsia="ＭＳ 明朝" w:hAnsi="ＭＳ 明朝" w:cs="ＭＳ 明朝"/>
      <w:b/>
    </w:rPr>
  </w:style>
  <w:style w:type="paragraph" w:customStyle="1" w:styleId="en9">
    <w:name w:val="目（en）"/>
    <w:basedOn w:val="ja9"/>
    <w:rsid w:val="001E6170"/>
    <w:rPr>
      <w:rFonts w:ascii="Century" w:eastAsia="Century" w:hAnsi="Century" w:cs="Century"/>
    </w:rPr>
  </w:style>
  <w:style w:type="paragraph" w:customStyle="1" w:styleId="jaa">
    <w:name w:val="見出し（ja）"/>
    <w:basedOn w:val="a"/>
    <w:rsid w:val="001E6170"/>
    <w:pPr>
      <w:widowControl w:val="0"/>
      <w:ind w:left="439" w:hanging="219"/>
    </w:pPr>
    <w:rPr>
      <w:rFonts w:ascii="ＭＳ 明朝" w:eastAsia="ＭＳ 明朝" w:hAnsi="ＭＳ 明朝" w:cs="ＭＳ 明朝"/>
    </w:rPr>
  </w:style>
  <w:style w:type="paragraph" w:customStyle="1" w:styleId="ena">
    <w:name w:val="見出し（en）"/>
    <w:basedOn w:val="jaa"/>
    <w:rsid w:val="001E6170"/>
    <w:rPr>
      <w:rFonts w:ascii="Century" w:eastAsia="Century" w:hAnsi="Century" w:cs="Century"/>
    </w:rPr>
  </w:style>
  <w:style w:type="paragraph" w:styleId="a3">
    <w:name w:val="footer"/>
    <w:basedOn w:val="a"/>
    <w:rsid w:val="001E61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6170"/>
    <w:pPr>
      <w:widowControl w:val="0"/>
      <w:ind w:left="1099" w:hanging="219"/>
    </w:pPr>
    <w:rPr>
      <w:rFonts w:ascii="ＭＳ 明朝" w:eastAsia="ＭＳ 明朝" w:hAnsi="ＭＳ 明朝" w:cs="Kochi Mincho"/>
    </w:rPr>
  </w:style>
  <w:style w:type="paragraph" w:customStyle="1" w:styleId="enb">
    <w:name w:val="目次目（en）"/>
    <w:basedOn w:val="jab"/>
    <w:rsid w:val="001E6170"/>
    <w:rPr>
      <w:rFonts w:ascii="Century" w:eastAsia="Century" w:hAnsi="Century"/>
    </w:rPr>
  </w:style>
  <w:style w:type="paragraph" w:customStyle="1" w:styleId="jac">
    <w:name w:val="目次附則（ja）"/>
    <w:basedOn w:val="a"/>
    <w:rsid w:val="001E6170"/>
    <w:pPr>
      <w:widowControl w:val="0"/>
      <w:ind w:left="439" w:hanging="219"/>
    </w:pPr>
    <w:rPr>
      <w:rFonts w:ascii="ＭＳ 明朝" w:eastAsia="ＭＳ 明朝" w:hAnsi="ＭＳ 明朝" w:cs="Kochi Mincho"/>
    </w:rPr>
  </w:style>
  <w:style w:type="paragraph" w:customStyle="1" w:styleId="enc">
    <w:name w:val="目次附則（en）"/>
    <w:basedOn w:val="jac"/>
    <w:rsid w:val="001E6170"/>
    <w:rPr>
      <w:rFonts w:ascii="Century" w:eastAsia="Century" w:hAnsi="Century" w:cs="Century"/>
    </w:rPr>
  </w:style>
  <w:style w:type="paragraph" w:customStyle="1" w:styleId="jad">
    <w:name w:val="目次前文（ja）"/>
    <w:basedOn w:val="jac"/>
    <w:rsid w:val="001E6170"/>
  </w:style>
  <w:style w:type="paragraph" w:customStyle="1" w:styleId="end">
    <w:name w:val="目次前文（en）"/>
    <w:basedOn w:val="enc"/>
    <w:rsid w:val="001E6170"/>
  </w:style>
  <w:style w:type="paragraph" w:customStyle="1" w:styleId="jae">
    <w:name w:val="制定文（ja）"/>
    <w:basedOn w:val="a"/>
    <w:rsid w:val="001E6170"/>
    <w:pPr>
      <w:widowControl w:val="0"/>
      <w:ind w:firstLine="219"/>
    </w:pPr>
    <w:rPr>
      <w:rFonts w:ascii="ＭＳ 明朝" w:eastAsia="ＭＳ 明朝" w:hAnsi="ＭＳ 明朝" w:cs="ＭＳ 明朝"/>
    </w:rPr>
  </w:style>
  <w:style w:type="paragraph" w:customStyle="1" w:styleId="ene">
    <w:name w:val="制定文（en）"/>
    <w:basedOn w:val="jae"/>
    <w:rsid w:val="001E6170"/>
    <w:rPr>
      <w:rFonts w:ascii="Century" w:eastAsia="Century" w:hAnsi="Century" w:cs="Century"/>
    </w:rPr>
  </w:style>
  <w:style w:type="paragraph" w:customStyle="1" w:styleId="jaf">
    <w:name w:val="法令番号（ja）"/>
    <w:basedOn w:val="a"/>
    <w:rsid w:val="001E6170"/>
    <w:pPr>
      <w:widowControl w:val="0"/>
      <w:jc w:val="right"/>
    </w:pPr>
    <w:rPr>
      <w:rFonts w:ascii="ＭＳ 明朝" w:eastAsia="ＭＳ 明朝" w:hAnsi="ＭＳ 明朝" w:cs="Kochi Mincho"/>
    </w:rPr>
  </w:style>
  <w:style w:type="paragraph" w:customStyle="1" w:styleId="enf">
    <w:name w:val="法令番号（en）"/>
    <w:basedOn w:val="jaf"/>
    <w:rsid w:val="001E6170"/>
    <w:rPr>
      <w:rFonts w:ascii="Century" w:eastAsia="Century" w:hAnsi="Century" w:cs="Century"/>
    </w:rPr>
  </w:style>
  <w:style w:type="paragraph" w:customStyle="1" w:styleId="jaf0">
    <w:name w:val="目次（ja）"/>
    <w:basedOn w:val="a"/>
    <w:rsid w:val="001E6170"/>
    <w:rPr>
      <w:rFonts w:ascii="ＭＳ 明朝" w:eastAsia="ＭＳ 明朝" w:hAnsi="ＭＳ 明朝"/>
    </w:rPr>
  </w:style>
  <w:style w:type="paragraph" w:customStyle="1" w:styleId="enf0">
    <w:name w:val="目次（en）"/>
    <w:basedOn w:val="jaf0"/>
    <w:rsid w:val="001E6170"/>
    <w:rPr>
      <w:rFonts w:ascii="Century" w:eastAsia="Century" w:hAnsi="Century"/>
    </w:rPr>
  </w:style>
  <w:style w:type="paragraph" w:customStyle="1" w:styleId="jaf1">
    <w:name w:val="編（ja）"/>
    <w:basedOn w:val="a"/>
    <w:rsid w:val="001E6170"/>
    <w:pPr>
      <w:widowControl w:val="0"/>
      <w:ind w:left="661" w:hanging="221"/>
    </w:pPr>
    <w:rPr>
      <w:rFonts w:ascii="ＭＳ 明朝" w:eastAsia="ＭＳ 明朝" w:hAnsi="ＭＳ 明朝" w:cs="ＭＳ 明朝"/>
      <w:b/>
    </w:rPr>
  </w:style>
  <w:style w:type="paragraph" w:customStyle="1" w:styleId="enf1">
    <w:name w:val="編（en）"/>
    <w:basedOn w:val="jaf1"/>
    <w:rsid w:val="001E6170"/>
    <w:rPr>
      <w:rFonts w:ascii="Century" w:eastAsia="Century" w:hAnsi="Century" w:cs="Century"/>
    </w:rPr>
  </w:style>
  <w:style w:type="paragraph" w:customStyle="1" w:styleId="jaf2">
    <w:name w:val="節（ja）"/>
    <w:basedOn w:val="a"/>
    <w:rsid w:val="001E6170"/>
    <w:pPr>
      <w:widowControl w:val="0"/>
      <w:ind w:left="1101" w:hanging="221"/>
    </w:pPr>
    <w:rPr>
      <w:rFonts w:ascii="ＭＳ 明朝" w:eastAsia="ＭＳ 明朝" w:hAnsi="ＭＳ 明朝" w:cs="ＭＳ 明朝"/>
      <w:b/>
    </w:rPr>
  </w:style>
  <w:style w:type="paragraph" w:customStyle="1" w:styleId="enf2">
    <w:name w:val="節（en）"/>
    <w:basedOn w:val="jaf2"/>
    <w:rsid w:val="001E6170"/>
    <w:rPr>
      <w:rFonts w:ascii="Century" w:eastAsia="Century" w:hAnsi="Century" w:cs="Century"/>
    </w:rPr>
  </w:style>
  <w:style w:type="paragraph" w:customStyle="1" w:styleId="jaf3">
    <w:name w:val="条（ja）"/>
    <w:basedOn w:val="a"/>
    <w:rsid w:val="001E6170"/>
    <w:pPr>
      <w:widowControl w:val="0"/>
      <w:ind w:left="219" w:hanging="219"/>
    </w:pPr>
    <w:rPr>
      <w:rFonts w:ascii="ＭＳ 明朝" w:eastAsia="ＭＳ 明朝" w:hAnsi="ＭＳ 明朝" w:cs="ＭＳ 明朝"/>
    </w:rPr>
  </w:style>
  <w:style w:type="paragraph" w:customStyle="1" w:styleId="enf3">
    <w:name w:val="条（en）"/>
    <w:basedOn w:val="jaf3"/>
    <w:rsid w:val="001E6170"/>
    <w:rPr>
      <w:rFonts w:ascii="Century" w:eastAsia="Century" w:hAnsi="Century" w:cs="Century"/>
    </w:rPr>
  </w:style>
  <w:style w:type="paragraph" w:customStyle="1" w:styleId="jaf4">
    <w:name w:val="項（ja）"/>
    <w:basedOn w:val="a"/>
    <w:rsid w:val="001E6170"/>
    <w:pPr>
      <w:widowControl w:val="0"/>
      <w:ind w:left="219" w:hanging="219"/>
    </w:pPr>
    <w:rPr>
      <w:rFonts w:ascii="ＭＳ 明朝" w:eastAsia="ＭＳ 明朝" w:hAnsi="ＭＳ 明朝" w:cs="ＭＳ 明朝"/>
    </w:rPr>
  </w:style>
  <w:style w:type="paragraph" w:customStyle="1" w:styleId="enf4">
    <w:name w:val="項（en）"/>
    <w:basedOn w:val="jaf4"/>
    <w:rsid w:val="001E6170"/>
    <w:rPr>
      <w:rFonts w:ascii="Century" w:eastAsia="Century" w:hAnsi="Century" w:cs="Century"/>
    </w:rPr>
  </w:style>
  <w:style w:type="paragraph" w:customStyle="1" w:styleId="jaf5">
    <w:name w:val="項　番号なし（ja）"/>
    <w:basedOn w:val="a"/>
    <w:rsid w:val="001E6170"/>
    <w:pPr>
      <w:widowControl w:val="0"/>
      <w:ind w:firstLine="221"/>
    </w:pPr>
    <w:rPr>
      <w:rFonts w:ascii="ＭＳ 明朝" w:eastAsia="ＭＳ 明朝" w:hAnsi="ＭＳ 明朝" w:cs="ＭＳ 明朝"/>
    </w:rPr>
  </w:style>
  <w:style w:type="paragraph" w:customStyle="1" w:styleId="enf5">
    <w:name w:val="項　番号なし（en）"/>
    <w:basedOn w:val="jaf5"/>
    <w:rsid w:val="001E6170"/>
    <w:rPr>
      <w:rFonts w:ascii="Century" w:eastAsia="Century" w:hAnsi="Century" w:cs="Century"/>
    </w:rPr>
  </w:style>
  <w:style w:type="paragraph" w:customStyle="1" w:styleId="jaf6">
    <w:name w:val="号（ja）"/>
    <w:basedOn w:val="a"/>
    <w:rsid w:val="001E6170"/>
    <w:pPr>
      <w:widowControl w:val="0"/>
      <w:ind w:left="439" w:hanging="219"/>
    </w:pPr>
    <w:rPr>
      <w:rFonts w:ascii="ＭＳ 明朝" w:eastAsia="ＭＳ 明朝" w:hAnsi="ＭＳ 明朝" w:cs="ＭＳ 明朝"/>
    </w:rPr>
  </w:style>
  <w:style w:type="paragraph" w:customStyle="1" w:styleId="enf6">
    <w:name w:val="号（en）"/>
    <w:basedOn w:val="jaf6"/>
    <w:rsid w:val="001E6170"/>
    <w:rPr>
      <w:rFonts w:ascii="Century" w:eastAsia="Century" w:hAnsi="Century" w:cs="Century"/>
    </w:rPr>
  </w:style>
  <w:style w:type="paragraph" w:customStyle="1" w:styleId="jaf7">
    <w:name w:val="号　番号なし（ja）"/>
    <w:basedOn w:val="a"/>
    <w:rsid w:val="001E6170"/>
    <w:pPr>
      <w:widowControl w:val="0"/>
      <w:ind w:left="221" w:firstLine="221"/>
    </w:pPr>
    <w:rPr>
      <w:rFonts w:ascii="ＭＳ 明朝" w:eastAsia="ＭＳ 明朝" w:hAnsi="ＭＳ 明朝" w:cs="ＭＳ 明朝"/>
    </w:rPr>
  </w:style>
  <w:style w:type="paragraph" w:customStyle="1" w:styleId="enf7">
    <w:name w:val="号　番号なし（en）"/>
    <w:basedOn w:val="jaf7"/>
    <w:rsid w:val="001E6170"/>
    <w:rPr>
      <w:rFonts w:ascii="Century" w:eastAsia="Century" w:hAnsi="Century" w:cs="Century"/>
    </w:rPr>
  </w:style>
  <w:style w:type="paragraph" w:customStyle="1" w:styleId="jaf8">
    <w:name w:val="備考号（ja）"/>
    <w:basedOn w:val="a"/>
    <w:rsid w:val="001E6170"/>
    <w:pPr>
      <w:widowControl w:val="0"/>
      <w:ind w:left="659" w:hanging="219"/>
    </w:pPr>
    <w:rPr>
      <w:rFonts w:ascii="ＭＳ 明朝" w:eastAsia="ＭＳ 明朝" w:hAnsi="ＭＳ 明朝" w:cs="ＭＳ 明朝"/>
    </w:rPr>
  </w:style>
  <w:style w:type="paragraph" w:customStyle="1" w:styleId="enf8">
    <w:name w:val="備考号（en）"/>
    <w:basedOn w:val="jaf8"/>
    <w:rsid w:val="001E6170"/>
    <w:rPr>
      <w:rFonts w:ascii="Century" w:eastAsia="Century" w:hAnsi="Century" w:cs="Century"/>
    </w:rPr>
  </w:style>
  <w:style w:type="paragraph" w:customStyle="1" w:styleId="jaf9">
    <w:name w:val="号細分（ja）"/>
    <w:basedOn w:val="a"/>
    <w:rsid w:val="001E6170"/>
    <w:pPr>
      <w:widowControl w:val="0"/>
      <w:ind w:left="659" w:hanging="219"/>
    </w:pPr>
    <w:rPr>
      <w:rFonts w:ascii="ＭＳ 明朝" w:eastAsia="ＭＳ 明朝" w:hAnsi="ＭＳ 明朝" w:cs="ＭＳ 明朝"/>
    </w:rPr>
  </w:style>
  <w:style w:type="paragraph" w:customStyle="1" w:styleId="enf9">
    <w:name w:val="号細分（en）"/>
    <w:basedOn w:val="jaf9"/>
    <w:rsid w:val="001E6170"/>
    <w:rPr>
      <w:rFonts w:ascii="Century" w:eastAsia="Century" w:hAnsi="Century" w:cs="Century"/>
    </w:rPr>
  </w:style>
  <w:style w:type="paragraph" w:customStyle="1" w:styleId="jafa">
    <w:name w:val="号細分　番号なし（ja）"/>
    <w:basedOn w:val="a"/>
    <w:rsid w:val="001E6170"/>
    <w:pPr>
      <w:widowControl w:val="0"/>
      <w:ind w:left="439"/>
    </w:pPr>
    <w:rPr>
      <w:rFonts w:ascii="ＭＳ 明朝" w:eastAsia="ＭＳ 明朝" w:hAnsi="ＭＳ 明朝" w:cs="ＭＳ 明朝"/>
    </w:rPr>
  </w:style>
  <w:style w:type="paragraph" w:customStyle="1" w:styleId="enfa">
    <w:name w:val="号細分　番号なし（en）"/>
    <w:basedOn w:val="jafa"/>
    <w:rsid w:val="001E6170"/>
    <w:rPr>
      <w:rFonts w:ascii="Century" w:eastAsia="Century" w:hAnsi="Century" w:cs="Century"/>
    </w:rPr>
  </w:style>
  <w:style w:type="paragraph" w:customStyle="1" w:styleId="jafb">
    <w:name w:val="備考号細分（ja）"/>
    <w:basedOn w:val="a"/>
    <w:rsid w:val="001E6170"/>
    <w:pPr>
      <w:widowControl w:val="0"/>
      <w:ind w:left="1099" w:hanging="439"/>
    </w:pPr>
    <w:rPr>
      <w:rFonts w:ascii="ＭＳ 明朝" w:eastAsia="ＭＳ 明朝" w:hAnsi="ＭＳ 明朝" w:cs="ＭＳ 明朝"/>
    </w:rPr>
  </w:style>
  <w:style w:type="paragraph" w:customStyle="1" w:styleId="enfb">
    <w:name w:val="備考号細分（en）"/>
    <w:basedOn w:val="jafb"/>
    <w:rsid w:val="001E6170"/>
    <w:rPr>
      <w:rFonts w:ascii="Century" w:eastAsia="Century" w:hAnsi="Century" w:cs="Century"/>
    </w:rPr>
  </w:style>
  <w:style w:type="paragraph" w:customStyle="1" w:styleId="jafc">
    <w:name w:val="号細細分（ja）"/>
    <w:basedOn w:val="a"/>
    <w:rsid w:val="001E6170"/>
    <w:pPr>
      <w:widowControl w:val="0"/>
      <w:ind w:left="1099" w:hanging="439"/>
    </w:pPr>
    <w:rPr>
      <w:rFonts w:ascii="ＭＳ 明朝" w:eastAsia="ＭＳ 明朝" w:hAnsi="ＭＳ 明朝" w:cs="ＭＳ 明朝"/>
    </w:rPr>
  </w:style>
  <w:style w:type="paragraph" w:customStyle="1" w:styleId="enfc">
    <w:name w:val="号細細分（en）"/>
    <w:basedOn w:val="jafc"/>
    <w:rsid w:val="001E6170"/>
    <w:rPr>
      <w:rFonts w:ascii="Century" w:eastAsia="Century" w:hAnsi="Century" w:cs="Century"/>
    </w:rPr>
  </w:style>
  <w:style w:type="paragraph" w:customStyle="1" w:styleId="jafd">
    <w:name w:val="号細細分　番号なし（ja）"/>
    <w:basedOn w:val="a"/>
    <w:rsid w:val="001E6170"/>
    <w:pPr>
      <w:widowControl w:val="0"/>
      <w:ind w:left="659"/>
    </w:pPr>
    <w:rPr>
      <w:rFonts w:ascii="ＭＳ 明朝" w:eastAsia="ＭＳ 明朝" w:hAnsi="ＭＳ 明朝" w:cs="ＭＳ 明朝"/>
    </w:rPr>
  </w:style>
  <w:style w:type="paragraph" w:customStyle="1" w:styleId="enfd">
    <w:name w:val="号細細分　番号なし（en）"/>
    <w:basedOn w:val="jafd"/>
    <w:rsid w:val="001E6170"/>
    <w:rPr>
      <w:rFonts w:ascii="Century" w:eastAsia="Century" w:hAnsi="Century" w:cs="Century"/>
    </w:rPr>
  </w:style>
  <w:style w:type="paragraph" w:customStyle="1" w:styleId="jafe">
    <w:name w:val="備考号細細分（ja）"/>
    <w:basedOn w:val="a"/>
    <w:rsid w:val="001E6170"/>
    <w:pPr>
      <w:widowControl w:val="0"/>
      <w:ind w:left="1319" w:hanging="439"/>
    </w:pPr>
    <w:rPr>
      <w:rFonts w:ascii="ＭＳ 明朝" w:eastAsia="ＭＳ 明朝" w:hAnsi="ＭＳ 明朝" w:cs="ＭＳ 明朝"/>
    </w:rPr>
  </w:style>
  <w:style w:type="paragraph" w:customStyle="1" w:styleId="enfe">
    <w:name w:val="備考号細細分（en）"/>
    <w:basedOn w:val="jafe"/>
    <w:rsid w:val="001E6170"/>
    <w:rPr>
      <w:rFonts w:ascii="Century" w:eastAsia="Century" w:hAnsi="Century" w:cs="Century"/>
    </w:rPr>
  </w:style>
  <w:style w:type="paragraph" w:customStyle="1" w:styleId="jaff">
    <w:name w:val="号細細細分（ja）"/>
    <w:basedOn w:val="a"/>
    <w:rsid w:val="001E6170"/>
    <w:pPr>
      <w:widowControl w:val="0"/>
      <w:ind w:left="1319" w:hanging="439"/>
    </w:pPr>
    <w:rPr>
      <w:rFonts w:ascii="ＭＳ 明朝" w:eastAsia="ＭＳ 明朝" w:hAnsi="ＭＳ 明朝" w:cs="ＭＳ 明朝"/>
    </w:rPr>
  </w:style>
  <w:style w:type="paragraph" w:customStyle="1" w:styleId="enff">
    <w:name w:val="号細細細分（en）"/>
    <w:basedOn w:val="jaff"/>
    <w:rsid w:val="001E6170"/>
    <w:rPr>
      <w:rFonts w:ascii="Century" w:eastAsia="Century" w:hAnsi="Century" w:cs="Century"/>
    </w:rPr>
  </w:style>
  <w:style w:type="paragraph" w:customStyle="1" w:styleId="jaff0">
    <w:name w:val="号細細細分　番号なし（ja）"/>
    <w:basedOn w:val="a"/>
    <w:rsid w:val="001E6170"/>
    <w:pPr>
      <w:widowControl w:val="0"/>
      <w:ind w:left="879"/>
    </w:pPr>
    <w:rPr>
      <w:rFonts w:ascii="ＭＳ 明朝" w:eastAsia="ＭＳ 明朝" w:hAnsi="ＭＳ 明朝" w:cs="ＭＳ 明朝"/>
    </w:rPr>
  </w:style>
  <w:style w:type="paragraph" w:customStyle="1" w:styleId="enff0">
    <w:name w:val="号細細細分　番号なし（en）"/>
    <w:basedOn w:val="jaff0"/>
    <w:rsid w:val="001E6170"/>
    <w:rPr>
      <w:rFonts w:ascii="Century" w:eastAsia="Century" w:hAnsi="Century" w:cs="Century"/>
    </w:rPr>
  </w:style>
  <w:style w:type="paragraph" w:customStyle="1" w:styleId="jaff1">
    <w:name w:val="備考号細細細分（ja）"/>
    <w:basedOn w:val="a"/>
    <w:rsid w:val="001E61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6170"/>
    <w:rPr>
      <w:rFonts w:ascii="Century" w:eastAsia="Century" w:hAnsi="Century" w:cs="Century"/>
    </w:rPr>
  </w:style>
  <w:style w:type="paragraph" w:customStyle="1" w:styleId="jaff2">
    <w:name w:val="類（ja）"/>
    <w:basedOn w:val="a"/>
    <w:rsid w:val="001E6170"/>
    <w:pPr>
      <w:widowControl w:val="0"/>
      <w:ind w:left="439" w:hanging="219"/>
    </w:pPr>
    <w:rPr>
      <w:rFonts w:ascii="ＭＳ 明朝" w:eastAsia="ＭＳ 明朝" w:hAnsi="ＭＳ 明朝" w:cs="ＭＳ 明朝"/>
    </w:rPr>
  </w:style>
  <w:style w:type="paragraph" w:customStyle="1" w:styleId="enff2">
    <w:name w:val="類（en）"/>
    <w:basedOn w:val="jaff2"/>
    <w:rsid w:val="001E6170"/>
    <w:rPr>
      <w:rFonts w:ascii="Century" w:eastAsia="Century" w:hAnsi="Century" w:cs="Century"/>
    </w:rPr>
  </w:style>
  <w:style w:type="paragraph" w:customStyle="1" w:styleId="jaff3">
    <w:name w:val="公布文（ja）"/>
    <w:basedOn w:val="a"/>
    <w:rsid w:val="001E6170"/>
    <w:pPr>
      <w:widowControl w:val="0"/>
      <w:ind w:firstLine="219"/>
    </w:pPr>
    <w:rPr>
      <w:rFonts w:ascii="ＭＳ 明朝" w:eastAsia="ＭＳ 明朝" w:hAnsi="ＭＳ 明朝" w:cs="ＭＳ 明朝"/>
    </w:rPr>
  </w:style>
  <w:style w:type="paragraph" w:customStyle="1" w:styleId="enff3">
    <w:name w:val="公布文（en）"/>
    <w:basedOn w:val="jaff3"/>
    <w:rsid w:val="001E6170"/>
    <w:rPr>
      <w:rFonts w:ascii="Century" w:eastAsia="Century" w:hAnsi="Century" w:cs="Century"/>
    </w:rPr>
  </w:style>
  <w:style w:type="paragraph" w:customStyle="1" w:styleId="jaen">
    <w:name w:val="表（ja：en）"/>
    <w:basedOn w:val="a"/>
    <w:rsid w:val="001E6170"/>
    <w:pPr>
      <w:widowControl w:val="0"/>
      <w:snapToGrid w:val="0"/>
    </w:pPr>
    <w:rPr>
      <w:rFonts w:ascii="Century" w:eastAsia="ＭＳ 明朝" w:hAnsi="Century"/>
    </w:rPr>
  </w:style>
  <w:style w:type="paragraph" w:customStyle="1" w:styleId="jaff4">
    <w:name w:val="備考（ja）"/>
    <w:basedOn w:val="a"/>
    <w:rsid w:val="001E6170"/>
    <w:pPr>
      <w:widowControl w:val="0"/>
      <w:ind w:left="439" w:hanging="219"/>
    </w:pPr>
    <w:rPr>
      <w:rFonts w:ascii="ＭＳ 明朝" w:eastAsia="ＭＳ 明朝" w:hAnsi="ＭＳ 明朝" w:cs="ＭＳ 明朝"/>
    </w:rPr>
  </w:style>
  <w:style w:type="paragraph" w:customStyle="1" w:styleId="enff4">
    <w:name w:val="備考（en）"/>
    <w:basedOn w:val="jaff4"/>
    <w:rsid w:val="001E6170"/>
    <w:rPr>
      <w:rFonts w:ascii="Century" w:eastAsia="Century" w:hAnsi="Century" w:cs="Century"/>
    </w:rPr>
  </w:style>
  <w:style w:type="paragraph" w:customStyle="1" w:styleId="jaff5">
    <w:name w:val="表タイトル（ja）"/>
    <w:basedOn w:val="a"/>
    <w:rsid w:val="001E6170"/>
    <w:pPr>
      <w:widowControl w:val="0"/>
      <w:ind w:left="219"/>
    </w:pPr>
    <w:rPr>
      <w:rFonts w:ascii="ＭＳ 明朝" w:eastAsia="ＭＳ 明朝" w:hAnsi="ＭＳ 明朝" w:cs="ＭＳ 明朝"/>
    </w:rPr>
  </w:style>
  <w:style w:type="paragraph" w:customStyle="1" w:styleId="enff5">
    <w:name w:val="表タイトル（en）"/>
    <w:basedOn w:val="jaff5"/>
    <w:rsid w:val="001E6170"/>
    <w:rPr>
      <w:rFonts w:ascii="Century" w:eastAsia="Century" w:hAnsi="Century" w:cs="Century"/>
    </w:rPr>
  </w:style>
  <w:style w:type="paragraph" w:customStyle="1" w:styleId="jaff6">
    <w:name w:val="改正規定文（ja）"/>
    <w:basedOn w:val="a"/>
    <w:rsid w:val="001E6170"/>
    <w:pPr>
      <w:widowControl w:val="0"/>
      <w:ind w:left="219" w:firstLine="219"/>
    </w:pPr>
    <w:rPr>
      <w:rFonts w:ascii="ＭＳ 明朝" w:eastAsia="ＭＳ 明朝" w:hAnsi="ＭＳ 明朝" w:cs="ＭＳ 明朝"/>
    </w:rPr>
  </w:style>
  <w:style w:type="paragraph" w:customStyle="1" w:styleId="enff6">
    <w:name w:val="改正規定文（en）"/>
    <w:basedOn w:val="jaff6"/>
    <w:rsid w:val="001E6170"/>
    <w:rPr>
      <w:rFonts w:ascii="Century" w:eastAsia="Century" w:hAnsi="Century" w:cs="Century"/>
    </w:rPr>
  </w:style>
  <w:style w:type="paragraph" w:customStyle="1" w:styleId="jaff7">
    <w:name w:val="付記（ja）"/>
    <w:basedOn w:val="a"/>
    <w:rsid w:val="001E6170"/>
    <w:pPr>
      <w:widowControl w:val="0"/>
      <w:ind w:left="219" w:firstLine="219"/>
    </w:pPr>
    <w:rPr>
      <w:rFonts w:ascii="ＭＳ 明朝" w:eastAsia="ＭＳ 明朝" w:hAnsi="ＭＳ 明朝" w:cs="ＭＳ 明朝"/>
    </w:rPr>
  </w:style>
  <w:style w:type="paragraph" w:customStyle="1" w:styleId="enff7">
    <w:name w:val="付記（en）"/>
    <w:basedOn w:val="jaff7"/>
    <w:rsid w:val="001E6170"/>
    <w:rPr>
      <w:rFonts w:ascii="Century" w:eastAsia="Century" w:hAnsi="Century" w:cs="Century"/>
    </w:rPr>
  </w:style>
  <w:style w:type="paragraph" w:customStyle="1" w:styleId="jaff8">
    <w:name w:val="様式名（ja）"/>
    <w:basedOn w:val="a"/>
    <w:rsid w:val="001E6170"/>
    <w:pPr>
      <w:widowControl w:val="0"/>
      <w:ind w:left="439" w:hanging="219"/>
    </w:pPr>
    <w:rPr>
      <w:rFonts w:ascii="ＭＳ 明朝" w:eastAsia="ＭＳ 明朝" w:hAnsi="ＭＳ 明朝" w:cs="ＭＳ 明朝"/>
    </w:rPr>
  </w:style>
  <w:style w:type="paragraph" w:customStyle="1" w:styleId="enff8">
    <w:name w:val="様式名（en）"/>
    <w:basedOn w:val="jaff8"/>
    <w:rsid w:val="001E6170"/>
    <w:rPr>
      <w:rFonts w:ascii="Century" w:eastAsia="Century" w:hAnsi="Century" w:cs="Century"/>
    </w:rPr>
  </w:style>
  <w:style w:type="paragraph" w:customStyle="1" w:styleId="jaff9">
    <w:name w:val="様式項目（ja）"/>
    <w:basedOn w:val="a"/>
    <w:rsid w:val="001E6170"/>
    <w:pPr>
      <w:widowControl w:val="0"/>
      <w:ind w:left="221" w:firstLine="221"/>
    </w:pPr>
    <w:rPr>
      <w:rFonts w:ascii="ＭＳ 明朝" w:eastAsia="ＭＳ 明朝" w:hAnsi="ＭＳ 明朝" w:cs="ＭＳ 明朝"/>
    </w:rPr>
  </w:style>
  <w:style w:type="paragraph" w:customStyle="1" w:styleId="enff9">
    <w:name w:val="様式項目（en）"/>
    <w:basedOn w:val="jaff9"/>
    <w:rsid w:val="001E6170"/>
    <w:rPr>
      <w:rFonts w:ascii="Century" w:eastAsia="Century" w:hAnsi="Century" w:cs="Century"/>
    </w:rPr>
  </w:style>
  <w:style w:type="table" w:customStyle="1" w:styleId="1">
    <w:name w:val="表1"/>
    <w:rsid w:val="001E6170"/>
    <w:tblPr>
      <w:tblInd w:w="340" w:type="dxa"/>
      <w:tblCellMar>
        <w:top w:w="0" w:type="dxa"/>
        <w:left w:w="0" w:type="dxa"/>
        <w:bottom w:w="0" w:type="dxa"/>
        <w:right w:w="0" w:type="dxa"/>
      </w:tblCellMar>
    </w:tblPr>
  </w:style>
  <w:style w:type="numbering" w:customStyle="1" w:styleId="WW8Num1">
    <w:name w:val="WW8Num1"/>
    <w:rsid w:val="001E6170"/>
    <w:pPr>
      <w:numPr>
        <w:numId w:val="2"/>
      </w:numPr>
    </w:pPr>
  </w:style>
  <w:style w:type="numbering" w:customStyle="1" w:styleId="WW8Num2">
    <w:name w:val="WW8Num2"/>
    <w:rsid w:val="001E6170"/>
    <w:pPr>
      <w:numPr>
        <w:numId w:val="3"/>
      </w:numPr>
    </w:pPr>
  </w:style>
  <w:style w:type="numbering" w:customStyle="1" w:styleId="WW8Num3">
    <w:name w:val="WW8Num3"/>
    <w:rsid w:val="001E6170"/>
    <w:pPr>
      <w:numPr>
        <w:numId w:val="4"/>
      </w:numPr>
    </w:pPr>
  </w:style>
  <w:style w:type="numbering" w:customStyle="1" w:styleId="WW8Num4">
    <w:name w:val="WW8Num4"/>
    <w:rsid w:val="001E6170"/>
    <w:pPr>
      <w:numPr>
        <w:numId w:val="5"/>
      </w:numPr>
    </w:pPr>
  </w:style>
  <w:style w:type="numbering" w:customStyle="1" w:styleId="WW8Num5">
    <w:name w:val="WW8Num5"/>
    <w:rsid w:val="001E6170"/>
    <w:pPr>
      <w:numPr>
        <w:numId w:val="6"/>
      </w:numPr>
    </w:pPr>
  </w:style>
  <w:style w:type="numbering" w:customStyle="1" w:styleId="WW8Num6">
    <w:name w:val="WW8Num6"/>
    <w:rsid w:val="001E6170"/>
    <w:pPr>
      <w:numPr>
        <w:numId w:val="7"/>
      </w:numPr>
    </w:pPr>
  </w:style>
  <w:style w:type="numbering" w:customStyle="1" w:styleId="WW8Num7">
    <w:name w:val="WW8Num7"/>
    <w:rsid w:val="001E6170"/>
    <w:pPr>
      <w:numPr>
        <w:numId w:val="8"/>
      </w:numPr>
    </w:pPr>
  </w:style>
  <w:style w:type="numbering" w:customStyle="1" w:styleId="WW8Num8">
    <w:name w:val="WW8Num8"/>
    <w:rsid w:val="001E6170"/>
    <w:pPr>
      <w:numPr>
        <w:numId w:val="9"/>
      </w:numPr>
    </w:pPr>
  </w:style>
  <w:style w:type="numbering" w:customStyle="1" w:styleId="WW8Num9">
    <w:name w:val="WW8Num9"/>
    <w:rsid w:val="001E6170"/>
    <w:pPr>
      <w:numPr>
        <w:numId w:val="10"/>
      </w:numPr>
    </w:pPr>
  </w:style>
  <w:style w:type="numbering" w:customStyle="1" w:styleId="WW8Num10">
    <w:name w:val="WW8Num10"/>
    <w:rsid w:val="001E6170"/>
    <w:pPr>
      <w:numPr>
        <w:numId w:val="11"/>
      </w:numPr>
    </w:pPr>
  </w:style>
  <w:style w:type="numbering" w:customStyle="1" w:styleId="WW8Num11">
    <w:name w:val="WW8Num11"/>
    <w:rsid w:val="001E6170"/>
    <w:pPr>
      <w:numPr>
        <w:numId w:val="12"/>
      </w:numPr>
    </w:pPr>
  </w:style>
  <w:style w:type="numbering" w:customStyle="1" w:styleId="WW8Num12">
    <w:name w:val="WW8Num12"/>
    <w:rsid w:val="001E6170"/>
    <w:pPr>
      <w:numPr>
        <w:numId w:val="13"/>
      </w:numPr>
    </w:pPr>
  </w:style>
  <w:style w:type="paragraph" w:styleId="a4">
    <w:name w:val="header"/>
    <w:basedOn w:val="a"/>
    <w:link w:val="a5"/>
    <w:uiPriority w:val="99"/>
    <w:unhideWhenUsed/>
    <w:rsid w:val="006B52E8"/>
    <w:pPr>
      <w:tabs>
        <w:tab w:val="center" w:pos="4252"/>
        <w:tab w:val="right" w:pos="8504"/>
      </w:tabs>
      <w:snapToGrid w:val="0"/>
    </w:pPr>
  </w:style>
  <w:style w:type="character" w:customStyle="1" w:styleId="a5">
    <w:name w:val="ヘッダー (文字)"/>
    <w:basedOn w:val="a0"/>
    <w:link w:val="a4"/>
    <w:uiPriority w:val="99"/>
    <w:rsid w:val="006B52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8195</Words>
  <Characters>46718</Characters>
  <Application>Microsoft Office Word</Application>
  <DocSecurity>0</DocSecurity>
  <Lines>389</Lines>
  <Paragraphs>109</Paragraphs>
  <ScaleCrop>false</ScaleCrop>
  <Company/>
  <LinksUpToDate>false</LinksUpToDate>
  <CharactersWithSpaces>54804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2022-12-05T23:55:00Z</dcterms:created>
  <dcterms:modified xsi:type="dcterms:W3CDTF">2022-12-05T23:55:00Z</dcterms:modified>
</cp:coreProperties>
</file>