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A58" w:rsidRDefault="008B1116">
      <w:pPr>
        <w:pStyle w:val="ja"/>
      </w:pPr>
      <w:r>
        <w:t>検察官の俸給等に関する法律</w:t>
      </w:r>
    </w:p>
    <w:p w:rsidR="000C1A58" w:rsidRDefault="008B1116">
      <w:pPr>
        <w:pStyle w:val="en"/>
      </w:pPr>
      <w:r>
        <w:t>Act on the Salaries of Public Prosecutors</w:t>
      </w:r>
    </w:p>
    <w:p w:rsidR="000C1A58" w:rsidRDefault="000C1A58"/>
    <w:p w:rsidR="000C1A58" w:rsidRDefault="008B1116">
      <w:pPr>
        <w:pStyle w:val="jaf"/>
      </w:pPr>
      <w:r>
        <w:t>（昭和二十三年七月一日法律第七十六号）</w:t>
      </w:r>
    </w:p>
    <w:p w:rsidR="000C1A58" w:rsidRDefault="008B1116">
      <w:pPr>
        <w:pStyle w:val="enf"/>
      </w:pPr>
      <w:r>
        <w:t>(Act No. 76 of July 1, 1948)</w:t>
      </w:r>
    </w:p>
    <w:p w:rsidR="000C1A58" w:rsidRDefault="000C1A58"/>
    <w:p w:rsidR="000C1A58" w:rsidRDefault="008B1116">
      <w:pPr>
        <w:pStyle w:val="jaf3"/>
      </w:pPr>
      <w:r>
        <w:t>第一条　検察官の給与に関しては、検察庁法（昭和二十二年法律第六十一号）及びこの法律に定めるものを除き、検事総長、次長検事及び検事長については、特別職の職員の給与に関する法律（昭和二十四年法律第二百五十二号）第一条第一号から第四十二号までに掲げる者の例により、一号から八号までの俸給を受ける検事及び第九条に定める俸給月額の俸給又は一号若しくは二号の俸給を受ける副検事については、一般職の職員の給与に関する法律（昭和二十五年法律第九十五号）による指定職俸給表の適用を受ける職員の例により、その他の検察官については、一</w:t>
      </w:r>
      <w:r>
        <w:t>般官吏の例による。ただし、俸給の特別調整額、超過勤務手当、休日給、夜勤手当及び宿日直手当は、これを支給しない。</w:t>
      </w:r>
    </w:p>
    <w:p w:rsidR="000C1A58" w:rsidRDefault="008B1116">
      <w:pPr>
        <w:pStyle w:val="enf3"/>
      </w:pPr>
      <w:r>
        <w:t>Article 1  (1) Article 1 (1) With regard to the salary of public prosecutors, except as provided for by the Public Prosecutor's Office Act (Act No. 61 of 1947) and this Act, the salary of a prosecutor</w:t>
      </w:r>
      <w:r>
        <w:t xml:space="preserve"> general, deputy prosecutor general, and a superintending prosecutor is in accordance with the examples of persons set forth in Article 1, items (i) through (xlii) of the Act on Remuneration of Government Officials with Special Capacity (Act No. 252 of 194</w:t>
      </w:r>
      <w:r>
        <w:t>9); the salary of public prosecutors who receive a salary listed in items (i) through (viii) and an assistant public prosecutor who receives a monthly salary provided for in Article 9 or a salary listed in item (i) or (ii) is in accordance with the example</w:t>
      </w:r>
      <w:r>
        <w:t xml:space="preserve"> of official subject to the designated job salary schedule under the Act on Remuneration of Officials in the Regular Service Category (Act No. 95 of 1950); and the salary of any other public prosecutors is in accordance with the example of general officers</w:t>
      </w:r>
      <w:r>
        <w:t>; provided, however, that special adjustment of salary, overtime pay, holiday pay, night shift allowance, and night and day shift allowance are not paid.</w:t>
      </w:r>
    </w:p>
    <w:p w:rsidR="000C1A58" w:rsidRDefault="008B1116">
      <w:pPr>
        <w:pStyle w:val="jaf4"/>
      </w:pPr>
      <w:r>
        <w:t>２　次長検事及び検事長には、一般官吏の例により、単身赴任手当を支給する。</w:t>
      </w:r>
    </w:p>
    <w:p w:rsidR="000C1A58" w:rsidRDefault="008B1116">
      <w:pPr>
        <w:pStyle w:val="enf4"/>
      </w:pPr>
      <w:r>
        <w:t>(2) A deputy prosecutor general and a superintending prosecutor i</w:t>
      </w:r>
      <w:r>
        <w:t>s paid unaccompanied transfer allowance in the same manner as those of general civil servants.</w:t>
      </w:r>
    </w:p>
    <w:p w:rsidR="000C1A58" w:rsidRDefault="008B1116">
      <w:pPr>
        <w:pStyle w:val="jaf4"/>
      </w:pPr>
      <w:r>
        <w:t>３　寒冷地に在勤する検事長には、一般官吏の例により、寒冷地手当を支給する。</w:t>
      </w:r>
    </w:p>
    <w:p w:rsidR="000C1A58" w:rsidRDefault="008B1116">
      <w:pPr>
        <w:pStyle w:val="enf4"/>
      </w:pPr>
      <w:r>
        <w:t>(3) A superintending prosecutor working in cold areas is paid cold area allowance in the same manner as a general governmen</w:t>
      </w:r>
      <w:r>
        <w:t>t official.</w:t>
      </w:r>
    </w:p>
    <w:p w:rsidR="000C1A58" w:rsidRDefault="000C1A58"/>
    <w:p w:rsidR="000C1A58" w:rsidRDefault="008B1116">
      <w:pPr>
        <w:pStyle w:val="jaf3"/>
      </w:pPr>
      <w:r>
        <w:t>第二条　検察官の俸給月額は、別表による。</w:t>
      </w:r>
    </w:p>
    <w:p w:rsidR="000C1A58" w:rsidRDefault="008B1116">
      <w:pPr>
        <w:pStyle w:val="enf3"/>
      </w:pPr>
      <w:r>
        <w:t xml:space="preserve">Article 2  The monthly salary of a public prosecutor is to be in accordance with </w:t>
      </w:r>
      <w:r>
        <w:lastRenderedPageBreak/>
        <w:t>the attached table.</w:t>
      </w:r>
    </w:p>
    <w:p w:rsidR="000C1A58" w:rsidRDefault="000C1A58"/>
    <w:p w:rsidR="000C1A58" w:rsidRDefault="008B1116">
      <w:pPr>
        <w:pStyle w:val="jaf3"/>
      </w:pPr>
      <w:r>
        <w:t>第三条　法務大臣は、初任給、昇給その他検察官の給与に関する事項について必要な準則を定め、これに従つて各検察官の受くべき俸給の号等を定める。</w:t>
      </w:r>
    </w:p>
    <w:p w:rsidR="000C1A58" w:rsidRDefault="008B1116">
      <w:pPr>
        <w:pStyle w:val="enf3"/>
      </w:pPr>
      <w:r>
        <w:t>Article 3  (1) (2) The Minister of Justice establi</w:t>
      </w:r>
      <w:r>
        <w:t>shes the necessary rules for starting salaries, salary increases and other particulars concerning the salaries of public prosecutors, and in accordance with these, determines the salaries to be received by each public prosecutor.</w:t>
      </w:r>
    </w:p>
    <w:p w:rsidR="000C1A58" w:rsidRDefault="008B1116">
      <w:pPr>
        <w:pStyle w:val="jaf4"/>
      </w:pPr>
      <w:r>
        <w:t>２　前項に規定する準則は、法務大臣が内閣総理大臣と協</w:t>
      </w:r>
      <w:r>
        <w:t>議して、これを定める。</w:t>
      </w:r>
    </w:p>
    <w:p w:rsidR="000C1A58" w:rsidRDefault="008B1116">
      <w:pPr>
        <w:pStyle w:val="enf4"/>
      </w:pPr>
      <w:r>
        <w:t>(2) The rules provided for in the preceding paragraph is established by the Minister of Justice in consultation with the Prime Minister.</w:t>
      </w:r>
    </w:p>
    <w:p w:rsidR="000C1A58" w:rsidRDefault="000C1A58"/>
    <w:p w:rsidR="000C1A58" w:rsidRDefault="008B1116">
      <w:pPr>
        <w:pStyle w:val="jaf3"/>
      </w:pPr>
      <w:r>
        <w:t>第四条　検察庁法第二十四条の規定により欠位を待つことを命ぜられた検察官には、引き続き扶養手当、地域手当、広域異動手当、住居手当、期末手当及び寒冷地手当を支給する。</w:t>
      </w:r>
    </w:p>
    <w:p w:rsidR="000C1A58" w:rsidRDefault="008B1116">
      <w:pPr>
        <w:pStyle w:val="enf3"/>
      </w:pPr>
      <w:r>
        <w:t>Article 4  A public pros</w:t>
      </w:r>
      <w:r>
        <w:t>ecutor who has been ordered to wait for a vacancy pursuant to the provisions of Article 24 of the Public Prosecutor's Office Act is to continue to receive dependents allowance, area allowance, a wide-area transfer allowance, housing allowance, and an end-o</w:t>
      </w:r>
      <w:r>
        <w:t>f-year allowance and a cold area allowance.</w:t>
      </w:r>
    </w:p>
    <w:p w:rsidR="000C1A58" w:rsidRDefault="000C1A58"/>
    <w:p w:rsidR="000C1A58" w:rsidRDefault="008B1116">
      <w:pPr>
        <w:pStyle w:val="ja2"/>
      </w:pPr>
      <w:r>
        <w:t>附　則　〔附　則［抄］〕〔抄〕</w:t>
      </w:r>
    </w:p>
    <w:p w:rsidR="000C1A58" w:rsidRDefault="008B1116">
      <w:pPr>
        <w:pStyle w:val="en2"/>
      </w:pPr>
      <w:r>
        <w:t>Supplementary Provisions  [Extract]</w:t>
      </w:r>
    </w:p>
    <w:p w:rsidR="000C1A58" w:rsidRDefault="000C1A58"/>
    <w:p w:rsidR="000C1A58" w:rsidRDefault="008B1116">
      <w:pPr>
        <w:pStyle w:val="jaf3"/>
      </w:pPr>
      <w:r>
        <w:t>第九条　副検事の俸給月額は、特別のものに限り、当分の間、第二条の規定にかかわらず、六十三万四千円とすることができる。</w:t>
      </w:r>
    </w:p>
    <w:p w:rsidR="000C1A58" w:rsidRDefault="008B1116">
      <w:pPr>
        <w:pStyle w:val="enf3"/>
      </w:pPr>
      <w:r>
        <w:t xml:space="preserve">Article 9  Until otherwise provided for by law, the monthly salary of an assistant public </w:t>
      </w:r>
      <w:r>
        <w:t>prosecutor may be set at 634,000 yen, limited to special cases, notwithstanding the provisions of Article 2.</w:t>
      </w:r>
    </w:p>
    <w:p w:rsidR="000C1A58" w:rsidRDefault="000C1A58"/>
    <w:p w:rsidR="000C1A58" w:rsidRDefault="008B1116">
      <w:pPr>
        <w:pStyle w:val="ja8"/>
        <w:ind w:left="227" w:hanging="227"/>
      </w:pPr>
      <w:r>
        <w:t>別表（第二条関係）</w:t>
      </w:r>
    </w:p>
    <w:p w:rsidR="000C1A58" w:rsidRDefault="008B1116">
      <w:pPr>
        <w:pStyle w:val="en8"/>
        <w:ind w:left="227" w:hanging="227"/>
      </w:pPr>
      <w:r>
        <w:t>Appended Table (Re: Art.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0C1A58">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区分</w:t>
            </w:r>
            <w:r>
              <w:br w:type="textWrapping" w:clear="all"/>
            </w:r>
            <w:r>
              <w:t>Classification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俸給月額</w:t>
            </w:r>
            <w:r>
              <w:br w:type="textWrapping" w:clear="all"/>
            </w:r>
            <w:r>
              <w:t>Monthly salary</w:t>
            </w:r>
          </w:p>
        </w:tc>
      </w:tr>
      <w:tr w:rsidR="000C1A58">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検事総長</w:t>
            </w:r>
            <w:r>
              <w:br w:type="textWrapping" w:clear="all"/>
            </w:r>
            <w:r>
              <w:t>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一、四六六、〇〇〇円</w:t>
            </w:r>
            <w:r>
              <w:br w:type="textWrapping" w:clear="all"/>
            </w:r>
            <w:r>
              <w:t>1,466,000 yen</w:t>
            </w:r>
          </w:p>
        </w:tc>
      </w:tr>
      <w:tr w:rsidR="000C1A58">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次長検事</w:t>
            </w:r>
            <w:r>
              <w:br w:type="textWrapping" w:clear="all"/>
            </w:r>
            <w:r>
              <w:t>Deputy Prosecu</w:t>
            </w:r>
            <w:r>
              <w:t>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一、一九九、〇〇〇円</w:t>
            </w:r>
            <w:r>
              <w:br w:type="textWrapping" w:clear="all"/>
            </w:r>
            <w:r>
              <w:t>1,199,000 yen</w:t>
            </w:r>
          </w:p>
        </w:tc>
      </w:tr>
      <w:tr w:rsidR="000C1A58">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東京高等検察庁検事長</w:t>
            </w:r>
            <w:r>
              <w:br w:type="textWrapping" w:clear="all"/>
            </w:r>
            <w:r>
              <w:t>Superintending Prosecutor of the Tokyo High Public Prosecutors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一、三〇二、〇〇〇円</w:t>
            </w:r>
            <w:r>
              <w:br w:type="textWrapping" w:clear="all"/>
            </w:r>
            <w:r>
              <w:t>1,302,000 yen</w:t>
            </w:r>
          </w:p>
        </w:tc>
      </w:tr>
      <w:tr w:rsidR="000C1A58">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lastRenderedPageBreak/>
              <w:t>その他の検事長</w:t>
            </w:r>
            <w:r>
              <w:br w:type="textWrapping" w:clear="all"/>
            </w:r>
            <w:r>
              <w:t>Other superintending prosecutors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一、一九九、〇〇〇円</w:t>
            </w:r>
            <w:r>
              <w:br w:type="textWrapping" w:clear="all"/>
            </w:r>
            <w:r>
              <w:t>1,199,000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t>検事</w:t>
            </w:r>
            <w:r>
              <w:br w:type="textWrapping" w:clear="all"/>
            </w:r>
            <w:r>
              <w:t>Public prosecutors</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一号</w:t>
            </w:r>
            <w:r>
              <w:br w:type="textWrapping" w:clear="all"/>
            </w: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一、一七五、〇〇〇円</w:t>
            </w:r>
            <w:r>
              <w:br w:type="textWrapping" w:clear="all"/>
            </w:r>
            <w:r>
              <w:t>1,175,000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二号</w:t>
            </w:r>
            <w:r>
              <w:br w:type="textWrapping" w:clear="all"/>
            </w: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一、〇三五、〇〇〇円</w:t>
            </w:r>
            <w:r>
              <w:br w:type="textWrapping" w:clear="all"/>
            </w:r>
            <w:r>
              <w:t>1,035,000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三号</w:t>
            </w:r>
            <w:r>
              <w:br w:type="textWrapping" w:clear="all"/>
            </w: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九六五、〇〇〇円</w:t>
            </w:r>
            <w:r>
              <w:br w:type="textWrapping" w:clear="all"/>
            </w:r>
            <w:r>
              <w:t>965,000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四号</w:t>
            </w:r>
            <w:r>
              <w:br w:type="textWrapping" w:clear="all"/>
            </w: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八一八、〇〇〇円</w:t>
            </w:r>
            <w:r>
              <w:br w:type="textWrapping" w:clear="all"/>
            </w:r>
            <w:r>
              <w:t>818,000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五号</w:t>
            </w:r>
            <w:r>
              <w:br w:type="textWrapping" w:clear="all"/>
            </w: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七〇六、〇〇〇円</w:t>
            </w:r>
            <w:r>
              <w:br w:type="textWrapping" w:clear="all"/>
            </w:r>
            <w:r>
              <w:t>706,000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六号</w:t>
            </w:r>
            <w:r>
              <w:br w:type="textWrapping" w:clear="all"/>
            </w: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六三四、〇〇〇円</w:t>
            </w:r>
            <w:r>
              <w:br w:type="textWrapping" w:clear="all"/>
            </w:r>
            <w:r>
              <w:t>634,000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七号</w:t>
            </w:r>
            <w:r>
              <w:br w:type="textWrapping" w:clear="all"/>
            </w: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五七四、〇〇〇円</w:t>
            </w:r>
            <w:r>
              <w:br w:type="textWrapping" w:clear="all"/>
            </w:r>
            <w:r>
              <w:t>574,000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八号</w:t>
            </w:r>
            <w:r>
              <w:br w:type="textWrapping" w:clear="all"/>
            </w: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五一六、〇〇〇円</w:t>
            </w:r>
            <w:r>
              <w:br w:type="textWrapping" w:clear="all"/>
            </w:r>
            <w:r>
              <w:t>516,000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九号</w:t>
            </w:r>
            <w:r>
              <w:br w:type="textWrapping" w:clear="all"/>
            </w: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四二一、五〇〇円</w:t>
            </w:r>
            <w:r>
              <w:br w:type="textWrapping" w:clear="all"/>
            </w:r>
            <w:r>
              <w:t>421,500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十号</w:t>
            </w:r>
            <w:r>
              <w:br w:type="textWrapping" w:clear="all"/>
            </w: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三八七、八〇〇円</w:t>
            </w:r>
            <w:r>
              <w:br w:type="textWrapping" w:clear="all"/>
            </w:r>
            <w:r>
              <w:t>387,800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十一号</w:t>
            </w:r>
            <w:r>
              <w:br w:type="textWrapping" w:clear="all"/>
            </w: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三六四、九〇〇円</w:t>
            </w:r>
            <w:r>
              <w:br w:type="textWrapping" w:clear="all"/>
            </w:r>
            <w:r>
              <w:t>364,900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十二号</w:t>
            </w:r>
            <w:r>
              <w:br w:type="textWrapping" w:clear="all"/>
            </w: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三四一、六〇〇円</w:t>
            </w:r>
            <w:r>
              <w:br w:type="textWrapping" w:clear="all"/>
            </w:r>
            <w:r>
              <w:t>341,600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十三号</w:t>
            </w:r>
            <w:r>
              <w:br w:type="textWrapping" w:clear="all"/>
            </w: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三一九、八〇〇円</w:t>
            </w:r>
            <w:r>
              <w:br w:type="textWrapping" w:clear="all"/>
            </w:r>
            <w:r>
              <w:t>319,800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十四号</w:t>
            </w:r>
            <w:r>
              <w:br w:type="textWrapping" w:clear="all"/>
            </w: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三〇四、七〇〇円</w:t>
            </w:r>
            <w:r>
              <w:br w:type="textWrapping" w:clear="all"/>
            </w:r>
            <w:r>
              <w:t>304,700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十五号</w:t>
            </w:r>
            <w:r>
              <w:br w:type="textWrapping" w:clear="all"/>
            </w: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二八七、五〇〇円</w:t>
            </w:r>
            <w:r>
              <w:br w:type="textWrapping" w:clear="all"/>
            </w:r>
            <w:r>
              <w:t>287,500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十六号</w:t>
            </w:r>
            <w:r>
              <w:br w:type="textWrapping" w:clear="all"/>
            </w: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二七八、〇〇〇円</w:t>
            </w:r>
            <w:r>
              <w:br w:type="textWrapping" w:clear="all"/>
            </w:r>
            <w:r>
              <w:t>278,000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十七号</w:t>
            </w:r>
            <w:r>
              <w:br w:type="textWrapping" w:clear="all"/>
            </w: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二五八、〇〇〇円</w:t>
            </w:r>
            <w:r>
              <w:br w:type="textWrapping" w:clear="all"/>
            </w:r>
            <w:r>
              <w:t>258,000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十八号</w:t>
            </w:r>
            <w:r>
              <w:br w:type="textWrapping" w:clear="all"/>
            </w:r>
            <w:r>
              <w:t>Category 18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二四九、二〇〇円</w:t>
            </w:r>
            <w:r>
              <w:br w:type="textWrapping" w:clear="all"/>
            </w:r>
            <w:r>
              <w:t>249,200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十九号</w:t>
            </w:r>
            <w:r>
              <w:br w:type="textWrapping" w:clear="all"/>
            </w:r>
            <w:r>
              <w:t>Category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二四三、四〇〇円</w:t>
            </w:r>
            <w:r>
              <w:br w:type="textWrapping" w:clear="all"/>
            </w:r>
            <w:r>
              <w:t>243,400 yen</w:t>
            </w:r>
          </w:p>
        </w:tc>
      </w:tr>
      <w:tr w:rsidR="000C1A58">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二十号</w:t>
            </w:r>
            <w:r>
              <w:br w:type="textWrapping" w:clear="all"/>
            </w:r>
            <w:r>
              <w:t>Category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二三七、七〇〇円</w:t>
            </w:r>
            <w:r>
              <w:br w:type="textWrapping" w:clear="all"/>
            </w:r>
            <w:r>
              <w:t>237,700 yen</w:t>
            </w:r>
          </w:p>
        </w:tc>
      </w:tr>
      <w:tr w:rsidR="000C1A58">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0C1A58" w:rsidRDefault="008B1116">
            <w:pPr>
              <w:pStyle w:val="jaen"/>
            </w:pPr>
            <w:r>
              <w:t>副検事</w:t>
            </w:r>
            <w:r>
              <w:br w:type="textWrapping" w:clear="all"/>
            </w:r>
            <w:r>
              <w:t>Assistant public prosecutors</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一号</w:t>
            </w:r>
            <w:r>
              <w:br w:type="textWrapping" w:clear="all"/>
            </w: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五七四、〇〇〇円</w:t>
            </w:r>
            <w:r>
              <w:br w:type="textWrapping" w:clear="all"/>
            </w:r>
            <w:r>
              <w:t>574,000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二号</w:t>
            </w:r>
            <w:r>
              <w:br w:type="textWrapping" w:clear="all"/>
            </w: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五一六、〇〇〇円</w:t>
            </w:r>
            <w:r>
              <w:br w:type="textWrapping" w:clear="all"/>
            </w:r>
            <w:r>
              <w:t>516,000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lastRenderedPageBreak/>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三号</w:t>
            </w:r>
            <w:r>
              <w:br w:type="textWrapping" w:clear="all"/>
            </w: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四三八、九〇〇円</w:t>
            </w:r>
            <w:r>
              <w:br w:type="textWrapping" w:clear="all"/>
            </w:r>
            <w:r>
              <w:t>438,900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四号</w:t>
            </w:r>
            <w:r>
              <w:br w:type="textWrapping" w:clear="all"/>
            </w: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四二一、五〇〇円</w:t>
            </w:r>
            <w:r>
              <w:br w:type="textWrapping" w:clear="all"/>
            </w:r>
            <w:r>
              <w:t>421,500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五号</w:t>
            </w:r>
            <w:r>
              <w:br w:type="textWrapping" w:clear="all"/>
            </w: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三八七、八〇〇円</w:t>
            </w:r>
            <w:r>
              <w:br w:type="textWrapping" w:clear="all"/>
            </w:r>
            <w:r>
              <w:t>387,800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六号</w:t>
            </w:r>
            <w:r>
              <w:br w:type="textWrapping" w:clear="all"/>
            </w: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三六四、九〇〇円</w:t>
            </w:r>
            <w:r>
              <w:br w:type="textWrapping" w:clear="all"/>
            </w:r>
            <w:r>
              <w:t>364,900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七号</w:t>
            </w:r>
            <w:r>
              <w:br w:type="textWrapping" w:clear="all"/>
            </w: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三四一、六〇〇円</w:t>
            </w:r>
            <w:r>
              <w:br w:type="textWrapping" w:clear="all"/>
            </w:r>
            <w:r>
              <w:t>341,600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八号</w:t>
            </w:r>
            <w:r>
              <w:br w:type="textWrapping" w:clear="all"/>
            </w: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三一九、八〇〇円</w:t>
            </w:r>
            <w:r>
              <w:br w:type="textWrapping" w:clear="all"/>
            </w:r>
            <w:r>
              <w:t>319,800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九号</w:t>
            </w:r>
            <w:r>
              <w:br w:type="textWrapping" w:clear="all"/>
            </w: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三〇四、七〇〇円</w:t>
            </w:r>
            <w:r>
              <w:br w:type="textWrapping" w:clear="all"/>
            </w:r>
            <w:r>
              <w:t>304,700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十号</w:t>
            </w:r>
            <w:r>
              <w:br w:type="textWrapping" w:clear="all"/>
            </w: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二八七、五〇〇円</w:t>
            </w:r>
            <w:r>
              <w:br w:type="textWrapping" w:clear="all"/>
            </w:r>
            <w:r>
              <w:t>287,500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十一号</w:t>
            </w:r>
            <w:r>
              <w:br w:type="textWrapping" w:clear="all"/>
            </w: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二七八、〇〇〇円</w:t>
            </w:r>
            <w:r>
              <w:br w:type="textWrapping" w:clear="all"/>
            </w:r>
            <w:r>
              <w:t>278,000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十二号</w:t>
            </w:r>
            <w:r>
              <w:br w:type="textWrapping" w:clear="all"/>
            </w: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二五八、〇〇〇円</w:t>
            </w:r>
            <w:r>
              <w:br w:type="textWrapping" w:clear="all"/>
            </w:r>
            <w:r>
              <w:t>258,000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十三号</w:t>
            </w:r>
            <w:r>
              <w:br w:type="textWrapping" w:clear="all"/>
            </w: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二四九、二〇〇円</w:t>
            </w:r>
            <w:r>
              <w:br w:type="textWrapping" w:clear="all"/>
            </w:r>
            <w:r>
              <w:t>249,200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十四号</w:t>
            </w:r>
            <w:r>
              <w:br w:type="textWrapping" w:clear="all"/>
            </w: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二四三、四〇〇円</w:t>
            </w:r>
            <w:r>
              <w:br w:type="textWrapping" w:clear="all"/>
            </w:r>
            <w:r>
              <w:t>243,400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十五号</w:t>
            </w:r>
            <w:r>
              <w:br w:type="textWrapping" w:clear="all"/>
            </w: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二三七、七〇〇円</w:t>
            </w:r>
            <w:r>
              <w:br w:type="textWrapping" w:clear="all"/>
            </w:r>
            <w:r>
              <w:t>237,700 yen</w:t>
            </w:r>
          </w:p>
        </w:tc>
      </w:tr>
      <w:tr w:rsidR="000C1A58">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十六号</w:t>
            </w:r>
            <w:r>
              <w:br w:type="textWrapping" w:clear="all"/>
            </w: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二二六、五〇〇円</w:t>
            </w:r>
            <w:r>
              <w:br w:type="textWrapping" w:clear="all"/>
            </w:r>
            <w:r>
              <w:t>226,500 yen</w:t>
            </w:r>
          </w:p>
        </w:tc>
      </w:tr>
      <w:tr w:rsidR="000C1A58">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十七号</w:t>
            </w:r>
            <w:r>
              <w:br w:type="textWrapping" w:clear="all"/>
            </w: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C1A58" w:rsidRDefault="008B1116">
            <w:pPr>
              <w:pStyle w:val="jaen"/>
            </w:pPr>
            <w:r>
              <w:t>二一八、八〇〇円</w:t>
            </w:r>
            <w:r>
              <w:br w:type="textWrapping" w:clear="all"/>
            </w:r>
            <w:r>
              <w:t>218,800 yen</w:t>
            </w:r>
          </w:p>
        </w:tc>
      </w:tr>
    </w:tbl>
    <w:p w:rsidR="000C1A58" w:rsidRDefault="000C1A58"/>
    <w:sectPr w:rsidR="000C1A58" w:rsidSect="000C1A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A58" w:rsidRDefault="000C1A58" w:rsidP="000C1A58">
      <w:r>
        <w:separator/>
      </w:r>
    </w:p>
  </w:endnote>
  <w:endnote w:type="continuationSeparator" w:id="0">
    <w:p w:rsidR="000C1A58" w:rsidRDefault="000C1A58" w:rsidP="000C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A58" w:rsidRDefault="000C1A58">
    <w:pPr>
      <w:pStyle w:val="a3"/>
    </w:pPr>
    <w:r>
      <w:fldChar w:fldCharType="begin"/>
    </w:r>
    <w:r>
      <w:instrText xml:space="preserve"> PAGE  \* MERGEFORMAT </w:instrText>
    </w:r>
    <w:r>
      <w:fldChar w:fldCharType="separate"/>
    </w:r>
    <w:r w:rsidR="008B11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A58" w:rsidRDefault="000C1A58" w:rsidP="000C1A58">
      <w:r>
        <w:separator/>
      </w:r>
    </w:p>
  </w:footnote>
  <w:footnote w:type="continuationSeparator" w:id="0">
    <w:p w:rsidR="000C1A58" w:rsidRDefault="000C1A58" w:rsidP="000C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118"/>
    <w:multiLevelType w:val="multilevel"/>
    <w:tmpl w:val="ED86E7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77342"/>
    <w:multiLevelType w:val="multilevel"/>
    <w:tmpl w:val="FAD20A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E97402"/>
    <w:multiLevelType w:val="multilevel"/>
    <w:tmpl w:val="7382CB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403222"/>
    <w:multiLevelType w:val="multilevel"/>
    <w:tmpl w:val="EC1ED0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206F38"/>
    <w:multiLevelType w:val="multilevel"/>
    <w:tmpl w:val="42DC53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5F4330"/>
    <w:multiLevelType w:val="multilevel"/>
    <w:tmpl w:val="9F96E3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9E69F0"/>
    <w:multiLevelType w:val="multilevel"/>
    <w:tmpl w:val="C52015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5F5EEF"/>
    <w:multiLevelType w:val="multilevel"/>
    <w:tmpl w:val="9DA0AC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576DEA"/>
    <w:multiLevelType w:val="multilevel"/>
    <w:tmpl w:val="003421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797A71"/>
    <w:multiLevelType w:val="multilevel"/>
    <w:tmpl w:val="2D6E63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EB6510"/>
    <w:multiLevelType w:val="multilevel"/>
    <w:tmpl w:val="C3AADD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8C7169"/>
    <w:multiLevelType w:val="multilevel"/>
    <w:tmpl w:val="5290B5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044B8"/>
    <w:multiLevelType w:val="multilevel"/>
    <w:tmpl w:val="14DCC1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74993745">
    <w:abstractNumId w:val="4"/>
  </w:num>
  <w:num w:numId="2" w16cid:durableId="605036928">
    <w:abstractNumId w:val="9"/>
  </w:num>
  <w:num w:numId="3" w16cid:durableId="312871960">
    <w:abstractNumId w:val="0"/>
  </w:num>
  <w:num w:numId="4" w16cid:durableId="1681590583">
    <w:abstractNumId w:val="8"/>
  </w:num>
  <w:num w:numId="5" w16cid:durableId="1485706479">
    <w:abstractNumId w:val="12"/>
  </w:num>
  <w:num w:numId="6" w16cid:durableId="1292399984">
    <w:abstractNumId w:val="2"/>
  </w:num>
  <w:num w:numId="7" w16cid:durableId="698973268">
    <w:abstractNumId w:val="5"/>
  </w:num>
  <w:num w:numId="8" w16cid:durableId="413209896">
    <w:abstractNumId w:val="3"/>
  </w:num>
  <w:num w:numId="9" w16cid:durableId="806632627">
    <w:abstractNumId w:val="7"/>
  </w:num>
  <w:num w:numId="10" w16cid:durableId="683098290">
    <w:abstractNumId w:val="6"/>
  </w:num>
  <w:num w:numId="11" w16cid:durableId="1892840798">
    <w:abstractNumId w:val="1"/>
  </w:num>
  <w:num w:numId="12" w16cid:durableId="1045174815">
    <w:abstractNumId w:val="10"/>
  </w:num>
  <w:num w:numId="13" w16cid:durableId="831529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1A58"/>
    <w:rsid w:val="000C1A58"/>
    <w:rsid w:val="008B11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1A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1A58"/>
    <w:rPr>
      <w:rFonts w:ascii="Century" w:eastAsia="Century" w:hAnsi="Century"/>
    </w:rPr>
  </w:style>
  <w:style w:type="paragraph" w:customStyle="1" w:styleId="ja0">
    <w:name w:val="款（ja）"/>
    <w:basedOn w:val="a"/>
    <w:rsid w:val="000C1A58"/>
    <w:pPr>
      <w:widowControl w:val="0"/>
      <w:ind w:left="1321" w:hanging="221"/>
    </w:pPr>
    <w:rPr>
      <w:rFonts w:ascii="ＭＳ 明朝" w:eastAsia="ＭＳ 明朝" w:hAnsi="ＭＳ 明朝" w:cs="ＭＳ 明朝"/>
      <w:b/>
    </w:rPr>
  </w:style>
  <w:style w:type="paragraph" w:customStyle="1" w:styleId="en0">
    <w:name w:val="款（en）"/>
    <w:basedOn w:val="ja0"/>
    <w:rsid w:val="000C1A58"/>
    <w:rPr>
      <w:rFonts w:ascii="Century" w:eastAsia="Century" w:hAnsi="Century" w:cs="Century"/>
    </w:rPr>
  </w:style>
  <w:style w:type="paragraph" w:customStyle="1" w:styleId="ja1">
    <w:name w:val="前文（ja）"/>
    <w:basedOn w:val="a"/>
    <w:rsid w:val="000C1A58"/>
    <w:pPr>
      <w:widowControl w:val="0"/>
      <w:ind w:firstLine="219"/>
    </w:pPr>
    <w:rPr>
      <w:rFonts w:ascii="ＭＳ 明朝" w:eastAsia="ＭＳ 明朝" w:hAnsi="ＭＳ 明朝" w:cs="ＭＳ 明朝"/>
    </w:rPr>
  </w:style>
  <w:style w:type="paragraph" w:customStyle="1" w:styleId="en1">
    <w:name w:val="前文（en）"/>
    <w:basedOn w:val="ja1"/>
    <w:rsid w:val="000C1A58"/>
    <w:rPr>
      <w:rFonts w:ascii="Century" w:eastAsia="Century" w:hAnsi="Century" w:cs="Century"/>
    </w:rPr>
  </w:style>
  <w:style w:type="paragraph" w:customStyle="1" w:styleId="ja2">
    <w:name w:val="附則（ja）"/>
    <w:basedOn w:val="a"/>
    <w:rsid w:val="000C1A58"/>
    <w:pPr>
      <w:widowControl w:val="0"/>
      <w:ind w:left="881" w:hanging="221"/>
    </w:pPr>
    <w:rPr>
      <w:rFonts w:ascii="ＭＳ 明朝" w:eastAsia="ＭＳ 明朝" w:hAnsi="ＭＳ 明朝" w:cs="ＭＳ 明朝"/>
      <w:b/>
    </w:rPr>
  </w:style>
  <w:style w:type="paragraph" w:customStyle="1" w:styleId="en2">
    <w:name w:val="附則（en）"/>
    <w:basedOn w:val="ja2"/>
    <w:rsid w:val="000C1A58"/>
    <w:rPr>
      <w:rFonts w:ascii="Century" w:hAnsi="Century" w:cs="Century"/>
    </w:rPr>
  </w:style>
  <w:style w:type="paragraph" w:customStyle="1" w:styleId="ja3">
    <w:name w:val="章（ja）"/>
    <w:basedOn w:val="a"/>
    <w:rsid w:val="000C1A58"/>
    <w:pPr>
      <w:widowControl w:val="0"/>
      <w:ind w:left="881" w:hanging="221"/>
    </w:pPr>
    <w:rPr>
      <w:rFonts w:ascii="ＭＳ 明朝" w:eastAsia="ＭＳ 明朝" w:hAnsi="ＭＳ 明朝" w:cs="ＭＳ 明朝"/>
      <w:b/>
    </w:rPr>
  </w:style>
  <w:style w:type="paragraph" w:customStyle="1" w:styleId="en3">
    <w:name w:val="章（en）"/>
    <w:basedOn w:val="ja3"/>
    <w:rsid w:val="000C1A58"/>
    <w:rPr>
      <w:rFonts w:ascii="Century" w:eastAsia="Century" w:hAnsi="Century" w:cs="Century"/>
    </w:rPr>
  </w:style>
  <w:style w:type="paragraph" w:customStyle="1" w:styleId="ja4">
    <w:name w:val="目次編（ja）"/>
    <w:basedOn w:val="a"/>
    <w:rsid w:val="000C1A58"/>
    <w:pPr>
      <w:widowControl w:val="0"/>
      <w:ind w:left="219" w:hanging="219"/>
    </w:pPr>
    <w:rPr>
      <w:rFonts w:ascii="ＭＳ 明朝" w:eastAsia="ＭＳ 明朝" w:hAnsi="ＭＳ 明朝"/>
    </w:rPr>
  </w:style>
  <w:style w:type="paragraph" w:customStyle="1" w:styleId="en4">
    <w:name w:val="目次編（en）"/>
    <w:basedOn w:val="ja4"/>
    <w:rsid w:val="000C1A58"/>
    <w:rPr>
      <w:rFonts w:ascii="Century" w:eastAsia="Century" w:hAnsi="Century"/>
    </w:rPr>
  </w:style>
  <w:style w:type="paragraph" w:customStyle="1" w:styleId="ja5">
    <w:name w:val="目次章（ja）"/>
    <w:basedOn w:val="a"/>
    <w:rsid w:val="000C1A58"/>
    <w:pPr>
      <w:widowControl w:val="0"/>
      <w:ind w:left="439" w:hanging="219"/>
    </w:pPr>
    <w:rPr>
      <w:rFonts w:ascii="ＭＳ 明朝" w:eastAsia="ＭＳ 明朝" w:hAnsi="ＭＳ 明朝"/>
    </w:rPr>
  </w:style>
  <w:style w:type="paragraph" w:customStyle="1" w:styleId="en5">
    <w:name w:val="目次章（en）"/>
    <w:basedOn w:val="ja5"/>
    <w:rsid w:val="000C1A58"/>
    <w:rPr>
      <w:rFonts w:ascii="Century" w:eastAsia="Century" w:hAnsi="Century"/>
    </w:rPr>
  </w:style>
  <w:style w:type="paragraph" w:customStyle="1" w:styleId="ja6">
    <w:name w:val="目次節（ja）"/>
    <w:basedOn w:val="a"/>
    <w:rsid w:val="000C1A58"/>
    <w:pPr>
      <w:widowControl w:val="0"/>
      <w:ind w:left="659" w:hanging="219"/>
    </w:pPr>
    <w:rPr>
      <w:rFonts w:ascii="ＭＳ 明朝" w:eastAsia="ＭＳ 明朝" w:hAnsi="ＭＳ 明朝"/>
    </w:rPr>
  </w:style>
  <w:style w:type="paragraph" w:customStyle="1" w:styleId="en6">
    <w:name w:val="目次節（en）"/>
    <w:basedOn w:val="ja6"/>
    <w:rsid w:val="000C1A58"/>
    <w:rPr>
      <w:rFonts w:ascii="Century" w:eastAsia="Century" w:hAnsi="Century"/>
    </w:rPr>
  </w:style>
  <w:style w:type="paragraph" w:customStyle="1" w:styleId="ja7">
    <w:name w:val="目次款（ja）"/>
    <w:basedOn w:val="a"/>
    <w:rsid w:val="000C1A58"/>
    <w:pPr>
      <w:widowControl w:val="0"/>
      <w:ind w:left="879" w:hanging="219"/>
    </w:pPr>
    <w:rPr>
      <w:rFonts w:ascii="ＭＳ 明朝" w:eastAsia="ＭＳ 明朝" w:hAnsi="ＭＳ 明朝" w:cs="Kochi Mincho"/>
    </w:rPr>
  </w:style>
  <w:style w:type="paragraph" w:customStyle="1" w:styleId="en7">
    <w:name w:val="目次款（en）"/>
    <w:basedOn w:val="ja7"/>
    <w:rsid w:val="000C1A58"/>
    <w:rPr>
      <w:rFonts w:ascii="Century" w:eastAsia="Century" w:hAnsi="Century"/>
    </w:rPr>
  </w:style>
  <w:style w:type="paragraph" w:customStyle="1" w:styleId="ja8">
    <w:name w:val="別表名（ja）"/>
    <w:basedOn w:val="a"/>
    <w:rsid w:val="000C1A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1A58"/>
    <w:rPr>
      <w:rFonts w:ascii="Century" w:eastAsia="Century" w:hAnsi="Century" w:cs="Century"/>
    </w:rPr>
  </w:style>
  <w:style w:type="paragraph" w:customStyle="1" w:styleId="ja9">
    <w:name w:val="目（ja）"/>
    <w:basedOn w:val="a"/>
    <w:rsid w:val="000C1A58"/>
    <w:pPr>
      <w:widowControl w:val="0"/>
      <w:ind w:left="1541" w:hanging="221"/>
    </w:pPr>
    <w:rPr>
      <w:rFonts w:ascii="ＭＳ 明朝" w:eastAsia="ＭＳ 明朝" w:hAnsi="ＭＳ 明朝" w:cs="ＭＳ 明朝"/>
      <w:b/>
    </w:rPr>
  </w:style>
  <w:style w:type="paragraph" w:customStyle="1" w:styleId="en9">
    <w:name w:val="目（en）"/>
    <w:basedOn w:val="ja9"/>
    <w:rsid w:val="000C1A58"/>
    <w:rPr>
      <w:rFonts w:ascii="Century" w:eastAsia="Century" w:hAnsi="Century" w:cs="Century"/>
    </w:rPr>
  </w:style>
  <w:style w:type="paragraph" w:customStyle="1" w:styleId="jaa">
    <w:name w:val="見出し（ja）"/>
    <w:basedOn w:val="a"/>
    <w:rsid w:val="000C1A58"/>
    <w:pPr>
      <w:widowControl w:val="0"/>
      <w:ind w:left="439" w:hanging="219"/>
    </w:pPr>
    <w:rPr>
      <w:rFonts w:ascii="ＭＳ 明朝" w:eastAsia="ＭＳ 明朝" w:hAnsi="ＭＳ 明朝" w:cs="ＭＳ 明朝"/>
    </w:rPr>
  </w:style>
  <w:style w:type="paragraph" w:customStyle="1" w:styleId="ena">
    <w:name w:val="見出し（en）"/>
    <w:basedOn w:val="jaa"/>
    <w:rsid w:val="000C1A58"/>
    <w:rPr>
      <w:rFonts w:ascii="Century" w:eastAsia="Century" w:hAnsi="Century" w:cs="Century"/>
    </w:rPr>
  </w:style>
  <w:style w:type="paragraph" w:styleId="a3">
    <w:name w:val="footer"/>
    <w:basedOn w:val="a"/>
    <w:rsid w:val="000C1A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1A58"/>
    <w:pPr>
      <w:widowControl w:val="0"/>
      <w:ind w:left="1099" w:hanging="219"/>
    </w:pPr>
    <w:rPr>
      <w:rFonts w:ascii="ＭＳ 明朝" w:eastAsia="ＭＳ 明朝" w:hAnsi="ＭＳ 明朝" w:cs="Kochi Mincho"/>
    </w:rPr>
  </w:style>
  <w:style w:type="paragraph" w:customStyle="1" w:styleId="enb">
    <w:name w:val="目次目（en）"/>
    <w:basedOn w:val="jab"/>
    <w:rsid w:val="000C1A58"/>
    <w:rPr>
      <w:rFonts w:ascii="Century" w:eastAsia="Century" w:hAnsi="Century"/>
    </w:rPr>
  </w:style>
  <w:style w:type="paragraph" w:customStyle="1" w:styleId="jac">
    <w:name w:val="目次附則（ja）"/>
    <w:basedOn w:val="a"/>
    <w:rsid w:val="000C1A58"/>
    <w:pPr>
      <w:widowControl w:val="0"/>
      <w:ind w:left="439" w:hanging="219"/>
    </w:pPr>
    <w:rPr>
      <w:rFonts w:ascii="ＭＳ 明朝" w:eastAsia="ＭＳ 明朝" w:hAnsi="ＭＳ 明朝" w:cs="Kochi Mincho"/>
    </w:rPr>
  </w:style>
  <w:style w:type="paragraph" w:customStyle="1" w:styleId="enc">
    <w:name w:val="目次附則（en）"/>
    <w:basedOn w:val="jac"/>
    <w:rsid w:val="000C1A58"/>
    <w:rPr>
      <w:rFonts w:ascii="Century" w:eastAsia="Century" w:hAnsi="Century" w:cs="Century"/>
    </w:rPr>
  </w:style>
  <w:style w:type="paragraph" w:customStyle="1" w:styleId="jad">
    <w:name w:val="目次前文（ja）"/>
    <w:basedOn w:val="jac"/>
    <w:rsid w:val="000C1A58"/>
  </w:style>
  <w:style w:type="paragraph" w:customStyle="1" w:styleId="end">
    <w:name w:val="目次前文（en）"/>
    <w:basedOn w:val="enc"/>
    <w:rsid w:val="000C1A58"/>
  </w:style>
  <w:style w:type="paragraph" w:customStyle="1" w:styleId="jae">
    <w:name w:val="制定文（ja）"/>
    <w:basedOn w:val="a"/>
    <w:rsid w:val="000C1A58"/>
    <w:pPr>
      <w:widowControl w:val="0"/>
      <w:ind w:firstLine="219"/>
    </w:pPr>
    <w:rPr>
      <w:rFonts w:ascii="ＭＳ 明朝" w:eastAsia="ＭＳ 明朝" w:hAnsi="ＭＳ 明朝" w:cs="ＭＳ 明朝"/>
    </w:rPr>
  </w:style>
  <w:style w:type="paragraph" w:customStyle="1" w:styleId="ene">
    <w:name w:val="制定文（en）"/>
    <w:basedOn w:val="jae"/>
    <w:rsid w:val="000C1A58"/>
    <w:rPr>
      <w:rFonts w:ascii="Century" w:eastAsia="Century" w:hAnsi="Century" w:cs="Century"/>
    </w:rPr>
  </w:style>
  <w:style w:type="paragraph" w:customStyle="1" w:styleId="jaf">
    <w:name w:val="法令番号（ja）"/>
    <w:basedOn w:val="a"/>
    <w:rsid w:val="000C1A58"/>
    <w:pPr>
      <w:widowControl w:val="0"/>
      <w:jc w:val="right"/>
    </w:pPr>
    <w:rPr>
      <w:rFonts w:ascii="ＭＳ 明朝" w:eastAsia="ＭＳ 明朝" w:hAnsi="ＭＳ 明朝" w:cs="Kochi Mincho"/>
    </w:rPr>
  </w:style>
  <w:style w:type="paragraph" w:customStyle="1" w:styleId="enf">
    <w:name w:val="法令番号（en）"/>
    <w:basedOn w:val="jaf"/>
    <w:rsid w:val="000C1A58"/>
    <w:rPr>
      <w:rFonts w:ascii="Century" w:eastAsia="Century" w:hAnsi="Century" w:cs="Century"/>
    </w:rPr>
  </w:style>
  <w:style w:type="paragraph" w:customStyle="1" w:styleId="jaf0">
    <w:name w:val="目次（ja）"/>
    <w:basedOn w:val="a"/>
    <w:rsid w:val="000C1A58"/>
    <w:rPr>
      <w:rFonts w:ascii="ＭＳ 明朝" w:eastAsia="ＭＳ 明朝" w:hAnsi="ＭＳ 明朝"/>
    </w:rPr>
  </w:style>
  <w:style w:type="paragraph" w:customStyle="1" w:styleId="enf0">
    <w:name w:val="目次（en）"/>
    <w:basedOn w:val="jaf0"/>
    <w:rsid w:val="000C1A58"/>
    <w:rPr>
      <w:rFonts w:ascii="Century" w:eastAsia="Century" w:hAnsi="Century"/>
    </w:rPr>
  </w:style>
  <w:style w:type="paragraph" w:customStyle="1" w:styleId="jaf1">
    <w:name w:val="編（ja）"/>
    <w:basedOn w:val="a"/>
    <w:rsid w:val="000C1A58"/>
    <w:pPr>
      <w:widowControl w:val="0"/>
      <w:ind w:left="661" w:hanging="221"/>
    </w:pPr>
    <w:rPr>
      <w:rFonts w:ascii="ＭＳ 明朝" w:eastAsia="ＭＳ 明朝" w:hAnsi="ＭＳ 明朝" w:cs="ＭＳ 明朝"/>
      <w:b/>
    </w:rPr>
  </w:style>
  <w:style w:type="paragraph" w:customStyle="1" w:styleId="enf1">
    <w:name w:val="編（en）"/>
    <w:basedOn w:val="jaf1"/>
    <w:rsid w:val="000C1A58"/>
    <w:rPr>
      <w:rFonts w:ascii="Century" w:eastAsia="Century" w:hAnsi="Century" w:cs="Century"/>
    </w:rPr>
  </w:style>
  <w:style w:type="paragraph" w:customStyle="1" w:styleId="jaf2">
    <w:name w:val="節（ja）"/>
    <w:basedOn w:val="a"/>
    <w:rsid w:val="000C1A58"/>
    <w:pPr>
      <w:widowControl w:val="0"/>
      <w:ind w:left="1101" w:hanging="221"/>
    </w:pPr>
    <w:rPr>
      <w:rFonts w:ascii="ＭＳ 明朝" w:eastAsia="ＭＳ 明朝" w:hAnsi="ＭＳ 明朝" w:cs="ＭＳ 明朝"/>
      <w:b/>
    </w:rPr>
  </w:style>
  <w:style w:type="paragraph" w:customStyle="1" w:styleId="enf2">
    <w:name w:val="節（en）"/>
    <w:basedOn w:val="jaf2"/>
    <w:rsid w:val="000C1A58"/>
    <w:rPr>
      <w:rFonts w:ascii="Century" w:eastAsia="Century" w:hAnsi="Century" w:cs="Century"/>
    </w:rPr>
  </w:style>
  <w:style w:type="paragraph" w:customStyle="1" w:styleId="jaf3">
    <w:name w:val="条（ja）"/>
    <w:basedOn w:val="a"/>
    <w:rsid w:val="000C1A58"/>
    <w:pPr>
      <w:widowControl w:val="0"/>
      <w:ind w:left="219" w:hanging="219"/>
    </w:pPr>
    <w:rPr>
      <w:rFonts w:ascii="ＭＳ 明朝" w:eastAsia="ＭＳ 明朝" w:hAnsi="ＭＳ 明朝" w:cs="ＭＳ 明朝"/>
    </w:rPr>
  </w:style>
  <w:style w:type="paragraph" w:customStyle="1" w:styleId="enf3">
    <w:name w:val="条（en）"/>
    <w:basedOn w:val="jaf3"/>
    <w:rsid w:val="000C1A58"/>
    <w:rPr>
      <w:rFonts w:ascii="Century" w:eastAsia="Century" w:hAnsi="Century" w:cs="Century"/>
    </w:rPr>
  </w:style>
  <w:style w:type="paragraph" w:customStyle="1" w:styleId="jaf4">
    <w:name w:val="項（ja）"/>
    <w:basedOn w:val="a"/>
    <w:rsid w:val="000C1A58"/>
    <w:pPr>
      <w:widowControl w:val="0"/>
      <w:ind w:left="219" w:hanging="219"/>
    </w:pPr>
    <w:rPr>
      <w:rFonts w:ascii="ＭＳ 明朝" w:eastAsia="ＭＳ 明朝" w:hAnsi="ＭＳ 明朝" w:cs="ＭＳ 明朝"/>
    </w:rPr>
  </w:style>
  <w:style w:type="paragraph" w:customStyle="1" w:styleId="enf4">
    <w:name w:val="項（en）"/>
    <w:basedOn w:val="jaf4"/>
    <w:rsid w:val="000C1A58"/>
    <w:rPr>
      <w:rFonts w:ascii="Century" w:eastAsia="Century" w:hAnsi="Century" w:cs="Century"/>
    </w:rPr>
  </w:style>
  <w:style w:type="paragraph" w:customStyle="1" w:styleId="jaf5">
    <w:name w:val="項　番号なし（ja）"/>
    <w:basedOn w:val="a"/>
    <w:rsid w:val="000C1A58"/>
    <w:pPr>
      <w:widowControl w:val="0"/>
      <w:ind w:firstLine="221"/>
    </w:pPr>
    <w:rPr>
      <w:rFonts w:ascii="ＭＳ 明朝" w:eastAsia="ＭＳ 明朝" w:hAnsi="ＭＳ 明朝" w:cs="ＭＳ 明朝"/>
    </w:rPr>
  </w:style>
  <w:style w:type="paragraph" w:customStyle="1" w:styleId="enf5">
    <w:name w:val="項　番号なし（en）"/>
    <w:basedOn w:val="jaf5"/>
    <w:rsid w:val="000C1A58"/>
    <w:rPr>
      <w:rFonts w:ascii="Century" w:eastAsia="Century" w:hAnsi="Century" w:cs="Century"/>
    </w:rPr>
  </w:style>
  <w:style w:type="paragraph" w:customStyle="1" w:styleId="jaf6">
    <w:name w:val="号（ja）"/>
    <w:basedOn w:val="a"/>
    <w:rsid w:val="000C1A58"/>
    <w:pPr>
      <w:widowControl w:val="0"/>
      <w:ind w:left="439" w:hanging="219"/>
    </w:pPr>
    <w:rPr>
      <w:rFonts w:ascii="ＭＳ 明朝" w:eastAsia="ＭＳ 明朝" w:hAnsi="ＭＳ 明朝" w:cs="ＭＳ 明朝"/>
    </w:rPr>
  </w:style>
  <w:style w:type="paragraph" w:customStyle="1" w:styleId="enf6">
    <w:name w:val="号（en）"/>
    <w:basedOn w:val="jaf6"/>
    <w:rsid w:val="000C1A58"/>
    <w:rPr>
      <w:rFonts w:ascii="Century" w:eastAsia="Century" w:hAnsi="Century" w:cs="Century"/>
    </w:rPr>
  </w:style>
  <w:style w:type="paragraph" w:customStyle="1" w:styleId="jaf7">
    <w:name w:val="号　番号なし（ja）"/>
    <w:basedOn w:val="a"/>
    <w:rsid w:val="000C1A58"/>
    <w:pPr>
      <w:widowControl w:val="0"/>
      <w:ind w:left="221" w:firstLine="221"/>
    </w:pPr>
    <w:rPr>
      <w:rFonts w:ascii="ＭＳ 明朝" w:eastAsia="ＭＳ 明朝" w:hAnsi="ＭＳ 明朝" w:cs="ＭＳ 明朝"/>
    </w:rPr>
  </w:style>
  <w:style w:type="paragraph" w:customStyle="1" w:styleId="enf7">
    <w:name w:val="号　番号なし（en）"/>
    <w:basedOn w:val="jaf7"/>
    <w:rsid w:val="000C1A58"/>
    <w:rPr>
      <w:rFonts w:ascii="Century" w:eastAsia="Century" w:hAnsi="Century" w:cs="Century"/>
    </w:rPr>
  </w:style>
  <w:style w:type="paragraph" w:customStyle="1" w:styleId="jaf8">
    <w:name w:val="備考号（ja）"/>
    <w:basedOn w:val="a"/>
    <w:rsid w:val="000C1A58"/>
    <w:pPr>
      <w:widowControl w:val="0"/>
      <w:ind w:left="659" w:hanging="219"/>
    </w:pPr>
    <w:rPr>
      <w:rFonts w:ascii="ＭＳ 明朝" w:eastAsia="ＭＳ 明朝" w:hAnsi="ＭＳ 明朝" w:cs="ＭＳ 明朝"/>
    </w:rPr>
  </w:style>
  <w:style w:type="paragraph" w:customStyle="1" w:styleId="enf8">
    <w:name w:val="備考号（en）"/>
    <w:basedOn w:val="jaf8"/>
    <w:rsid w:val="000C1A58"/>
    <w:rPr>
      <w:rFonts w:ascii="Century" w:eastAsia="Century" w:hAnsi="Century" w:cs="Century"/>
    </w:rPr>
  </w:style>
  <w:style w:type="paragraph" w:customStyle="1" w:styleId="jaf9">
    <w:name w:val="号細分（ja）"/>
    <w:basedOn w:val="a"/>
    <w:rsid w:val="000C1A58"/>
    <w:pPr>
      <w:widowControl w:val="0"/>
      <w:ind w:left="659" w:hanging="219"/>
    </w:pPr>
    <w:rPr>
      <w:rFonts w:ascii="ＭＳ 明朝" w:eastAsia="ＭＳ 明朝" w:hAnsi="ＭＳ 明朝" w:cs="ＭＳ 明朝"/>
    </w:rPr>
  </w:style>
  <w:style w:type="paragraph" w:customStyle="1" w:styleId="enf9">
    <w:name w:val="号細分（en）"/>
    <w:basedOn w:val="jaf9"/>
    <w:rsid w:val="000C1A58"/>
    <w:rPr>
      <w:rFonts w:ascii="Century" w:eastAsia="Century" w:hAnsi="Century" w:cs="Century"/>
    </w:rPr>
  </w:style>
  <w:style w:type="paragraph" w:customStyle="1" w:styleId="jafa">
    <w:name w:val="号細分　番号なし（ja）"/>
    <w:basedOn w:val="a"/>
    <w:rsid w:val="000C1A58"/>
    <w:pPr>
      <w:widowControl w:val="0"/>
      <w:ind w:left="439"/>
    </w:pPr>
    <w:rPr>
      <w:rFonts w:ascii="ＭＳ 明朝" w:eastAsia="ＭＳ 明朝" w:hAnsi="ＭＳ 明朝" w:cs="ＭＳ 明朝"/>
    </w:rPr>
  </w:style>
  <w:style w:type="paragraph" w:customStyle="1" w:styleId="enfa">
    <w:name w:val="号細分　番号なし（en）"/>
    <w:basedOn w:val="jafa"/>
    <w:rsid w:val="000C1A58"/>
    <w:rPr>
      <w:rFonts w:ascii="Century" w:eastAsia="Century" w:hAnsi="Century" w:cs="Century"/>
    </w:rPr>
  </w:style>
  <w:style w:type="paragraph" w:customStyle="1" w:styleId="jafb">
    <w:name w:val="備考号細分（ja）"/>
    <w:basedOn w:val="a"/>
    <w:rsid w:val="000C1A58"/>
    <w:pPr>
      <w:widowControl w:val="0"/>
      <w:ind w:left="1099" w:hanging="439"/>
    </w:pPr>
    <w:rPr>
      <w:rFonts w:ascii="ＭＳ 明朝" w:eastAsia="ＭＳ 明朝" w:hAnsi="ＭＳ 明朝" w:cs="ＭＳ 明朝"/>
    </w:rPr>
  </w:style>
  <w:style w:type="paragraph" w:customStyle="1" w:styleId="enfb">
    <w:name w:val="備考号細分（en）"/>
    <w:basedOn w:val="jafb"/>
    <w:rsid w:val="000C1A58"/>
    <w:rPr>
      <w:rFonts w:ascii="Century" w:eastAsia="Century" w:hAnsi="Century" w:cs="Century"/>
    </w:rPr>
  </w:style>
  <w:style w:type="paragraph" w:customStyle="1" w:styleId="jafc">
    <w:name w:val="号細細分（ja）"/>
    <w:basedOn w:val="a"/>
    <w:rsid w:val="000C1A58"/>
    <w:pPr>
      <w:widowControl w:val="0"/>
      <w:ind w:left="1099" w:hanging="439"/>
    </w:pPr>
    <w:rPr>
      <w:rFonts w:ascii="ＭＳ 明朝" w:eastAsia="ＭＳ 明朝" w:hAnsi="ＭＳ 明朝" w:cs="ＭＳ 明朝"/>
    </w:rPr>
  </w:style>
  <w:style w:type="paragraph" w:customStyle="1" w:styleId="enfc">
    <w:name w:val="号細細分（en）"/>
    <w:basedOn w:val="jafc"/>
    <w:rsid w:val="000C1A58"/>
    <w:rPr>
      <w:rFonts w:ascii="Century" w:eastAsia="Century" w:hAnsi="Century" w:cs="Century"/>
    </w:rPr>
  </w:style>
  <w:style w:type="paragraph" w:customStyle="1" w:styleId="jafd">
    <w:name w:val="号細細分　番号なし（ja）"/>
    <w:basedOn w:val="a"/>
    <w:rsid w:val="000C1A58"/>
    <w:pPr>
      <w:widowControl w:val="0"/>
      <w:ind w:left="659"/>
    </w:pPr>
    <w:rPr>
      <w:rFonts w:ascii="ＭＳ 明朝" w:eastAsia="ＭＳ 明朝" w:hAnsi="ＭＳ 明朝" w:cs="ＭＳ 明朝"/>
    </w:rPr>
  </w:style>
  <w:style w:type="paragraph" w:customStyle="1" w:styleId="enfd">
    <w:name w:val="号細細分　番号なし（en）"/>
    <w:basedOn w:val="jafd"/>
    <w:rsid w:val="000C1A58"/>
    <w:rPr>
      <w:rFonts w:ascii="Century" w:eastAsia="Century" w:hAnsi="Century" w:cs="Century"/>
    </w:rPr>
  </w:style>
  <w:style w:type="paragraph" w:customStyle="1" w:styleId="jafe">
    <w:name w:val="備考号細細分（ja）"/>
    <w:basedOn w:val="a"/>
    <w:rsid w:val="000C1A58"/>
    <w:pPr>
      <w:widowControl w:val="0"/>
      <w:ind w:left="1319" w:hanging="439"/>
    </w:pPr>
    <w:rPr>
      <w:rFonts w:ascii="ＭＳ 明朝" w:eastAsia="ＭＳ 明朝" w:hAnsi="ＭＳ 明朝" w:cs="ＭＳ 明朝"/>
    </w:rPr>
  </w:style>
  <w:style w:type="paragraph" w:customStyle="1" w:styleId="enfe">
    <w:name w:val="備考号細細分（en）"/>
    <w:basedOn w:val="jafe"/>
    <w:rsid w:val="000C1A58"/>
    <w:rPr>
      <w:rFonts w:ascii="Century" w:eastAsia="Century" w:hAnsi="Century" w:cs="Century"/>
    </w:rPr>
  </w:style>
  <w:style w:type="paragraph" w:customStyle="1" w:styleId="jaff">
    <w:name w:val="号細細細分（ja）"/>
    <w:basedOn w:val="a"/>
    <w:rsid w:val="000C1A58"/>
    <w:pPr>
      <w:widowControl w:val="0"/>
      <w:ind w:left="1319" w:hanging="439"/>
    </w:pPr>
    <w:rPr>
      <w:rFonts w:ascii="ＭＳ 明朝" w:eastAsia="ＭＳ 明朝" w:hAnsi="ＭＳ 明朝" w:cs="ＭＳ 明朝"/>
    </w:rPr>
  </w:style>
  <w:style w:type="paragraph" w:customStyle="1" w:styleId="enff">
    <w:name w:val="号細細細分（en）"/>
    <w:basedOn w:val="jaff"/>
    <w:rsid w:val="000C1A58"/>
    <w:rPr>
      <w:rFonts w:ascii="Century" w:eastAsia="Century" w:hAnsi="Century" w:cs="Century"/>
    </w:rPr>
  </w:style>
  <w:style w:type="paragraph" w:customStyle="1" w:styleId="jaff0">
    <w:name w:val="号細細細分　番号なし（ja）"/>
    <w:basedOn w:val="a"/>
    <w:rsid w:val="000C1A58"/>
    <w:pPr>
      <w:widowControl w:val="0"/>
      <w:ind w:left="879"/>
    </w:pPr>
    <w:rPr>
      <w:rFonts w:ascii="ＭＳ 明朝" w:eastAsia="ＭＳ 明朝" w:hAnsi="ＭＳ 明朝" w:cs="ＭＳ 明朝"/>
    </w:rPr>
  </w:style>
  <w:style w:type="paragraph" w:customStyle="1" w:styleId="enff0">
    <w:name w:val="号細細細分　番号なし（en）"/>
    <w:basedOn w:val="jaff0"/>
    <w:rsid w:val="000C1A58"/>
    <w:rPr>
      <w:rFonts w:ascii="Century" w:eastAsia="Century" w:hAnsi="Century" w:cs="Century"/>
    </w:rPr>
  </w:style>
  <w:style w:type="paragraph" w:customStyle="1" w:styleId="jaff1">
    <w:name w:val="備考号細細細分（ja）"/>
    <w:basedOn w:val="a"/>
    <w:rsid w:val="000C1A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1A58"/>
    <w:rPr>
      <w:rFonts w:ascii="Century" w:eastAsia="Century" w:hAnsi="Century" w:cs="Century"/>
    </w:rPr>
  </w:style>
  <w:style w:type="paragraph" w:customStyle="1" w:styleId="jaff2">
    <w:name w:val="類（ja）"/>
    <w:basedOn w:val="a"/>
    <w:rsid w:val="000C1A58"/>
    <w:pPr>
      <w:widowControl w:val="0"/>
      <w:ind w:left="439" w:hanging="219"/>
    </w:pPr>
    <w:rPr>
      <w:rFonts w:ascii="ＭＳ 明朝" w:eastAsia="ＭＳ 明朝" w:hAnsi="ＭＳ 明朝" w:cs="ＭＳ 明朝"/>
    </w:rPr>
  </w:style>
  <w:style w:type="paragraph" w:customStyle="1" w:styleId="enff2">
    <w:name w:val="類（en）"/>
    <w:basedOn w:val="jaff2"/>
    <w:rsid w:val="000C1A58"/>
    <w:rPr>
      <w:rFonts w:ascii="Century" w:eastAsia="Century" w:hAnsi="Century" w:cs="Century"/>
    </w:rPr>
  </w:style>
  <w:style w:type="paragraph" w:customStyle="1" w:styleId="jaff3">
    <w:name w:val="公布文（ja）"/>
    <w:basedOn w:val="a"/>
    <w:rsid w:val="000C1A58"/>
    <w:pPr>
      <w:widowControl w:val="0"/>
      <w:ind w:firstLine="219"/>
    </w:pPr>
    <w:rPr>
      <w:rFonts w:ascii="ＭＳ 明朝" w:eastAsia="ＭＳ 明朝" w:hAnsi="ＭＳ 明朝" w:cs="ＭＳ 明朝"/>
    </w:rPr>
  </w:style>
  <w:style w:type="paragraph" w:customStyle="1" w:styleId="enff3">
    <w:name w:val="公布文（en）"/>
    <w:basedOn w:val="jaff3"/>
    <w:rsid w:val="000C1A58"/>
    <w:rPr>
      <w:rFonts w:ascii="Century" w:eastAsia="Century" w:hAnsi="Century" w:cs="Century"/>
    </w:rPr>
  </w:style>
  <w:style w:type="paragraph" w:customStyle="1" w:styleId="jaen">
    <w:name w:val="表（ja：en）"/>
    <w:basedOn w:val="a"/>
    <w:rsid w:val="000C1A58"/>
    <w:pPr>
      <w:widowControl w:val="0"/>
      <w:snapToGrid w:val="0"/>
    </w:pPr>
    <w:rPr>
      <w:rFonts w:ascii="Century" w:eastAsia="ＭＳ 明朝" w:hAnsi="Century"/>
    </w:rPr>
  </w:style>
  <w:style w:type="paragraph" w:customStyle="1" w:styleId="jaff4">
    <w:name w:val="備考（ja）"/>
    <w:basedOn w:val="a"/>
    <w:rsid w:val="000C1A58"/>
    <w:pPr>
      <w:widowControl w:val="0"/>
      <w:ind w:left="439" w:hanging="219"/>
    </w:pPr>
    <w:rPr>
      <w:rFonts w:ascii="ＭＳ 明朝" w:eastAsia="ＭＳ 明朝" w:hAnsi="ＭＳ 明朝" w:cs="ＭＳ 明朝"/>
    </w:rPr>
  </w:style>
  <w:style w:type="paragraph" w:customStyle="1" w:styleId="enff4">
    <w:name w:val="備考（en）"/>
    <w:basedOn w:val="jaff4"/>
    <w:rsid w:val="000C1A58"/>
    <w:rPr>
      <w:rFonts w:ascii="Century" w:eastAsia="Century" w:hAnsi="Century" w:cs="Century"/>
    </w:rPr>
  </w:style>
  <w:style w:type="paragraph" w:customStyle="1" w:styleId="jaff5">
    <w:name w:val="表タイトル（ja）"/>
    <w:basedOn w:val="a"/>
    <w:rsid w:val="000C1A58"/>
    <w:pPr>
      <w:widowControl w:val="0"/>
      <w:ind w:left="219"/>
    </w:pPr>
    <w:rPr>
      <w:rFonts w:ascii="ＭＳ 明朝" w:eastAsia="ＭＳ 明朝" w:hAnsi="ＭＳ 明朝" w:cs="ＭＳ 明朝"/>
    </w:rPr>
  </w:style>
  <w:style w:type="paragraph" w:customStyle="1" w:styleId="enff5">
    <w:name w:val="表タイトル（en）"/>
    <w:basedOn w:val="jaff5"/>
    <w:rsid w:val="000C1A58"/>
    <w:rPr>
      <w:rFonts w:ascii="Century" w:eastAsia="Century" w:hAnsi="Century" w:cs="Century"/>
    </w:rPr>
  </w:style>
  <w:style w:type="paragraph" w:customStyle="1" w:styleId="jaff6">
    <w:name w:val="改正規定文（ja）"/>
    <w:basedOn w:val="a"/>
    <w:rsid w:val="000C1A58"/>
    <w:pPr>
      <w:widowControl w:val="0"/>
      <w:ind w:left="219" w:firstLine="219"/>
    </w:pPr>
    <w:rPr>
      <w:rFonts w:ascii="ＭＳ 明朝" w:eastAsia="ＭＳ 明朝" w:hAnsi="ＭＳ 明朝" w:cs="ＭＳ 明朝"/>
    </w:rPr>
  </w:style>
  <w:style w:type="paragraph" w:customStyle="1" w:styleId="enff6">
    <w:name w:val="改正規定文（en）"/>
    <w:basedOn w:val="jaff6"/>
    <w:rsid w:val="000C1A58"/>
    <w:rPr>
      <w:rFonts w:ascii="Century" w:eastAsia="Century" w:hAnsi="Century" w:cs="Century"/>
    </w:rPr>
  </w:style>
  <w:style w:type="paragraph" w:customStyle="1" w:styleId="jaff7">
    <w:name w:val="付記（ja）"/>
    <w:basedOn w:val="a"/>
    <w:rsid w:val="000C1A58"/>
    <w:pPr>
      <w:widowControl w:val="0"/>
      <w:ind w:left="219" w:firstLine="219"/>
    </w:pPr>
    <w:rPr>
      <w:rFonts w:ascii="ＭＳ 明朝" w:eastAsia="ＭＳ 明朝" w:hAnsi="ＭＳ 明朝" w:cs="ＭＳ 明朝"/>
    </w:rPr>
  </w:style>
  <w:style w:type="paragraph" w:customStyle="1" w:styleId="enff7">
    <w:name w:val="付記（en）"/>
    <w:basedOn w:val="jaff7"/>
    <w:rsid w:val="000C1A58"/>
    <w:rPr>
      <w:rFonts w:ascii="Century" w:eastAsia="Century" w:hAnsi="Century" w:cs="Century"/>
    </w:rPr>
  </w:style>
  <w:style w:type="paragraph" w:customStyle="1" w:styleId="jaff8">
    <w:name w:val="様式名（ja）"/>
    <w:basedOn w:val="a"/>
    <w:rsid w:val="000C1A58"/>
    <w:pPr>
      <w:widowControl w:val="0"/>
      <w:ind w:left="439" w:hanging="219"/>
    </w:pPr>
    <w:rPr>
      <w:rFonts w:ascii="ＭＳ 明朝" w:eastAsia="ＭＳ 明朝" w:hAnsi="ＭＳ 明朝" w:cs="ＭＳ 明朝"/>
    </w:rPr>
  </w:style>
  <w:style w:type="paragraph" w:customStyle="1" w:styleId="enff8">
    <w:name w:val="様式名（en）"/>
    <w:basedOn w:val="jaff8"/>
    <w:rsid w:val="000C1A58"/>
    <w:rPr>
      <w:rFonts w:ascii="Century" w:eastAsia="Century" w:hAnsi="Century" w:cs="Century"/>
    </w:rPr>
  </w:style>
  <w:style w:type="paragraph" w:customStyle="1" w:styleId="jaff9">
    <w:name w:val="様式項目（ja）"/>
    <w:basedOn w:val="a"/>
    <w:rsid w:val="000C1A58"/>
    <w:pPr>
      <w:widowControl w:val="0"/>
      <w:ind w:left="221" w:firstLine="221"/>
    </w:pPr>
    <w:rPr>
      <w:rFonts w:ascii="ＭＳ 明朝" w:eastAsia="ＭＳ 明朝" w:hAnsi="ＭＳ 明朝" w:cs="ＭＳ 明朝"/>
    </w:rPr>
  </w:style>
  <w:style w:type="paragraph" w:customStyle="1" w:styleId="enff9">
    <w:name w:val="様式項目（en）"/>
    <w:basedOn w:val="jaff9"/>
    <w:rsid w:val="000C1A58"/>
    <w:rPr>
      <w:rFonts w:ascii="Century" w:eastAsia="Century" w:hAnsi="Century" w:cs="Century"/>
    </w:rPr>
  </w:style>
  <w:style w:type="table" w:customStyle="1" w:styleId="1">
    <w:name w:val="表1"/>
    <w:rsid w:val="000C1A58"/>
    <w:tblPr>
      <w:tblInd w:w="340" w:type="dxa"/>
      <w:tblCellMar>
        <w:top w:w="0" w:type="dxa"/>
        <w:left w:w="0" w:type="dxa"/>
        <w:bottom w:w="0" w:type="dxa"/>
        <w:right w:w="0" w:type="dxa"/>
      </w:tblCellMar>
    </w:tblPr>
  </w:style>
  <w:style w:type="numbering" w:customStyle="1" w:styleId="WW8Num1">
    <w:name w:val="WW8Num1"/>
    <w:rsid w:val="000C1A58"/>
    <w:pPr>
      <w:numPr>
        <w:numId w:val="2"/>
      </w:numPr>
    </w:pPr>
  </w:style>
  <w:style w:type="numbering" w:customStyle="1" w:styleId="WW8Num2">
    <w:name w:val="WW8Num2"/>
    <w:rsid w:val="000C1A58"/>
    <w:pPr>
      <w:numPr>
        <w:numId w:val="3"/>
      </w:numPr>
    </w:pPr>
  </w:style>
  <w:style w:type="numbering" w:customStyle="1" w:styleId="WW8Num3">
    <w:name w:val="WW8Num3"/>
    <w:rsid w:val="000C1A58"/>
    <w:pPr>
      <w:numPr>
        <w:numId w:val="4"/>
      </w:numPr>
    </w:pPr>
  </w:style>
  <w:style w:type="numbering" w:customStyle="1" w:styleId="WW8Num4">
    <w:name w:val="WW8Num4"/>
    <w:rsid w:val="000C1A58"/>
    <w:pPr>
      <w:numPr>
        <w:numId w:val="5"/>
      </w:numPr>
    </w:pPr>
  </w:style>
  <w:style w:type="numbering" w:customStyle="1" w:styleId="WW8Num5">
    <w:name w:val="WW8Num5"/>
    <w:rsid w:val="000C1A58"/>
    <w:pPr>
      <w:numPr>
        <w:numId w:val="6"/>
      </w:numPr>
    </w:pPr>
  </w:style>
  <w:style w:type="numbering" w:customStyle="1" w:styleId="WW8Num6">
    <w:name w:val="WW8Num6"/>
    <w:rsid w:val="000C1A58"/>
    <w:pPr>
      <w:numPr>
        <w:numId w:val="7"/>
      </w:numPr>
    </w:pPr>
  </w:style>
  <w:style w:type="numbering" w:customStyle="1" w:styleId="WW8Num7">
    <w:name w:val="WW8Num7"/>
    <w:rsid w:val="000C1A58"/>
    <w:pPr>
      <w:numPr>
        <w:numId w:val="8"/>
      </w:numPr>
    </w:pPr>
  </w:style>
  <w:style w:type="numbering" w:customStyle="1" w:styleId="WW8Num8">
    <w:name w:val="WW8Num8"/>
    <w:rsid w:val="000C1A58"/>
    <w:pPr>
      <w:numPr>
        <w:numId w:val="9"/>
      </w:numPr>
    </w:pPr>
  </w:style>
  <w:style w:type="numbering" w:customStyle="1" w:styleId="WW8Num9">
    <w:name w:val="WW8Num9"/>
    <w:rsid w:val="000C1A58"/>
    <w:pPr>
      <w:numPr>
        <w:numId w:val="10"/>
      </w:numPr>
    </w:pPr>
  </w:style>
  <w:style w:type="numbering" w:customStyle="1" w:styleId="WW8Num10">
    <w:name w:val="WW8Num10"/>
    <w:rsid w:val="000C1A58"/>
    <w:pPr>
      <w:numPr>
        <w:numId w:val="11"/>
      </w:numPr>
    </w:pPr>
  </w:style>
  <w:style w:type="numbering" w:customStyle="1" w:styleId="WW8Num11">
    <w:name w:val="WW8Num11"/>
    <w:rsid w:val="000C1A58"/>
    <w:pPr>
      <w:numPr>
        <w:numId w:val="12"/>
      </w:numPr>
    </w:pPr>
  </w:style>
  <w:style w:type="numbering" w:customStyle="1" w:styleId="WW8Num12">
    <w:name w:val="WW8Num12"/>
    <w:rsid w:val="000C1A58"/>
    <w:pPr>
      <w:numPr>
        <w:numId w:val="13"/>
      </w:numPr>
    </w:pPr>
  </w:style>
  <w:style w:type="paragraph" w:styleId="a4">
    <w:name w:val="header"/>
    <w:basedOn w:val="a"/>
    <w:link w:val="a5"/>
    <w:uiPriority w:val="99"/>
    <w:unhideWhenUsed/>
    <w:rsid w:val="008B1116"/>
    <w:pPr>
      <w:tabs>
        <w:tab w:val="center" w:pos="4252"/>
        <w:tab w:val="right" w:pos="8504"/>
      </w:tabs>
      <w:snapToGrid w:val="0"/>
    </w:pPr>
  </w:style>
  <w:style w:type="character" w:customStyle="1" w:styleId="a5">
    <w:name w:val="ヘッダー (文字)"/>
    <w:basedOn w:val="a0"/>
    <w:link w:val="a4"/>
    <w:uiPriority w:val="99"/>
    <w:rsid w:val="008B11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2023-03-23T01:52:00Z</dcterms:created>
  <dcterms:modified xsi:type="dcterms:W3CDTF">2023-03-23T01:52:00Z</dcterms:modified>
</cp:coreProperties>
</file>