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32C7" w:rsidRDefault="00493DC9">
      <w:pPr>
        <w:pStyle w:val="en"/>
      </w:pPr>
      <w:r>
        <w:t>Regulation for Enforcement of the Act on Launching of Spacecraft, etc. and Control of Spacecraft (Tentative translation)</w:t>
      </w:r>
    </w:p>
    <w:p w:rsidR="00E332C7" w:rsidRDefault="00E332C7"/>
    <w:p w:rsidR="00E332C7" w:rsidRDefault="00493DC9">
      <w:pPr>
        <w:pStyle w:val="enf"/>
      </w:pPr>
      <w:r>
        <w:t>(Cabinet Office Order No. 50 of November 15, 2017)</w:t>
      </w:r>
    </w:p>
    <w:p w:rsidR="00E332C7" w:rsidRDefault="00E332C7"/>
    <w:p w:rsidR="00E332C7" w:rsidRDefault="00493DC9">
      <w:pPr>
        <w:pStyle w:val="ene"/>
      </w:pPr>
      <w:r>
        <w:t xml:space="preserve">Pursuant to the provisions of the Act on Launching of Spacecraft, etc. and </w:t>
      </w:r>
      <w:r>
        <w:t>Control of Spacecraft (Act No. 76 of 2016) and the Order for Enforcement of the Act on Launching of Spacecraft, etc. and Control of Spacecraft (Cabinet Order No. 280 of 2017), and for the purpose of the enforcement of the Act, the Regulation for Enforcemen</w:t>
      </w:r>
      <w:r>
        <w:t>t of the Act on Launching of Spacecraft, etc. and Control of Spacecraft is provided as follows:</w:t>
      </w:r>
    </w:p>
    <w:p w:rsidR="00E332C7" w:rsidRDefault="00E332C7"/>
    <w:p w:rsidR="00E332C7" w:rsidRDefault="00493DC9">
      <w:pPr>
        <w:pStyle w:val="ena"/>
      </w:pPr>
      <w:r>
        <w:t>(Definitions)</w:t>
      </w:r>
    </w:p>
    <w:p w:rsidR="00E332C7" w:rsidRDefault="00493DC9">
      <w:pPr>
        <w:pStyle w:val="enf3"/>
      </w:pPr>
      <w:r>
        <w:t>Article 1  The terms used in this Cabinet Office Order are governed by the definitions in the Act on Launching of Spacecraft, etc. and Control of</w:t>
      </w:r>
      <w:r>
        <w:t xml:space="preserve"> Spacecraft (hereinafter referred to as the "Act").</w:t>
      </w:r>
    </w:p>
    <w:p w:rsidR="00E332C7" w:rsidRDefault="00E332C7"/>
    <w:p w:rsidR="00E332C7" w:rsidRDefault="00493DC9">
      <w:pPr>
        <w:pStyle w:val="ena"/>
      </w:pPr>
      <w:r>
        <w:t>(Persons in a Close Business Relationship with a Person Implementing Launching of Spacecraft, etc.)</w:t>
      </w:r>
    </w:p>
    <w:p w:rsidR="00E332C7" w:rsidRDefault="00493DC9">
      <w:pPr>
        <w:pStyle w:val="enf3"/>
      </w:pPr>
      <w:r>
        <w:t>Article 2  Persons specified by Cabinet Office Order, as referred to in Article 2, item (viii) of the A</w:t>
      </w:r>
      <w:r>
        <w:t>ct, are as follows:</w:t>
      </w:r>
    </w:p>
    <w:p w:rsidR="00E332C7" w:rsidRDefault="00493DC9">
      <w:pPr>
        <w:pStyle w:val="enf6"/>
      </w:pPr>
      <w:r>
        <w:t>(i) workers of a person implementing the launching of the spacecraft, etc.; and</w:t>
      </w:r>
    </w:p>
    <w:p w:rsidR="00E332C7" w:rsidRDefault="00493DC9">
      <w:pPr>
        <w:pStyle w:val="enf6"/>
      </w:pPr>
      <w:r>
        <w:t>(ii) persons who supplied materials or other goods or services for the use of launching of the spacecraft, etc. and those persons' workers.</w:t>
      </w:r>
    </w:p>
    <w:p w:rsidR="00E332C7" w:rsidRDefault="00E332C7"/>
    <w:p w:rsidR="00E332C7" w:rsidRDefault="00493DC9">
      <w:pPr>
        <w:pStyle w:val="ena"/>
      </w:pPr>
      <w:r>
        <w:t>(Specific Launc</w:t>
      </w:r>
      <w:r>
        <w:t>h Vehicle Fall Damage)</w:t>
      </w:r>
    </w:p>
    <w:p w:rsidR="00E332C7" w:rsidRDefault="00493DC9">
      <w:pPr>
        <w:pStyle w:val="enf3"/>
      </w:pPr>
      <w:r>
        <w:t>Article 3  The events specified by Cabinet Office Order, as referred to in Article 2, item (ix) of the Act, are as follows:</w:t>
      </w:r>
    </w:p>
    <w:p w:rsidR="00E332C7" w:rsidRDefault="00493DC9">
      <w:pPr>
        <w:pStyle w:val="enf6"/>
      </w:pPr>
      <w:r>
        <w:t>(i) a significant disturbance of social order caused by a war, riot, etc.; and</w:t>
      </w:r>
    </w:p>
    <w:p w:rsidR="00E332C7" w:rsidRDefault="00493DC9">
      <w:pPr>
        <w:pStyle w:val="enf6"/>
      </w:pPr>
      <w:r>
        <w:t>(ii) in addition to the events</w:t>
      </w:r>
      <w:r>
        <w:t xml:space="preserve"> set forth in the preceding item, an event for which the insurer does not pay the insurance proceeds under a launch vehicle fall damage liability insurance contract relating to the security measures for compensation for damages approved by the Prime Minist</w:t>
      </w:r>
      <w:r>
        <w:t>er as provided in Article 9, paragraph (2) of the Act, which have been determined appropriate by the Prime Minister.</w:t>
      </w:r>
    </w:p>
    <w:p w:rsidR="00E332C7" w:rsidRDefault="00E332C7"/>
    <w:p w:rsidR="00E332C7" w:rsidRDefault="00493DC9">
      <w:pPr>
        <w:pStyle w:val="ena"/>
      </w:pPr>
      <w:r>
        <w:t>(Persons in a Close Business Relationship with a Person Implementing Control of a Spacecraft)</w:t>
      </w:r>
    </w:p>
    <w:p w:rsidR="00E332C7" w:rsidRDefault="00493DC9">
      <w:pPr>
        <w:pStyle w:val="enf3"/>
      </w:pPr>
      <w:r>
        <w:t>Article 4  Persons specified by Cabinet Offi</w:t>
      </w:r>
      <w:r>
        <w:t xml:space="preserve">ce Order, as referred to in Article 2, </w:t>
      </w:r>
      <w:r>
        <w:lastRenderedPageBreak/>
        <w:t>item (xi) of the Act, are workers of a person implementing the control of the spacecraft.</w:t>
      </w:r>
    </w:p>
    <w:p w:rsidR="00E332C7" w:rsidRDefault="00E332C7"/>
    <w:p w:rsidR="00E332C7" w:rsidRDefault="00493DC9">
      <w:pPr>
        <w:pStyle w:val="ena"/>
      </w:pPr>
      <w:r>
        <w:t>(Application, etc. for Permission Related to Launching of Spacecraft, etc.)</w:t>
      </w:r>
    </w:p>
    <w:p w:rsidR="00E332C7" w:rsidRDefault="00493DC9">
      <w:pPr>
        <w:pStyle w:val="enf3"/>
      </w:pPr>
      <w:r>
        <w:t xml:space="preserve">Article 5  (1) A person who intends to obtain the </w:t>
      </w:r>
      <w:r>
        <w:t>permission under Article 4, paragraph (1) of the Act must submit a written application using Form 1 to the Prime Minister.</w:t>
      </w:r>
    </w:p>
    <w:p w:rsidR="00E332C7" w:rsidRDefault="00493DC9">
      <w:pPr>
        <w:pStyle w:val="enf4"/>
      </w:pPr>
      <w:r>
        <w:t>(2) The following documents must be attached to the written application under the preceding paragraph:</w:t>
      </w:r>
    </w:p>
    <w:p w:rsidR="00E332C7" w:rsidRDefault="00493DC9">
      <w:pPr>
        <w:pStyle w:val="enf6"/>
      </w:pPr>
      <w:r>
        <w:t>(i) in the case of a person wh</w:t>
      </w:r>
      <w:r>
        <w:t>o intends to implement launching of spacecraft, etc. with a launch vehicle without a type certification under Article 13, paragraph (1) of the Act, the following documents:</w:t>
      </w:r>
    </w:p>
    <w:p w:rsidR="00E332C7" w:rsidRDefault="00493DC9">
      <w:pPr>
        <w:pStyle w:val="enf9"/>
      </w:pPr>
      <w:r>
        <w:t>(a) a document certifying that the design of the launch vehicle satisfies the launc</w:t>
      </w:r>
      <w:r>
        <w:t>h vehicle safety standard provided in Article 7;</w:t>
      </w:r>
    </w:p>
    <w:p w:rsidR="00E332C7" w:rsidRDefault="00493DC9">
      <w:pPr>
        <w:pStyle w:val="enf9"/>
      </w:pPr>
      <w:r>
        <w:t>(b) a document describing the flight termination measures or any other methods of ensuring the safety of the vicinity of the trajectory and launch site of the launch vehicle;</w:t>
      </w:r>
    </w:p>
    <w:p w:rsidR="00E332C7" w:rsidRDefault="00493DC9">
      <w:pPr>
        <w:pStyle w:val="enf9"/>
      </w:pPr>
      <w:r>
        <w:t xml:space="preserve">(c) a document </w:t>
      </w:r>
      <w:r>
        <w:t>describing the technical conditions for ensuring the compliance of the launch vehicle and launch site;</w:t>
      </w:r>
    </w:p>
    <w:p w:rsidR="00E332C7" w:rsidRDefault="00493DC9">
      <w:pPr>
        <w:pStyle w:val="enf9"/>
      </w:pPr>
      <w:r>
        <w:t>(d) a document describing the flight records or test results of the launch vehicle;</w:t>
      </w:r>
    </w:p>
    <w:p w:rsidR="00E332C7" w:rsidRDefault="00493DC9">
      <w:pPr>
        <w:pStyle w:val="enf9"/>
      </w:pPr>
      <w:r>
        <w:t>(e) a document describing the results of assessment of reliability of</w:t>
      </w:r>
      <w:r>
        <w:t xml:space="preserve"> the launch vehicle;</w:t>
      </w:r>
    </w:p>
    <w:p w:rsidR="00E332C7" w:rsidRDefault="00493DC9">
      <w:pPr>
        <w:pStyle w:val="enf9"/>
      </w:pPr>
      <w:r>
        <w:t>(f) a document describing the method of verification that the launch vehicle complies with its design;</w:t>
      </w:r>
    </w:p>
    <w:p w:rsidR="00E332C7" w:rsidRDefault="00493DC9">
      <w:pPr>
        <w:pStyle w:val="enf6"/>
      </w:pPr>
      <w:r>
        <w:t>(ii) in the case of a person who intends to implement the launching of spacecraft, etc. using a launch site without a compliance cer</w:t>
      </w:r>
      <w:r>
        <w:t>tification under Article 16, paragraph (1) of the Act, the following documents:</w:t>
      </w:r>
    </w:p>
    <w:p w:rsidR="00E332C7" w:rsidRDefault="00493DC9">
      <w:pPr>
        <w:pStyle w:val="enf9"/>
      </w:pPr>
      <w:r>
        <w:t>(a) a document certifying that the location, design and equipment of the launch site satisfy the type-specific site safety standard provided in Article 8;</w:t>
      </w:r>
    </w:p>
    <w:p w:rsidR="00E332C7" w:rsidRDefault="00493DC9">
      <w:pPr>
        <w:pStyle w:val="enf9"/>
      </w:pPr>
      <w:r>
        <w:t>(b) a document descri</w:t>
      </w:r>
      <w:r>
        <w:t>bing the flight termination measures or any other methods of ensuring the safety of the vicinity of the trajectory and launch site of the launch vehicle;</w:t>
      </w:r>
    </w:p>
    <w:p w:rsidR="00E332C7" w:rsidRDefault="00493DC9">
      <w:pPr>
        <w:pStyle w:val="enf9"/>
      </w:pPr>
      <w:r>
        <w:t>(c) a document describing the technical conditions for ensuring the compliance of the launch vehicle a</w:t>
      </w:r>
      <w:r>
        <w:t>nd launch site, and evidencing the compliance with the conditions; and</w:t>
      </w:r>
    </w:p>
    <w:p w:rsidR="00E332C7" w:rsidRDefault="00493DC9">
      <w:pPr>
        <w:pStyle w:val="enf6"/>
      </w:pPr>
      <w:r>
        <w:t>(iii) any other document which the Prime Minister determines necessary.</w:t>
      </w:r>
    </w:p>
    <w:p w:rsidR="00E332C7" w:rsidRDefault="00493DC9">
      <w:pPr>
        <w:pStyle w:val="enf4"/>
      </w:pPr>
      <w:r>
        <w:t>(3) The matters specified by Cabinet Office Order, as referred to in Article 4, paragraph (2), item (vi) of the A</w:t>
      </w:r>
      <w:r>
        <w:t>ct, are as follows:</w:t>
      </w:r>
    </w:p>
    <w:p w:rsidR="00E332C7" w:rsidRDefault="00493DC9">
      <w:pPr>
        <w:pStyle w:val="enf6"/>
      </w:pPr>
      <w:r>
        <w:t>(i) the type, name and serial number of the launch vehicle;</w:t>
      </w:r>
    </w:p>
    <w:p w:rsidR="00E332C7" w:rsidRDefault="00493DC9">
      <w:pPr>
        <w:pStyle w:val="enf6"/>
      </w:pPr>
      <w:r>
        <w:lastRenderedPageBreak/>
        <w:t>(ii) the names of the spacecraft to be placed on the launch vehicle;</w:t>
      </w:r>
    </w:p>
    <w:p w:rsidR="00E332C7" w:rsidRDefault="00493DC9">
      <w:pPr>
        <w:pStyle w:val="enf6"/>
      </w:pPr>
      <w:r>
        <w:t>(iii) if the applicant is a corporation, the names of the officers;</w:t>
      </w:r>
    </w:p>
    <w:p w:rsidR="00E332C7" w:rsidRDefault="00493DC9">
      <w:pPr>
        <w:pStyle w:val="enf6"/>
      </w:pPr>
      <w:r>
        <w:t>(iv) the names of the employees; and</w:t>
      </w:r>
    </w:p>
    <w:p w:rsidR="00E332C7" w:rsidRDefault="00493DC9">
      <w:pPr>
        <w:pStyle w:val="enf6"/>
      </w:pPr>
      <w:r>
        <w:t>(v</w:t>
      </w:r>
      <w:r>
        <w:t>) a statement that the applicant does not fall under any of the items of Article 5 of the Act.</w:t>
      </w:r>
    </w:p>
    <w:p w:rsidR="00E332C7" w:rsidRDefault="00493DC9">
      <w:pPr>
        <w:pStyle w:val="enf4"/>
      </w:pPr>
      <w:r>
        <w:t>(4) When the Prime Minister grants permission under Article 4, paragraph (1) of the Act, the Prime Minister is to notify the applicant to that effect and issue a</w:t>
      </w:r>
      <w:r>
        <w:t xml:space="preserve"> permission certificate using Form 2.</w:t>
      </w:r>
    </w:p>
    <w:p w:rsidR="00E332C7" w:rsidRDefault="00493DC9">
      <w:pPr>
        <w:pStyle w:val="enf4"/>
      </w:pPr>
      <w:r>
        <w:t>(5) The launch operator may return the permission certificate granted pursuant to the preceding paragraph to the Prime Minister. In this case, the permission ceases to be effective.</w:t>
      </w:r>
    </w:p>
    <w:p w:rsidR="00E332C7" w:rsidRDefault="00E332C7"/>
    <w:p w:rsidR="00E332C7" w:rsidRDefault="00493DC9">
      <w:pPr>
        <w:pStyle w:val="ena"/>
      </w:pPr>
      <w:r>
        <w:t xml:space="preserve">(Persons Incapable of Implementing </w:t>
      </w:r>
      <w:r>
        <w:t>Launching of Spacecraft, etc. in Appropriate Manner Due to Mental or Physical Disorder)</w:t>
      </w:r>
    </w:p>
    <w:p w:rsidR="00E332C7" w:rsidRDefault="00493DC9">
      <w:pPr>
        <w:pStyle w:val="enf3"/>
      </w:pPr>
      <w:r>
        <w:t>Article 5-2  The persons specified by Cabinet Office Order, as referred to in Article 5, item (iii) of the Act, are persons incapable of appropriate recognition, decisi</w:t>
      </w:r>
      <w:r>
        <w:t>on-making and communication necessary for launching spacecraft, etc. in an appropriate way due to mental disorder.</w:t>
      </w:r>
    </w:p>
    <w:p w:rsidR="00E332C7" w:rsidRDefault="00E332C7"/>
    <w:p w:rsidR="00E332C7" w:rsidRDefault="00493DC9">
      <w:pPr>
        <w:pStyle w:val="ena"/>
      </w:pPr>
      <w:r>
        <w:t>(Employees)</w:t>
      </w:r>
    </w:p>
    <w:p w:rsidR="00E332C7" w:rsidRDefault="00493DC9">
      <w:pPr>
        <w:pStyle w:val="enf3"/>
      </w:pPr>
      <w:r>
        <w:t>Article 6  The employees specified by Cabinet Office Order, as referred to in Article 5, items (iv) and (v) of the Act, are empl</w:t>
      </w:r>
      <w:r>
        <w:t>oyees of an applicant having authority and responsibilities for the applicant's business with respect to the launching of spacecraft, etc.</w:t>
      </w:r>
    </w:p>
    <w:p w:rsidR="00E332C7" w:rsidRDefault="00E332C7"/>
    <w:p w:rsidR="00E332C7" w:rsidRDefault="00493DC9">
      <w:pPr>
        <w:pStyle w:val="ena"/>
      </w:pPr>
      <w:r>
        <w:t>(Launch Vehicle Safety Standard)</w:t>
      </w:r>
    </w:p>
    <w:p w:rsidR="00E332C7" w:rsidRDefault="00493DC9">
      <w:pPr>
        <w:pStyle w:val="enf3"/>
      </w:pPr>
      <w:r>
        <w:t>Article 7  The standards specified by Cabinet Office Order, as referred to in Artic</w:t>
      </w:r>
      <w:r>
        <w:t>le 6, item (i) of the Act, are as follows:</w:t>
      </w:r>
    </w:p>
    <w:p w:rsidR="00E332C7" w:rsidRDefault="00493DC9">
      <w:pPr>
        <w:pStyle w:val="enf6"/>
      </w:pPr>
      <w:r>
        <w:t>(i) that the launch vehicle has a flight capability which provides the ability for launching of the spacecraft, etc.;</w:t>
      </w:r>
    </w:p>
    <w:p w:rsidR="00E332C7" w:rsidRDefault="00493DC9">
      <w:pPr>
        <w:pStyle w:val="enf6"/>
      </w:pPr>
      <w:r>
        <w:t xml:space="preserve">(ii) that measures have been taken to ensure the safety of the vicinity of the </w:t>
      </w:r>
      <w:r>
        <w:t>trajectory and launch site of the launch vehicle even in the event of a fault, unexpected activation or erroneous operation (hereinafter referred to as "fault, etc.") of an ignition device, etc.;</w:t>
      </w:r>
    </w:p>
    <w:p w:rsidR="00E332C7" w:rsidRDefault="00493DC9">
      <w:pPr>
        <w:pStyle w:val="enf6"/>
      </w:pPr>
      <w:r>
        <w:t>(iii) that the launch vehicle has a function to transmit sig</w:t>
      </w:r>
      <w:r>
        <w:t>nals indicating the position, attitude and condition of the launch vehicle;</w:t>
      </w:r>
    </w:p>
    <w:p w:rsidR="00E332C7" w:rsidRDefault="00493DC9">
      <w:pPr>
        <w:pStyle w:val="enf6"/>
      </w:pPr>
      <w:r>
        <w:t>(iv) that the launch vehicle has a function to ensure the safety of the vicinity of the trajectory and launch site of the launch vehicle by flight termination measures of the launc</w:t>
      </w:r>
      <w:r>
        <w:t>h vehicle;</w:t>
      </w:r>
    </w:p>
    <w:p w:rsidR="00E332C7" w:rsidRDefault="00493DC9">
      <w:pPr>
        <w:pStyle w:val="enf6"/>
      </w:pPr>
      <w:r>
        <w:t>(v) that, for the important systems, etc. which constitutes the function to ensure the safety of the vicinity of the trajectory and launch site of the launch vehicle, measures have been taken to ensure the reliability and multiplexing (meaning t</w:t>
      </w:r>
      <w:r>
        <w:t>he configuration of two or more systems or devices with the same function on the same system; the same applies hereinafter) sufficient for the system to function even in the event of a fault, etc.;</w:t>
      </w:r>
    </w:p>
    <w:p w:rsidR="00E332C7" w:rsidRDefault="00493DC9">
      <w:pPr>
        <w:pStyle w:val="enf6"/>
      </w:pPr>
      <w:r>
        <w:t xml:space="preserve">(vi) that measures have been taken to prevent the release </w:t>
      </w:r>
      <w:r>
        <w:t>of debris, etc. at the time of the separation of spacecraft, etc. to the possible extent; and</w:t>
      </w:r>
    </w:p>
    <w:p w:rsidR="00E332C7" w:rsidRDefault="00493DC9">
      <w:pPr>
        <w:pStyle w:val="enf6"/>
      </w:pPr>
      <w:r>
        <w:t xml:space="preserve">(vii) that, for a stage to be put into orbit from among the stages constituting the launch vehicle, measures have been taken to prevent the break-up at the </w:t>
      </w:r>
      <w:r>
        <w:t>time of the separation of spacecraft, etc. to the possible extent.</w:t>
      </w:r>
    </w:p>
    <w:p w:rsidR="00E332C7" w:rsidRDefault="00E332C7"/>
    <w:p w:rsidR="00E332C7" w:rsidRDefault="00493DC9">
      <w:pPr>
        <w:pStyle w:val="ena"/>
      </w:pPr>
      <w:r>
        <w:t>(Type-specific Site Safety Standard)</w:t>
      </w:r>
    </w:p>
    <w:p w:rsidR="00E332C7" w:rsidRDefault="00493DC9">
      <w:pPr>
        <w:pStyle w:val="enf3"/>
      </w:pPr>
      <w:r>
        <w:t>Article 8  The standards specified by Cabinet Office Order, as referred to in Article 6, item (ii) of the Act, are as follows:</w:t>
      </w:r>
    </w:p>
    <w:p w:rsidR="00E332C7" w:rsidRDefault="00493DC9">
      <w:pPr>
        <w:pStyle w:val="enf6"/>
      </w:pPr>
      <w:r>
        <w:t>(i) that the launch site</w:t>
      </w:r>
      <w:r>
        <w:t xml:space="preserve"> is located at a place capable of ensuring the safety of the vicinity of the launch site, and that appropriate safety measures have been taken for important equipment, etc.;</w:t>
      </w:r>
    </w:p>
    <w:p w:rsidR="00E332C7" w:rsidRDefault="00493DC9">
      <w:pPr>
        <w:pStyle w:val="enf6"/>
      </w:pPr>
      <w:r>
        <w:t>(ii) that the launch site is capable of installing devices for ensuring the approp</w:t>
      </w:r>
      <w:r>
        <w:t>riate lift-off while ensuring the safety of the trajectory of the launch vehicle and the surrounding area;</w:t>
      </w:r>
    </w:p>
    <w:p w:rsidR="00E332C7" w:rsidRDefault="00493DC9">
      <w:pPr>
        <w:pStyle w:val="enf6"/>
      </w:pPr>
      <w:r>
        <w:t>(iii) that measures have been taken to ensure the safety of the vicinity of the trajectory and launch site of the launch vehicle even in the event of</w:t>
      </w:r>
      <w:r>
        <w:t xml:space="preserve"> a fault, etc. of important systems, etc. relating to an ignition device, etc. used for the launch vehicle;</w:t>
      </w:r>
    </w:p>
    <w:p w:rsidR="00E332C7" w:rsidRDefault="00493DC9">
      <w:pPr>
        <w:pStyle w:val="enf6"/>
      </w:pPr>
      <w:r>
        <w:t>(iv) that the launch site is capable of installing the following radio equipment which are necessary for the implementation of flight safety operati</w:t>
      </w:r>
      <w:r>
        <w:t>on (meaning the measures to be taken until the completion of launching of spacecraft, etc. so as to ensure public safety, so as to minimize the possibility of damage to human life or person, or properties on the ground surface or water surface, or aircraft</w:t>
      </w:r>
      <w:r>
        <w:t xml:space="preserve"> in flight or other flying objects caused by the fall, collision or explosion of the spacecraft, etc. in whole or part, that has not been successfully separated; the same applies hereinafter) and flight termination measures; provided, however, that this do</w:t>
      </w:r>
      <w:r>
        <w:t>es not apply to the case where any other place equipped with the following radio equipment for the implementation of the flight safety operation or flight termination measures is to be used:</w:t>
      </w:r>
    </w:p>
    <w:p w:rsidR="00E332C7" w:rsidRDefault="00493DC9">
      <w:pPr>
        <w:pStyle w:val="enf9"/>
      </w:pPr>
      <w:r>
        <w:t>(a) radio equipment equipped with a function to detect signals in</w:t>
      </w:r>
      <w:r>
        <w:t>dicating the position, attitude and condition of the launch vehicle by the use of electromagnetic waves or other means; or</w:t>
      </w:r>
    </w:p>
    <w:p w:rsidR="00E332C7" w:rsidRDefault="00493DC9">
      <w:pPr>
        <w:pStyle w:val="enf9"/>
      </w:pPr>
      <w:r>
        <w:t>(b) if the launch vehicle implements flight termination measures by receiving signals, radio equipment equipped with a function for t</w:t>
      </w:r>
      <w:r>
        <w:t>ransmitting signals necessary for the implementation of flight termination measures; and</w:t>
      </w:r>
    </w:p>
    <w:p w:rsidR="00E332C7" w:rsidRDefault="00493DC9">
      <w:pPr>
        <w:pStyle w:val="enf6"/>
      </w:pPr>
      <w:r>
        <w:t>(v) that, for the important systems, etc. which constitute the function to ensure the safety of the vicinity of the trajectory and launch site of the launch vehicle, m</w:t>
      </w:r>
      <w:r>
        <w:t>easures have been taken to ensure the reliability and multiplexing sufficient for the system to function even in the event of a fault, etc.</w:t>
      </w:r>
    </w:p>
    <w:p w:rsidR="00E332C7" w:rsidRDefault="00E332C7"/>
    <w:p w:rsidR="00E332C7" w:rsidRDefault="00493DC9">
      <w:pPr>
        <w:pStyle w:val="ena"/>
      </w:pPr>
      <w:r>
        <w:t>(Application, etc. for Permission Related to Change)</w:t>
      </w:r>
    </w:p>
    <w:p w:rsidR="00E332C7" w:rsidRDefault="00493DC9">
      <w:pPr>
        <w:pStyle w:val="enf3"/>
      </w:pPr>
      <w:r>
        <w:t>Article 9  (1) When a launch operator intends to make any chan</w:t>
      </w:r>
      <w:r>
        <w:t>ge to the matters set forth in Article 4, paragraph (2), items (ii) through (v) of the Act, the launch operator must submit to the Prime Minister a written application using Form 3 attaching a document relating to the changed items contained in the documen</w:t>
      </w:r>
      <w:r>
        <w:t>ts set forth in Article 5, paragraph (2), items (i) and (ii) and a copy of the permission certificate under paragraph (4) of that Article pertaining to the launching of the spacecraft, etc. and obtain permission from the Prime Minister.</w:t>
      </w:r>
    </w:p>
    <w:p w:rsidR="00E332C7" w:rsidRDefault="00493DC9">
      <w:pPr>
        <w:pStyle w:val="enf4"/>
      </w:pPr>
      <w:r>
        <w:t xml:space="preserve">(2) When the Prime </w:t>
      </w:r>
      <w:r>
        <w:t xml:space="preserve">Minister grants the permission to make any changes under Article 7, paragraph (1) of the Act, the Prime Minister is to notify the launch operator to that effect, order the launch operator to return the permission certificate under Article 5, paragraph (4) </w:t>
      </w:r>
      <w:r>
        <w:t>pertaining to the launching of the spacecraft, etc. and reissue the permission certificate using Form 2.</w:t>
      </w:r>
    </w:p>
    <w:p w:rsidR="00E332C7" w:rsidRDefault="00493DC9">
      <w:pPr>
        <w:pStyle w:val="enf4"/>
      </w:pPr>
      <w:r>
        <w:t>(3) The minor changes specified by Cabinet Office Order, as referred to in the proviso to Article 7, paragraph (1) of the Act, are changes that would n</w:t>
      </w:r>
      <w:r>
        <w:t>ot result in a substantial change in the matters set forth in Article 4, paragraph (2), items (ii) through (v) of the Act.</w:t>
      </w:r>
    </w:p>
    <w:p w:rsidR="00E332C7" w:rsidRDefault="00493DC9">
      <w:pPr>
        <w:pStyle w:val="enf4"/>
      </w:pPr>
      <w:r>
        <w:t xml:space="preserve">(4) When a launch operator intends to make a notification under Article 7, paragraph (2) of the Act, the launch operator must submit </w:t>
      </w:r>
      <w:r>
        <w:t>to the Prime Minister a written notification using Form 4, attaching a document pertaining to the changed matters and a copy of the permission certificate referred to in Article 5, paragraph (4) pertaining to the launching of the spacecraft, etc.</w:t>
      </w:r>
    </w:p>
    <w:p w:rsidR="00E332C7" w:rsidRDefault="00E332C7"/>
    <w:p w:rsidR="00E332C7" w:rsidRDefault="00493DC9">
      <w:pPr>
        <w:pStyle w:val="ena"/>
      </w:pPr>
      <w:r>
        <w:t xml:space="preserve">(Amount </w:t>
      </w:r>
      <w:r>
        <w:t>Covered by Compensation Measures)</w:t>
      </w:r>
    </w:p>
    <w:p w:rsidR="00E332C7" w:rsidRDefault="00493DC9">
      <w:pPr>
        <w:pStyle w:val="enf3"/>
      </w:pPr>
      <w:r>
        <w:t xml:space="preserve">Article 9-2  (1) Considering the design of the launch vehicle, the location of the launch site, and other circumstances and upon consultation with the Minister of Finance, the Prime Minister is to determine the amount set </w:t>
      </w:r>
      <w:r>
        <w:t>forth in Cabinet Office Order, as referred to in Article 9, paragraph (2) of the Act.</w:t>
      </w:r>
    </w:p>
    <w:p w:rsidR="00E332C7" w:rsidRDefault="00493DC9">
      <w:pPr>
        <w:pStyle w:val="enf4"/>
      </w:pPr>
      <w:r>
        <w:t>(2) The Prime Minister is to issue a public notice when the amount provided for in the preceding paragraph has been determined.</w:t>
      </w:r>
    </w:p>
    <w:p w:rsidR="00E332C7" w:rsidRDefault="00E332C7"/>
    <w:p w:rsidR="00E332C7" w:rsidRDefault="00493DC9">
      <w:pPr>
        <w:pStyle w:val="ena"/>
      </w:pPr>
      <w:r>
        <w:t>(Submission of Materials used to Calculat</w:t>
      </w:r>
      <w:r>
        <w:t>e the Amount Covered by Compensation Measures)</w:t>
      </w:r>
    </w:p>
    <w:p w:rsidR="00E332C7" w:rsidRDefault="00493DC9">
      <w:pPr>
        <w:pStyle w:val="enf3"/>
      </w:pPr>
      <w:r>
        <w:t xml:space="preserve">Article 9-3  If the Prime Minister finds it to be necessary, the Prime Minister may request a person who intends to implement the launching of spacecraft, etc. to submit materials used to calculate the </w:t>
      </w:r>
      <w:r>
        <w:t>amount covered by compensation measures.</w:t>
      </w:r>
    </w:p>
    <w:p w:rsidR="00E332C7" w:rsidRDefault="00E332C7"/>
    <w:p w:rsidR="00E332C7" w:rsidRDefault="00493DC9">
      <w:pPr>
        <w:pStyle w:val="ena"/>
      </w:pPr>
      <w:r>
        <w:t>(Application for Approval Related to Security Measures for Compensation for Damages)</w:t>
      </w:r>
    </w:p>
    <w:p w:rsidR="00E332C7" w:rsidRDefault="00493DC9">
      <w:pPr>
        <w:pStyle w:val="enf3"/>
      </w:pPr>
      <w:r>
        <w:t>Article 9-4  (1) A person who intends to obtain approval under Article 9, paragraph (2) of the Act must submit a written applicat</w:t>
      </w:r>
      <w:r>
        <w:t>ion using Form 4-2 to the Prime Minister.</w:t>
      </w:r>
    </w:p>
    <w:p w:rsidR="00E332C7" w:rsidRDefault="00493DC9">
      <w:pPr>
        <w:pStyle w:val="enf4"/>
      </w:pPr>
      <w:r>
        <w:t>(2) The following documents must be attached to the written application under the preceding paragraph:</w:t>
      </w:r>
    </w:p>
    <w:p w:rsidR="00E332C7" w:rsidRDefault="00493DC9">
      <w:pPr>
        <w:pStyle w:val="enf6"/>
      </w:pPr>
      <w:r>
        <w:t>(i) if the applicant intends to take security measures for compensation for damages by way of executing a launc</w:t>
      </w:r>
      <w:r>
        <w:t xml:space="preserve">h vehicle fall damage liability insurance contract and a launch vehicle fall damage liability indemnification contract (limited to a contract pertaining to specific launch vehicle fall damages; hereinafter the same applies in this Article and Article 10), </w:t>
      </w:r>
      <w:r>
        <w:t>the following documents:</w:t>
      </w:r>
    </w:p>
    <w:p w:rsidR="00E332C7" w:rsidRDefault="00493DC9">
      <w:pPr>
        <w:pStyle w:val="enf9"/>
      </w:pPr>
      <w:r>
        <w:t>(a) a copy of general conditions of the launch vehicle fall damage liability insurance contract;</w:t>
      </w:r>
    </w:p>
    <w:p w:rsidR="00E332C7" w:rsidRDefault="00493DC9">
      <w:pPr>
        <w:pStyle w:val="enf9"/>
      </w:pPr>
      <w:r>
        <w:t>(b) a copy of an insurance policy certificate of the launch vehicle fall damage liability insurance contract;</w:t>
      </w:r>
    </w:p>
    <w:p w:rsidR="00E332C7" w:rsidRDefault="00493DC9">
      <w:pPr>
        <w:pStyle w:val="enf9"/>
      </w:pPr>
      <w:r>
        <w:t>(c) a copy of general co</w:t>
      </w:r>
      <w:r>
        <w:t>nditions of the launch vehicle fall damage liability indemnification contract; and</w:t>
      </w:r>
    </w:p>
    <w:p w:rsidR="00E332C7" w:rsidRDefault="00493DC9">
      <w:pPr>
        <w:pStyle w:val="enf9"/>
      </w:pPr>
      <w:r>
        <w:t>(d) a copy of the contract deed of the launch vehicle fall damage liability indemnification contract;</w:t>
      </w:r>
    </w:p>
    <w:p w:rsidR="00E332C7" w:rsidRDefault="00493DC9">
      <w:pPr>
        <w:pStyle w:val="enf6"/>
      </w:pPr>
      <w:r>
        <w:t>(ii) if the applicant intends to take security measures for compensatio</w:t>
      </w:r>
      <w:r>
        <w:t>n for damages by way of making a deposit with official depository, a document describing the name and location of the Legal Affairs Bureau or District Legal Affairs Bureau; the amount of cash if the deposited property is cash; the issues and amounts if the</w:t>
      </w:r>
      <w:r>
        <w:t xml:space="preserve"> deposited property consists of book-entry transfer National Government Bonds; and the names, total face value, face value, codes representing the number of issues, serial number, number of certificates, and coupons, if the deposited property consists of s</w:t>
      </w:r>
      <w:r>
        <w:t>ecurities other than book-entry transfer bonds;</w:t>
      </w:r>
    </w:p>
    <w:p w:rsidR="00E332C7" w:rsidRDefault="00493DC9">
      <w:pPr>
        <w:pStyle w:val="enf6"/>
      </w:pPr>
      <w:r>
        <w:t xml:space="preserve">(iii) if the applicant intends to take security measures for compensation for damages by way of a measure equivalent to the execution of a launch vehicle fall damage liability insurance contract and a launch </w:t>
      </w:r>
      <w:r>
        <w:t>vehicle fall damage liability indemnification contract or depositing with official depository, a document describing the details thereof; and</w:t>
      </w:r>
    </w:p>
    <w:p w:rsidR="00E332C7" w:rsidRDefault="00493DC9">
      <w:pPr>
        <w:pStyle w:val="enf6"/>
      </w:pPr>
      <w:r>
        <w:t>(iv) any other document which the Prime Minister determines necessary.</w:t>
      </w:r>
    </w:p>
    <w:p w:rsidR="00E332C7" w:rsidRDefault="00493DC9">
      <w:pPr>
        <w:pStyle w:val="enf4"/>
      </w:pPr>
      <w:r>
        <w:t>(3) When the Prime Minister grants approval</w:t>
      </w:r>
      <w:r>
        <w:t xml:space="preserve"> under Article 9, paragraph (2) of the Act, the Prime Minister is to notify the applicant to that effect in writing.</w:t>
      </w:r>
    </w:p>
    <w:p w:rsidR="00E332C7" w:rsidRDefault="00E332C7"/>
    <w:p w:rsidR="00E332C7" w:rsidRDefault="00493DC9">
      <w:pPr>
        <w:pStyle w:val="ena"/>
      </w:pPr>
      <w:r>
        <w:t>(Application for Approval Related to Change of Security Measures for Compensation for Damages)</w:t>
      </w:r>
    </w:p>
    <w:p w:rsidR="00E332C7" w:rsidRDefault="00493DC9">
      <w:pPr>
        <w:pStyle w:val="enf3"/>
      </w:pPr>
      <w:r>
        <w:t>Article 9-5  (1) When a person who obtained</w:t>
      </w:r>
      <w:r>
        <w:t xml:space="preserve"> approval under Article 9, paragraph (2) of the Act intends to make any change to the approved security measures for compensation for damages, the person must submit to the Prime Minister a written application using Form 4-3, attaching a document relating </w:t>
      </w:r>
      <w:r>
        <w:t>to the changed items contained in the documents set forth in items (i) through (iii) of paragraph (2) of the preceding Article.</w:t>
      </w:r>
    </w:p>
    <w:p w:rsidR="00E332C7" w:rsidRDefault="00493DC9">
      <w:pPr>
        <w:pStyle w:val="enf4"/>
      </w:pPr>
      <w:r>
        <w:t>(2) When the Prime Minister grants approval related to change based on the documents submitted by a person who obtained approval</w:t>
      </w:r>
      <w:r>
        <w:t xml:space="preserve"> under Article 9, paragraph (2) of the Act pursuant to the preceding paragraph, the Prime Minister is to notify the applicant to that effect in writing.</w:t>
      </w:r>
    </w:p>
    <w:p w:rsidR="00E332C7" w:rsidRDefault="00E332C7"/>
    <w:p w:rsidR="00E332C7" w:rsidRDefault="00493DC9">
      <w:pPr>
        <w:pStyle w:val="ena"/>
      </w:pPr>
      <w:r>
        <w:t>(Expiration of Approval)</w:t>
      </w:r>
    </w:p>
    <w:p w:rsidR="00E332C7" w:rsidRDefault="00493DC9">
      <w:pPr>
        <w:pStyle w:val="enf3"/>
      </w:pPr>
      <w:r>
        <w:t xml:space="preserve">Article 9-6  In the following cases, the approval under Article 9, paragraph </w:t>
      </w:r>
      <w:r>
        <w:t>(2) of the Act ceases to be effective:</w:t>
      </w:r>
    </w:p>
    <w:p w:rsidR="00E332C7" w:rsidRDefault="00493DC9">
      <w:pPr>
        <w:pStyle w:val="enf6"/>
      </w:pPr>
      <w:r>
        <w:t>(i) when the launch operator obtains authorization under Article 10, paragraph (1) of the Act;</w:t>
      </w:r>
    </w:p>
    <w:p w:rsidR="00E332C7" w:rsidRDefault="00493DC9">
      <w:pPr>
        <w:pStyle w:val="enf6"/>
      </w:pPr>
      <w:r>
        <w:t>(ii) when the permission under Article 4, paragraph (1) of the Act ceases to be effective pursuant to Article 10, paragrap</w:t>
      </w:r>
      <w:r>
        <w:t>h (5) and Article 11 (excluding item (iv)) of the Act;</w:t>
      </w:r>
    </w:p>
    <w:p w:rsidR="00E332C7" w:rsidRDefault="00493DC9">
      <w:pPr>
        <w:pStyle w:val="enf6"/>
      </w:pPr>
      <w:r>
        <w:t>(iii) when the launch operator has its permission under Article 4, paragraph (1) of the Act rescinded pursuant to Article 12 of the Act;</w:t>
      </w:r>
    </w:p>
    <w:p w:rsidR="00E332C7" w:rsidRDefault="00493DC9">
      <w:pPr>
        <w:pStyle w:val="enf6"/>
      </w:pPr>
      <w:r>
        <w:t>(iv) in the case referred to in paragraph (1) of the preceding A</w:t>
      </w:r>
      <w:r>
        <w:t>rticle, when the launch operator does not make an application for approval related to change under that paragraph; or</w:t>
      </w:r>
    </w:p>
    <w:p w:rsidR="00E332C7" w:rsidRDefault="00493DC9">
      <w:pPr>
        <w:pStyle w:val="enf6"/>
      </w:pPr>
      <w:r>
        <w:t xml:space="preserve">(v) in the case referred to in paragraph (4) of the following Article, when the launch operator does not submit the documents referred to </w:t>
      </w:r>
      <w:r>
        <w:t>in that paragraph.</w:t>
      </w:r>
    </w:p>
    <w:p w:rsidR="00E332C7" w:rsidRDefault="00E332C7"/>
    <w:p w:rsidR="00E332C7" w:rsidRDefault="00493DC9">
      <w:pPr>
        <w:pStyle w:val="ena"/>
      </w:pPr>
      <w:r>
        <w:t>(Application for Authorization on Succession of Status of Launch Operator)</w:t>
      </w:r>
    </w:p>
    <w:p w:rsidR="00E332C7" w:rsidRDefault="00493DC9">
      <w:pPr>
        <w:pStyle w:val="enf3"/>
      </w:pPr>
      <w:r>
        <w:t xml:space="preserve">Article 10  (1) A person who intends to obtain authorization under Article 10, paragraph (1) of the Act must submit to the Prime Minister a written </w:t>
      </w:r>
      <w:r>
        <w:t>application using Form 5, attaching the following documents and a copy of the permission certificate under Article 5, paragraph (4) pertaining to the transferrer:</w:t>
      </w:r>
    </w:p>
    <w:p w:rsidR="00E332C7" w:rsidRDefault="00493DC9">
      <w:pPr>
        <w:pStyle w:val="enf6"/>
      </w:pPr>
      <w:r>
        <w:t xml:space="preserve">(i) a document evidencing that the transferee has a sufficient ability to execute the launch </w:t>
      </w:r>
      <w:r>
        <w:t>plan;</w:t>
      </w:r>
    </w:p>
    <w:p w:rsidR="00E332C7" w:rsidRDefault="00493DC9">
      <w:pPr>
        <w:pStyle w:val="enf6"/>
      </w:pPr>
      <w:r>
        <w:t>(ii) a copy of the contract for the transfer and acquisition; and</w:t>
      </w:r>
    </w:p>
    <w:p w:rsidR="00E332C7" w:rsidRDefault="00493DC9">
      <w:pPr>
        <w:pStyle w:val="enf6"/>
      </w:pPr>
      <w:r>
        <w:t>(iii) if the transferrer or the transferee is a corporation, the minutes of resolution of a general meeting of shareholders or general meeting of members or a written consent of member</w:t>
      </w:r>
      <w:r>
        <w:t>s with unlimited liability or all members on the transfer or acquisition, or a document evidencing the decision on the transfer or acquisition.</w:t>
      </w:r>
    </w:p>
    <w:p w:rsidR="00E332C7" w:rsidRDefault="00493DC9">
      <w:pPr>
        <w:pStyle w:val="enf4"/>
      </w:pPr>
      <w:r>
        <w:t>(2) A person who intends to obtain authorization under Article 10, paragraph (2) of the Act must submit to the P</w:t>
      </w:r>
      <w:r>
        <w:t>rime Minister a written application using Form 6, attaching the following documents and a copy of the permission certificate under Article 5, paragraph (4) for the corporation whose business was succeeded to:</w:t>
      </w:r>
    </w:p>
    <w:p w:rsidR="00E332C7" w:rsidRDefault="00493DC9">
      <w:pPr>
        <w:pStyle w:val="enf6"/>
      </w:pPr>
      <w:r>
        <w:t>(i) a document stating the method and condition</w:t>
      </w:r>
      <w:r>
        <w:t>s of the merger;</w:t>
      </w:r>
    </w:p>
    <w:p w:rsidR="00E332C7" w:rsidRDefault="00493DC9">
      <w:pPr>
        <w:pStyle w:val="enf6"/>
      </w:pPr>
      <w:r>
        <w:t>(ii) a document evidencing that the corporation surviving the merger or corporation to be incorporated in the merger has a sufficient ability to execute the launch plan;</w:t>
      </w:r>
    </w:p>
    <w:p w:rsidR="00E332C7" w:rsidRDefault="00493DC9">
      <w:pPr>
        <w:pStyle w:val="enf6"/>
      </w:pPr>
      <w:r>
        <w:t xml:space="preserve">(iii) a copy of the merger contract and a statement </w:t>
      </w:r>
      <w:r>
        <w:t>explaining the merger ratio; and</w:t>
      </w:r>
    </w:p>
    <w:p w:rsidR="00E332C7" w:rsidRDefault="00493DC9">
      <w:pPr>
        <w:pStyle w:val="enf6"/>
      </w:pPr>
      <w:r>
        <w:t xml:space="preserve">(iv) the minutes of resolution of a general meeting of shareholders or general meeting of members or a written consent of members with unlimited liability or all members on the merger, or a document certifying the decision </w:t>
      </w:r>
      <w:r>
        <w:t>on the merger.</w:t>
      </w:r>
    </w:p>
    <w:p w:rsidR="00E332C7" w:rsidRDefault="00493DC9">
      <w:pPr>
        <w:pStyle w:val="enf4"/>
      </w:pPr>
      <w:r>
        <w:t>(3) A person who intends to obtain authorization under Article 10, paragraph (3) of the Act must submit to the Prime Minister a written application using Form 7, attaching the following documents and a copy of the permission certificate unde</w:t>
      </w:r>
      <w:r>
        <w:t>r Article 5, paragraph (4) for the corporation whose business was succeeded to:</w:t>
      </w:r>
    </w:p>
    <w:p w:rsidR="00E332C7" w:rsidRDefault="00493DC9">
      <w:pPr>
        <w:pStyle w:val="enf6"/>
      </w:pPr>
      <w:r>
        <w:t>(i) a document stating the method and conditions of the corporate split;</w:t>
      </w:r>
    </w:p>
    <w:p w:rsidR="00E332C7" w:rsidRDefault="00493DC9">
      <w:pPr>
        <w:pStyle w:val="enf6"/>
      </w:pPr>
      <w:r>
        <w:t>(ii) a document evidencing that the corporation succeeding to the business with respect to the launchin</w:t>
      </w:r>
      <w:r>
        <w:t>g of spacecraft, etc. by the corporate split has a sufficient ability to execute the launch plan;</w:t>
      </w:r>
    </w:p>
    <w:p w:rsidR="00E332C7" w:rsidRDefault="00493DC9">
      <w:pPr>
        <w:pStyle w:val="enf6"/>
      </w:pPr>
      <w:r>
        <w:t>(iii) a copy of a corporate split contract (for the incorporation-type corporate split, a corporate split plan) and a statement explaining a split ratio; and</w:t>
      </w:r>
    </w:p>
    <w:p w:rsidR="00E332C7" w:rsidRDefault="00493DC9">
      <w:pPr>
        <w:pStyle w:val="enf6"/>
      </w:pPr>
      <w:r>
        <w:t>(iv) the minutes of resolution of a general meeting of shareholders or general meeting of members or a written consent of members with unlimited liability or all members on the corporate split, or a document evidencing the decision on the corporate split.</w:t>
      </w:r>
    </w:p>
    <w:p w:rsidR="00E332C7" w:rsidRDefault="00493DC9">
      <w:pPr>
        <w:pStyle w:val="enf4"/>
      </w:pPr>
      <w:r>
        <w:t>(4) If a person who intends to obtain authorization under Article 10, paragraph (2) or (3) of the Act has obtained approval provided in Article 9, paragraph (2) of the Act, in addition to the provisions under the preceding two paragraphs, the person must s</w:t>
      </w:r>
      <w:r>
        <w:t>ubmit the following documents to the Prime Minister:</w:t>
      </w:r>
    </w:p>
    <w:p w:rsidR="00E332C7" w:rsidRDefault="00493DC9">
      <w:pPr>
        <w:pStyle w:val="enf6"/>
      </w:pPr>
      <w:r>
        <w:t>(i) in the case of a person who obtained approval related to security measures for compensation for damages by way of executing a launch vehicle fall damage liability insurance contract and a launch vehi</w:t>
      </w:r>
      <w:r>
        <w:t>cle fall damage liability indemnification contract, a document certifying the succession of the rights and obligations under the relevant contract;</w:t>
      </w:r>
    </w:p>
    <w:p w:rsidR="00E332C7" w:rsidRDefault="00493DC9">
      <w:pPr>
        <w:pStyle w:val="enf6"/>
      </w:pPr>
      <w:r>
        <w:t>(ii) in the case of a person who obtained approval related to security measures for compensation for damages</w:t>
      </w:r>
      <w:r>
        <w:t xml:space="preserve"> by way of making a deposit with official depository, a document certifying the succession of the rights of the depositor in relation to the deposit; and</w:t>
      </w:r>
    </w:p>
    <w:p w:rsidR="00E332C7" w:rsidRDefault="00493DC9">
      <w:pPr>
        <w:pStyle w:val="enf6"/>
      </w:pPr>
      <w:r>
        <w:t>(iii) in the case of a person who has taken security measures for compensation for damages by way of e</w:t>
      </w:r>
      <w:r>
        <w:t>quivalent measures, a document certifying the succession of the rights and obligations relating to the measure.</w:t>
      </w:r>
    </w:p>
    <w:p w:rsidR="00E332C7" w:rsidRDefault="00493DC9">
      <w:pPr>
        <w:pStyle w:val="enf4"/>
      </w:pPr>
      <w:r>
        <w:t>(5) When the Prime Minister grants authorization under Article 10, paragraph (1), (2) or (3) of the Act, the Prime Minister is to notify the app</w:t>
      </w:r>
      <w:r>
        <w:t>licant to that effect in writing.</w:t>
      </w:r>
    </w:p>
    <w:p w:rsidR="00E332C7" w:rsidRDefault="00E332C7"/>
    <w:p w:rsidR="00E332C7" w:rsidRDefault="00493DC9">
      <w:pPr>
        <w:pStyle w:val="ena"/>
      </w:pPr>
      <w:r>
        <w:t>(Notification of Death or Other Reasons)</w:t>
      </w:r>
    </w:p>
    <w:p w:rsidR="00E332C7" w:rsidRDefault="00493DC9">
      <w:pPr>
        <w:pStyle w:val="enf3"/>
      </w:pPr>
      <w:r>
        <w:t xml:space="preserve">Article 11  (1) When the person specified by the items of Article 11 of the Act makes a notification under that Article, the person must submit a written notification using Form 8 </w:t>
      </w:r>
      <w:r>
        <w:t>to the Prime Minister.</w:t>
      </w:r>
    </w:p>
    <w:p w:rsidR="00E332C7" w:rsidRDefault="00493DC9">
      <w:pPr>
        <w:pStyle w:val="enf4"/>
      </w:pPr>
      <w:r>
        <w:t>(2) If any of items (i) through (iii) of Article 11 of the Act is applicable, a permission certificate under Article 5, paragraph (4) pertaining to the launching of the spacecraft, etc. must be attached to the written notification un</w:t>
      </w:r>
      <w:r>
        <w:t>der the preceding paragraph.</w:t>
      </w:r>
    </w:p>
    <w:p w:rsidR="00E332C7" w:rsidRDefault="00E332C7"/>
    <w:p w:rsidR="00E332C7" w:rsidRDefault="00493DC9">
      <w:pPr>
        <w:pStyle w:val="ena"/>
      </w:pPr>
      <w:r>
        <w:t>(Procedure for Rescission of Permission)</w:t>
      </w:r>
    </w:p>
    <w:p w:rsidR="00E332C7" w:rsidRDefault="00493DC9">
      <w:pPr>
        <w:pStyle w:val="enf3"/>
      </w:pPr>
      <w:r>
        <w:t>Article 12  When the Prime Minister rescinds the permission under Article 4, paragraph (1) of the Act pursuant to the provisions of Article 12 of the Act, the Prime Minister is to notif</w:t>
      </w:r>
      <w:r>
        <w:t>y the launch operator to that effect in writing and order the return of the permission certificate under Article 5, paragraph (4) pertaining to the launching of the spacecraft, etc.</w:t>
      </w:r>
    </w:p>
    <w:p w:rsidR="00E332C7" w:rsidRDefault="00E332C7"/>
    <w:p w:rsidR="00E332C7" w:rsidRDefault="00493DC9">
      <w:pPr>
        <w:pStyle w:val="ena"/>
      </w:pPr>
      <w:r>
        <w:t>(Application, etc. for Type Certification for Design of Launch vehicle)</w:t>
      </w:r>
    </w:p>
    <w:p w:rsidR="00E332C7" w:rsidRDefault="00493DC9">
      <w:pPr>
        <w:pStyle w:val="enf3"/>
      </w:pPr>
      <w:r>
        <w:t>Article 13  (1) A person who intends to obtain a type certification under Article 13, paragraph (1) of the Act must submit a written application using Form 9 to the Prime Minister.</w:t>
      </w:r>
    </w:p>
    <w:p w:rsidR="00E332C7" w:rsidRDefault="00493DC9">
      <w:pPr>
        <w:pStyle w:val="enf4"/>
      </w:pPr>
      <w:r>
        <w:t>(2) The following documents must be attached to the written application und</w:t>
      </w:r>
      <w:r>
        <w:t>er the preceding paragraph:</w:t>
      </w:r>
    </w:p>
    <w:p w:rsidR="00E332C7" w:rsidRDefault="00493DC9">
      <w:pPr>
        <w:pStyle w:val="enf6"/>
      </w:pPr>
      <w:r>
        <w:t>(i) a document describing the flight records or test results of the launch vehicle;</w:t>
      </w:r>
    </w:p>
    <w:p w:rsidR="00E332C7" w:rsidRDefault="00493DC9">
      <w:pPr>
        <w:pStyle w:val="enf6"/>
      </w:pPr>
      <w:r>
        <w:t>(ii) a document describing the results of assessment of reliability of the launch vehicle;</w:t>
      </w:r>
    </w:p>
    <w:p w:rsidR="00E332C7" w:rsidRDefault="00493DC9">
      <w:pPr>
        <w:pStyle w:val="enf6"/>
      </w:pPr>
      <w:r>
        <w:t>(iii) a document describing the method of verificatio</w:t>
      </w:r>
      <w:r>
        <w:t>n that the launch vehicle complies with its design; and</w:t>
      </w:r>
    </w:p>
    <w:p w:rsidR="00E332C7" w:rsidRDefault="00493DC9">
      <w:pPr>
        <w:pStyle w:val="enf6"/>
      </w:pPr>
      <w:r>
        <w:t>(iv) any other document which the Prime Minister determines necessary.</w:t>
      </w:r>
    </w:p>
    <w:p w:rsidR="00E332C7" w:rsidRDefault="00493DC9">
      <w:pPr>
        <w:pStyle w:val="enf4"/>
      </w:pPr>
      <w:r>
        <w:t>(3) The matters specified by Cabinet Office Order, as referred to in Article 13, paragraph (2), item (iii) of the Act, are as fol</w:t>
      </w:r>
      <w:r>
        <w:t>lows:</w:t>
      </w:r>
    </w:p>
    <w:p w:rsidR="00E332C7" w:rsidRDefault="00493DC9">
      <w:pPr>
        <w:pStyle w:val="enf6"/>
      </w:pPr>
      <w:r>
        <w:t>(i) the flight termination measures or other means of ensuring the safety of the vicinity of the trajectory and launch site of the launch vehicle; and</w:t>
      </w:r>
    </w:p>
    <w:p w:rsidR="00E332C7" w:rsidRDefault="00493DC9">
      <w:pPr>
        <w:pStyle w:val="enf6"/>
      </w:pPr>
      <w:r>
        <w:t>(ii) the technical conditions for ensuring the compliance of the launch vehicle and launch site.</w:t>
      </w:r>
    </w:p>
    <w:p w:rsidR="00E332C7" w:rsidRDefault="00493DC9">
      <w:pPr>
        <w:pStyle w:val="enf4"/>
      </w:pPr>
      <w:r>
        <w:t>(4</w:t>
      </w:r>
      <w:r>
        <w:t>) When the Prime Minister grants a type certification under Article 13, paragraph (1) of the Act, the Prime Minister is to notify the applicant to that effect and issue a type certificate using Form 10.</w:t>
      </w:r>
    </w:p>
    <w:p w:rsidR="00E332C7" w:rsidRDefault="00493DC9">
      <w:pPr>
        <w:pStyle w:val="enf4"/>
      </w:pPr>
      <w:r>
        <w:t xml:space="preserve">(5) A person who obtained a type certification under </w:t>
      </w:r>
      <w:r>
        <w:t>Article 13, paragraph (1) of the Act may return the type certificate issued pursuant to paragraph (4) of that Article to the Prime Minister. In this case, the type certification ceases to be effective.</w:t>
      </w:r>
    </w:p>
    <w:p w:rsidR="00E332C7" w:rsidRDefault="00E332C7"/>
    <w:p w:rsidR="00E332C7" w:rsidRDefault="00493DC9">
      <w:pPr>
        <w:pStyle w:val="ena"/>
      </w:pPr>
      <w:r>
        <w:t>(Application, etc. for Change of Designs, etc.)</w:t>
      </w:r>
    </w:p>
    <w:p w:rsidR="00E332C7" w:rsidRDefault="00493DC9">
      <w:pPr>
        <w:pStyle w:val="enf3"/>
      </w:pPr>
      <w:r>
        <w:t>Artic</w:t>
      </w:r>
      <w:r>
        <w:t>le 14  (1) When a person who obtained a type certification under Article 13, paragraph (1) of the Act intends to make any changes to the matters set forth in item (ii) of paragraph (2) of that Article, the person must obtain authorization for the change fr</w:t>
      </w:r>
      <w:r>
        <w:t>om the Prime Minister, by submitting a written application using Form 11 attaching the following documents:</w:t>
      </w:r>
    </w:p>
    <w:p w:rsidR="00E332C7" w:rsidRDefault="00493DC9">
      <w:pPr>
        <w:pStyle w:val="enf6"/>
      </w:pPr>
      <w:r>
        <w:t>(i) a document relating to the changed items contained in the documents set forth in items (i) through (iii) of paragraph (2) of the preceding Artic</w:t>
      </w:r>
      <w:r>
        <w:t>le;</w:t>
      </w:r>
    </w:p>
    <w:p w:rsidR="00E332C7" w:rsidRDefault="00493DC9">
      <w:pPr>
        <w:pStyle w:val="enf6"/>
      </w:pPr>
      <w:r>
        <w:t>(ii) a document certifying that the changed design of the launch vehicle satisfies the launch vehicle safety standard provided in Article 7; and</w:t>
      </w:r>
    </w:p>
    <w:p w:rsidR="00E332C7" w:rsidRDefault="00493DC9">
      <w:pPr>
        <w:pStyle w:val="enf6"/>
      </w:pPr>
      <w:r>
        <w:t>(iii) a copy of the type certificate under Article 13, paragraph (4) of the Act.</w:t>
      </w:r>
    </w:p>
    <w:p w:rsidR="00E332C7" w:rsidRDefault="00493DC9">
      <w:pPr>
        <w:pStyle w:val="enf4"/>
      </w:pPr>
      <w:r>
        <w:t>(2) When the Prime Ministe</w:t>
      </w:r>
      <w:r>
        <w:t xml:space="preserve">r grants authorization to make any changes under Article 14, paragraph (1) of the Act, the Prime Minister is to notify the person who obtained the type certification under Article 13, paragraph (1) of the Act to that effect, order the person to return the </w:t>
      </w:r>
      <w:r>
        <w:t>type certificate under paragraph (4) of that Article pertaining to the type certification for the design of the launch vehicle and reissue a type certification using Form 10.</w:t>
      </w:r>
    </w:p>
    <w:p w:rsidR="00E332C7" w:rsidRDefault="00493DC9">
      <w:pPr>
        <w:pStyle w:val="enf4"/>
      </w:pPr>
      <w:r>
        <w:t>(3) The minor changes specified by Cabinet Office Order, as referred to in the pr</w:t>
      </w:r>
      <w:r>
        <w:t>oviso to Article 14, paragraph (1) of the Act, are changes that would not result in a substantial change in the matters set forth in Article 13, paragraph (2), item (ii) of the Act.</w:t>
      </w:r>
    </w:p>
    <w:p w:rsidR="00E332C7" w:rsidRDefault="00493DC9">
      <w:pPr>
        <w:pStyle w:val="enf4"/>
      </w:pPr>
      <w:r>
        <w:t>(4) When a person who obtained a type certification under Article 13, para</w:t>
      </w:r>
      <w:r>
        <w:t>graph (1) of the Act intends to make a notification under Article 14, paragraph (2) of the Act, the person must submit to the Prime Minister a written notification using Form 12, attaching a document pertaining to the changed matters and a copy of the type</w:t>
      </w:r>
      <w:r>
        <w:t xml:space="preserve"> certificate referred to in Article 13, paragraph (4) of the Act.</w:t>
      </w:r>
    </w:p>
    <w:p w:rsidR="00E332C7" w:rsidRDefault="00E332C7"/>
    <w:p w:rsidR="00E332C7" w:rsidRDefault="00493DC9">
      <w:pPr>
        <w:pStyle w:val="ena"/>
      </w:pPr>
      <w:r>
        <w:t>(Procedure for Rescission of Type Certification)</w:t>
      </w:r>
    </w:p>
    <w:p w:rsidR="00E332C7" w:rsidRDefault="00493DC9">
      <w:pPr>
        <w:pStyle w:val="enf3"/>
      </w:pPr>
      <w:r>
        <w:t>Article 15  When the Prime Minister intends to rescind the certification for a person who obtained a type certification under Article 13, pa</w:t>
      </w:r>
      <w:r>
        <w:t>ragraph (1) of the Act, pursuant to the provisions of Article 15, paragraph (1) of the Act, the Prime Minister is to notify the person who obtained the type certification to that effect in writing.</w:t>
      </w:r>
    </w:p>
    <w:p w:rsidR="00E332C7" w:rsidRDefault="00E332C7"/>
    <w:p w:rsidR="00E332C7" w:rsidRDefault="00493DC9">
      <w:pPr>
        <w:pStyle w:val="ena"/>
      </w:pPr>
      <w:r>
        <w:t>(Application, etc. for Compliance Certification for Launc</w:t>
      </w:r>
      <w:r>
        <w:t>h Site)</w:t>
      </w:r>
    </w:p>
    <w:p w:rsidR="00E332C7" w:rsidRDefault="00493DC9">
      <w:pPr>
        <w:pStyle w:val="enf3"/>
      </w:pPr>
      <w:r>
        <w:t>Article 16  (1) A person who intends to obtain a compliance certification under Article 16, paragraph (1) of the Act must submit a written application using Form 13 to the Prime Minister.</w:t>
      </w:r>
    </w:p>
    <w:p w:rsidR="00E332C7" w:rsidRDefault="00493DC9">
      <w:pPr>
        <w:pStyle w:val="enf4"/>
      </w:pPr>
      <w:r>
        <w:t xml:space="preserve">(2) The following documents must be attached to the written </w:t>
      </w:r>
      <w:r>
        <w:t>application under the preceding paragraph:</w:t>
      </w:r>
    </w:p>
    <w:p w:rsidR="00E332C7" w:rsidRDefault="00493DC9">
      <w:pPr>
        <w:pStyle w:val="enf6"/>
      </w:pPr>
      <w:r>
        <w:t>(i) a document describing the technical conditions for ensuring the compliance of the launch vehicle and launch site and evidencing the compliance with the conditions; and</w:t>
      </w:r>
    </w:p>
    <w:p w:rsidR="00E332C7" w:rsidRDefault="00493DC9">
      <w:pPr>
        <w:pStyle w:val="enf6"/>
      </w:pPr>
      <w:r>
        <w:t xml:space="preserve">(ii) any other document which the </w:t>
      </w:r>
      <w:r>
        <w:t>Prime Minister determines necessary.</w:t>
      </w:r>
    </w:p>
    <w:p w:rsidR="00E332C7" w:rsidRDefault="00493DC9">
      <w:pPr>
        <w:pStyle w:val="enf4"/>
      </w:pPr>
      <w:r>
        <w:t>(3) The matters specified by Cabinet Office Order, as referred to in Article 16, paragraph (2), item (v) of the Act, are as follows:</w:t>
      </w:r>
    </w:p>
    <w:p w:rsidR="00E332C7" w:rsidRDefault="00493DC9">
      <w:pPr>
        <w:pStyle w:val="enf6"/>
      </w:pPr>
      <w:r>
        <w:t>(i) the type of the launch vehicle; and</w:t>
      </w:r>
    </w:p>
    <w:p w:rsidR="00E332C7" w:rsidRDefault="00493DC9">
      <w:pPr>
        <w:pStyle w:val="enf6"/>
      </w:pPr>
      <w:r>
        <w:t>(ii) the date of type certification for the la</w:t>
      </w:r>
      <w:r>
        <w:t>unch vehicle.</w:t>
      </w:r>
    </w:p>
    <w:p w:rsidR="00E332C7" w:rsidRDefault="00493DC9">
      <w:pPr>
        <w:pStyle w:val="enf4"/>
      </w:pPr>
      <w:r>
        <w:t>(4) When the Prime Minister grants a compliance certification under Article 16, paragraph (1) of the Act, the Prime Minister is to notify the applicant to that effect and issue a launch site certificate using Form 14.</w:t>
      </w:r>
    </w:p>
    <w:p w:rsidR="00E332C7" w:rsidRDefault="00493DC9">
      <w:pPr>
        <w:pStyle w:val="enf4"/>
      </w:pPr>
      <w:r>
        <w:t>(5) A person who obtaine</w:t>
      </w:r>
      <w:r>
        <w:t xml:space="preserve">d a compliance certification under Article 16, paragraph (1) of the Act may return the compliance certification for launch site issued pursuant to paragraph (4) of that Article to the Prime Minister. In this case, the compliance certification ceases to be </w:t>
      </w:r>
      <w:r>
        <w:t>effective.</w:t>
      </w:r>
    </w:p>
    <w:p w:rsidR="00E332C7" w:rsidRDefault="00E332C7"/>
    <w:p w:rsidR="00E332C7" w:rsidRDefault="00493DC9">
      <w:pPr>
        <w:pStyle w:val="ena"/>
      </w:pPr>
      <w:r>
        <w:t>(Application, etc. for Change of Location of Launch Site and Other Matters)</w:t>
      </w:r>
    </w:p>
    <w:p w:rsidR="00E332C7" w:rsidRDefault="00493DC9">
      <w:pPr>
        <w:pStyle w:val="enf3"/>
      </w:pPr>
      <w:r>
        <w:t xml:space="preserve">Article 17  (1) When a person who obtained a compliance certification under Article 16, paragraph (1) of the Act intends to make any changes to the matters set </w:t>
      </w:r>
      <w:r>
        <w:t>forth in item (ii) or (iv) of paragraph (2) of that Article, the person must obtain authorization on the change from the Prime Minister, by submitting a written application using Form 15 attaching the following documents:</w:t>
      </w:r>
    </w:p>
    <w:p w:rsidR="00E332C7" w:rsidRDefault="00493DC9">
      <w:pPr>
        <w:pStyle w:val="enf6"/>
      </w:pPr>
      <w:r>
        <w:t>(i) the document relating to the c</w:t>
      </w:r>
      <w:r>
        <w:t>hanged items set forth in the documents provided in item (i) of paragraph (2) of the preceding Article;</w:t>
      </w:r>
    </w:p>
    <w:p w:rsidR="00E332C7" w:rsidRDefault="00493DC9">
      <w:pPr>
        <w:pStyle w:val="enf6"/>
      </w:pPr>
      <w:r>
        <w:t>(ii) a document certifying that the launch site after the change satisfies the type-specific site safety standard provided in Article 8; and</w:t>
      </w:r>
    </w:p>
    <w:p w:rsidR="00E332C7" w:rsidRDefault="00493DC9">
      <w:pPr>
        <w:pStyle w:val="enf6"/>
      </w:pPr>
      <w:r>
        <w:t>(iii) a cop</w:t>
      </w:r>
      <w:r>
        <w:t>y of the launch site certificate under Article 16, paragraph (4) of the Act.</w:t>
      </w:r>
    </w:p>
    <w:p w:rsidR="00E332C7" w:rsidRDefault="00493DC9">
      <w:pPr>
        <w:pStyle w:val="enf4"/>
      </w:pPr>
      <w:r>
        <w:t>(2) When the Prime Minister grants the authorization to make any changes under Article 17, paragraph (1) of the Act, the Prime Minister is to notify the person who obtained the co</w:t>
      </w:r>
      <w:r>
        <w:t>mpliance certification under Article 16, paragraph (1) to that effect, order the person to return the launch site certificate under paragraph (4) of that Article pertaining to the compliance certification for the launch site and reissue a launch site certi</w:t>
      </w:r>
      <w:r>
        <w:t>ficate using Form 14.</w:t>
      </w:r>
    </w:p>
    <w:p w:rsidR="00E332C7" w:rsidRDefault="00493DC9">
      <w:pPr>
        <w:pStyle w:val="enf4"/>
      </w:pPr>
      <w:r>
        <w:t>(3) The minor changes specified by Cabinet Office Order, as referred to in the proviso to Article 17, paragraph (1) of the Act, are changes that would not result in a substantial change in the matters set forth in Article 16, paragrap</w:t>
      </w:r>
      <w:r>
        <w:t>h (2), items (ii) or (iv) of the Act.</w:t>
      </w:r>
    </w:p>
    <w:p w:rsidR="00E332C7" w:rsidRDefault="00493DC9">
      <w:pPr>
        <w:pStyle w:val="enf4"/>
      </w:pPr>
      <w:r>
        <w:t>(4) When a person who obtained a compliance certification under Article 16, paragraph (1) of the Act intends to make a notification under Article 17, paragraph (2) of the Act, the person must submit to the Prime Minist</w:t>
      </w:r>
      <w:r>
        <w:t>er a written notification using Form 16, attaching a document pertaining to the changed matters and a copy of the launch site certificate referred to in Article 16, paragraph (4) of the Act.</w:t>
      </w:r>
    </w:p>
    <w:p w:rsidR="00E332C7" w:rsidRDefault="00E332C7"/>
    <w:p w:rsidR="00E332C7" w:rsidRDefault="00493DC9">
      <w:pPr>
        <w:pStyle w:val="ena"/>
      </w:pPr>
      <w:r>
        <w:t>(Procedure for Rescission of Compliance Certification)</w:t>
      </w:r>
    </w:p>
    <w:p w:rsidR="00E332C7" w:rsidRDefault="00493DC9">
      <w:pPr>
        <w:pStyle w:val="enf3"/>
      </w:pPr>
      <w:r>
        <w:t>Article 1</w:t>
      </w:r>
      <w:r>
        <w:t>8  When the Prime Minister intends to rescind the certification for a person who obtained a compliance certification under Article 16, paragraph (1) of the Act, pursuant to the provisions of Article 18, paragraph (1) of the Act, the Prime Minister is to no</w:t>
      </w:r>
      <w:r>
        <w:t>tify the person who obtained the compliance certification to that effect in writing.</w:t>
      </w:r>
    </w:p>
    <w:p w:rsidR="00E332C7" w:rsidRDefault="00E332C7"/>
    <w:p w:rsidR="00E332C7" w:rsidRDefault="00493DC9">
      <w:pPr>
        <w:pStyle w:val="ena"/>
      </w:pPr>
      <w:r>
        <w:t>(Special Provisions on Application Procedures for Japan Aerospace Exploration Agency)</w:t>
      </w:r>
    </w:p>
    <w:p w:rsidR="00E332C7" w:rsidRDefault="00493DC9">
      <w:pPr>
        <w:pStyle w:val="enf3"/>
      </w:pPr>
      <w:r>
        <w:t>Article 19  (1) Notwithstanding the provisions of Article 13, paragraph (2) of the A</w:t>
      </w:r>
      <w:r>
        <w:t>ct, the simplified procedures for the Japan Aerospace Exploration Agency (hereinafter referred to as "JAXA") specified by Cabinet Office Order, as referred to in Article 19, paragraph (1) of the Act, are the procedures without requiring the matters set for</w:t>
      </w:r>
      <w:r>
        <w:t>th in Article 13, paragraph (2), items (ii) and (iii) of the Act and the documents set forth in Article 13, paragraph (2), items (i) through (iii) of the Act, if JAXA makes a verification by itself that its design for the launch vehicle complies with the l</w:t>
      </w:r>
      <w:r>
        <w:t>aunch vehicle safety standard provided in Article 7 and submits an application attaching the result of the verification.</w:t>
      </w:r>
    </w:p>
    <w:p w:rsidR="00E332C7" w:rsidRDefault="00493DC9">
      <w:pPr>
        <w:pStyle w:val="enf4"/>
      </w:pPr>
      <w:r>
        <w:t>(2) Notwithstanding the provisions of Article 16, paragraph (2) of the Act, the simplified procedures for JAXA specified by Cabinet Off</w:t>
      </w:r>
      <w:r>
        <w:t xml:space="preserve">ice Order, as referred to in Article 19, paragraph (2) of the Act, are the procedures without requiring the matters set forth in Article 16, paragraph (2), items (ii), (iv) and (v) and the documents set forth in Article 16, paragraph (2), items (i) of the </w:t>
      </w:r>
      <w:r>
        <w:t>Act, if JAXA made a verification by itself that the location, configuration and equipment of the launch site that it manages and operates comply with the type-specific site safety standard provided in Article 8 and submitted an application attaching the re</w:t>
      </w:r>
      <w:r>
        <w:t>sults of the verification.</w:t>
      </w:r>
    </w:p>
    <w:p w:rsidR="00E332C7" w:rsidRDefault="00E332C7"/>
    <w:p w:rsidR="00E332C7" w:rsidRDefault="00493DC9">
      <w:pPr>
        <w:pStyle w:val="ena"/>
      </w:pPr>
      <w:r>
        <w:t>(Application, etc. for License Related to Control of Spacecraft)</w:t>
      </w:r>
    </w:p>
    <w:p w:rsidR="00E332C7" w:rsidRDefault="00493DC9">
      <w:pPr>
        <w:pStyle w:val="enf3"/>
      </w:pPr>
      <w:r>
        <w:t xml:space="preserve">Article 20  (1) A person who intends to obtain the license under Article 20, paragraph (1) of the Act must submit a written application using Form 17 to the Prime </w:t>
      </w:r>
      <w:r>
        <w:t>Minister.</w:t>
      </w:r>
    </w:p>
    <w:p w:rsidR="00E332C7" w:rsidRDefault="00493DC9">
      <w:pPr>
        <w:pStyle w:val="enf4"/>
      </w:pPr>
      <w:r>
        <w:t>(2) The following documents must be attached to the written application under the preceding paragraph:</w:t>
      </w:r>
    </w:p>
    <w:p w:rsidR="00E332C7" w:rsidRDefault="00493DC9">
      <w:pPr>
        <w:pStyle w:val="enf6"/>
      </w:pPr>
      <w:r>
        <w:t>(i) a document certifying that the configuration of the spacecraft satisfies the standard provided in Article 22; and</w:t>
      </w:r>
    </w:p>
    <w:p w:rsidR="00E332C7" w:rsidRDefault="00493DC9">
      <w:pPr>
        <w:pStyle w:val="enf6"/>
      </w:pPr>
      <w:r>
        <w:t>(ii) any other document w</w:t>
      </w:r>
      <w:r>
        <w:t>hich the Prime Minister determines necessary.</w:t>
      </w:r>
    </w:p>
    <w:p w:rsidR="00E332C7" w:rsidRDefault="00493DC9">
      <w:pPr>
        <w:pStyle w:val="enf4"/>
      </w:pPr>
      <w:r>
        <w:t>(3) Matters set forth in Cabinet Office Order, as referred to in Article 20, paragraph (1) of the Act, are the following matters:</w:t>
      </w:r>
    </w:p>
    <w:p w:rsidR="00E332C7" w:rsidRDefault="00493DC9">
      <w:pPr>
        <w:pStyle w:val="enf6"/>
      </w:pPr>
      <w:r>
        <w:t xml:space="preserve">(i) Spacecraft pertaining to the control of spacecraft that has obtained a </w:t>
      </w:r>
      <w:r>
        <w:t>license under Article 20, paragraph (1) of the Act</w:t>
      </w:r>
    </w:p>
    <w:p w:rsidR="00E332C7" w:rsidRDefault="00493DC9">
      <w:pPr>
        <w:pStyle w:val="enf6"/>
      </w:pPr>
      <w:r>
        <w:t xml:space="preserve">(ii) Spacecraft pertaining to the control of spacecraft to which the provisions of Article 20, paragraph (1) of the Act do not apply pursuant to the provisions of Article 4 of the Supplementary Provisions </w:t>
      </w:r>
      <w:r>
        <w:t>to the Act</w:t>
      </w:r>
    </w:p>
    <w:p w:rsidR="00E332C7" w:rsidRDefault="00493DC9">
      <w:pPr>
        <w:pStyle w:val="enf6"/>
      </w:pPr>
      <w:r>
        <w:t>(iii) Spacecraft pertaining to the control of spacecraft to be implemented by the national government</w:t>
      </w:r>
    </w:p>
    <w:p w:rsidR="00E332C7" w:rsidRDefault="00493DC9">
      <w:pPr>
        <w:pStyle w:val="enf4"/>
      </w:pPr>
      <w:r>
        <w:t xml:space="preserve">(4) Matters set forth in Cabinet Office Order, as referred to in Article 20, paragraph (2), item (ii) of the Act, are the matters set forth in </w:t>
      </w:r>
      <w:r>
        <w:t>each item, according to the following spacecraft categories:</w:t>
      </w:r>
    </w:p>
    <w:p w:rsidR="00E332C7" w:rsidRDefault="00493DC9">
      <w:pPr>
        <w:pStyle w:val="enf6"/>
      </w:pPr>
      <w:r>
        <w:t>(i) Spacecraft under item (i) of the preceding paragraph: License number or application date of the license under Article 20, paragraph (1) of the Act</w:t>
      </w:r>
    </w:p>
    <w:p w:rsidR="00E332C7" w:rsidRDefault="00493DC9">
      <w:pPr>
        <w:pStyle w:val="enf6"/>
      </w:pPr>
      <w:r>
        <w:t>(ii) Spacecraft under item (ii) or item (iii</w:t>
      </w:r>
      <w:r>
        <w:t>) of the preceding paragraph: The spacecraft's orbit or any other information that can be used to identify the spacecraft</w:t>
      </w:r>
    </w:p>
    <w:p w:rsidR="00E332C7" w:rsidRDefault="00493DC9">
      <w:pPr>
        <w:pStyle w:val="enf4"/>
      </w:pPr>
      <w:r>
        <w:t>(5) The matters specified by Cabinet Office Order, as referred to in Article 20, paragraph (2), item (ix) of the Act, are as follows:</w:t>
      </w:r>
    </w:p>
    <w:p w:rsidR="00E332C7" w:rsidRDefault="00493DC9">
      <w:pPr>
        <w:pStyle w:val="enf6"/>
      </w:pPr>
      <w:r>
        <w:t>(i) the name of spacecraft;</w:t>
      </w:r>
    </w:p>
    <w:p w:rsidR="00E332C7" w:rsidRDefault="00493DC9">
      <w:pPr>
        <w:pStyle w:val="enf6"/>
      </w:pPr>
      <w:r>
        <w:t>(ii) if the applicant is a corporation, the names of the officers;</w:t>
      </w:r>
    </w:p>
    <w:p w:rsidR="00E332C7" w:rsidRDefault="00493DC9">
      <w:pPr>
        <w:pStyle w:val="enf6"/>
      </w:pPr>
      <w:r>
        <w:t>(iii) the names of the employees; and</w:t>
      </w:r>
    </w:p>
    <w:p w:rsidR="00E332C7" w:rsidRDefault="00493DC9">
      <w:pPr>
        <w:pStyle w:val="enf6"/>
      </w:pPr>
      <w:r>
        <w:t>(iv) a statement that the applicant does not fall under any of the items of Article 21 of the Act.</w:t>
      </w:r>
    </w:p>
    <w:p w:rsidR="00E332C7" w:rsidRDefault="00493DC9">
      <w:pPr>
        <w:pStyle w:val="enf4"/>
      </w:pPr>
      <w:r>
        <w:t>(6) When the Prime Minis</w:t>
      </w:r>
      <w:r>
        <w:t>ter grants the license under Article 20, paragraph (1) of the Act, the Prime Minister is to notify the applicant to that effect and issue a license certificate using Form 18.</w:t>
      </w:r>
    </w:p>
    <w:p w:rsidR="00E332C7" w:rsidRDefault="00493DC9">
      <w:pPr>
        <w:pStyle w:val="enf4"/>
      </w:pPr>
      <w:r>
        <w:t>(7) A spacecraft control operator may return the license certificate issued pursu</w:t>
      </w:r>
      <w:r>
        <w:t>ant to the preceding paragraph to the Prime Minister, only before the implementation of launching of the spacecraft, etc. In this case, the license ceases to be effective.</w:t>
      </w:r>
    </w:p>
    <w:p w:rsidR="00E332C7" w:rsidRDefault="00E332C7"/>
    <w:p w:rsidR="00E332C7" w:rsidRDefault="00493DC9">
      <w:pPr>
        <w:pStyle w:val="ena"/>
      </w:pPr>
      <w:r>
        <w:t xml:space="preserve">(Persons Incapable of Implementing Control of Spacecraft in Appropriate Manner Due </w:t>
      </w:r>
      <w:r>
        <w:t>to Mental or Physical Disorder)</w:t>
      </w:r>
    </w:p>
    <w:p w:rsidR="00E332C7" w:rsidRDefault="00493DC9">
      <w:pPr>
        <w:pStyle w:val="enf3"/>
      </w:pPr>
      <w:r>
        <w:t>Article 20-2  The persons specified by Cabinet Office Order, as referred to in Article 21, item (iii) of the Act, are persons incapable of appropriate recognition, decision-making and communication necessary for launching sp</w:t>
      </w:r>
      <w:r>
        <w:t>acecraft, etc. in an appropriate way due to mental disorder.</w:t>
      </w:r>
    </w:p>
    <w:p w:rsidR="00E332C7" w:rsidRDefault="00E332C7"/>
    <w:p w:rsidR="00E332C7" w:rsidRDefault="00493DC9">
      <w:pPr>
        <w:pStyle w:val="ena"/>
      </w:pPr>
      <w:r>
        <w:t>(Employees)</w:t>
      </w:r>
    </w:p>
    <w:p w:rsidR="00E332C7" w:rsidRDefault="00493DC9">
      <w:pPr>
        <w:pStyle w:val="enf3"/>
      </w:pPr>
      <w:r>
        <w:t>Article 21  The employees specified by Cabinet Office Order, as referred to in Article 21, items (iv) and (v) of the Act, are employees of the applicant having authority and responsi</w:t>
      </w:r>
      <w:r>
        <w:t>bilities for the business of the applicant relating to the control of spacecraft.</w:t>
      </w:r>
    </w:p>
    <w:p w:rsidR="00E332C7" w:rsidRDefault="00E332C7"/>
    <w:p w:rsidR="00E332C7" w:rsidRDefault="00493DC9">
      <w:pPr>
        <w:pStyle w:val="ena"/>
      </w:pPr>
      <w:r>
        <w:t>(Standard Relating to Configuration of Spacecraft)</w:t>
      </w:r>
    </w:p>
    <w:p w:rsidR="00E332C7" w:rsidRDefault="00493DC9">
      <w:pPr>
        <w:pStyle w:val="enf3"/>
      </w:pPr>
      <w:r>
        <w:t>Article 22  The standards specified by Cabinet Office Order, as referred to in Article 22, item (ii) of the Act, are as fo</w:t>
      </w:r>
      <w:r>
        <w:t>llows:</w:t>
      </w:r>
    </w:p>
    <w:p w:rsidR="00E332C7" w:rsidRDefault="00493DC9">
      <w:pPr>
        <w:pStyle w:val="enf6"/>
      </w:pPr>
      <w:r>
        <w:t>(i) that a mechanism has been implemented to prevent the dispersion of components and parts of the spacecraft (hereinafter referred to as "components, etc.");</w:t>
      </w:r>
    </w:p>
    <w:p w:rsidR="00E332C7" w:rsidRDefault="00493DC9">
      <w:pPr>
        <w:pStyle w:val="enf6"/>
      </w:pPr>
      <w:r>
        <w:t xml:space="preserve">(ii) in the case of a configuration separating the components or parts of the spacecraft, </w:t>
      </w:r>
      <w:r>
        <w:t>or a configuration docking the spacecraft with other spacecraft, etc., that a mechanism has been implemented to prevent it from causing any adverse effect on the control of other spacecraft;</w:t>
      </w:r>
    </w:p>
    <w:p w:rsidR="00E332C7" w:rsidRDefault="00493DC9">
      <w:pPr>
        <w:pStyle w:val="enf6"/>
      </w:pPr>
      <w:r>
        <w:t>(iii) that a mechanism has been implemented to prevent the break-</w:t>
      </w:r>
      <w:r>
        <w:t>up of the spacecraft in the case of detecting any anomaly in the position, attitude and condition of the spacecraft;</w:t>
      </w:r>
    </w:p>
    <w:p w:rsidR="00E332C7" w:rsidRDefault="00493DC9">
      <w:pPr>
        <w:pStyle w:val="enf6"/>
      </w:pPr>
      <w:r>
        <w:t>(iv) in the case of a spacecraft or its components, etc. which are to fall to Earth within or after the period of control of the spacecraft</w:t>
      </w:r>
      <w:r>
        <w:t>, that a mechanism has been implemented to prevent any adverse effect on the ensuring of public safety by such way as burning it in the air;</w:t>
      </w:r>
    </w:p>
    <w:p w:rsidR="00E332C7" w:rsidRDefault="00493DC9">
      <w:pPr>
        <w:pStyle w:val="enf6"/>
      </w:pPr>
      <w:r>
        <w:t>(v) in the case of a configuration retrieving a spacecraft or its components or parts which are put into orbit arou</w:t>
      </w:r>
      <w:r>
        <w:t>nd a celestial body other than the Earth or which fell to the celestial body, by guiding them to fall to Earth, that a mechanism has been implemented for the prevention of the deterioration of the environment of the Earth that may be caused by the introduc</w:t>
      </w:r>
      <w:r>
        <w:t>tion of extraterrestrial substances; and</w:t>
      </w:r>
    </w:p>
    <w:p w:rsidR="00E332C7" w:rsidRDefault="00493DC9">
      <w:pPr>
        <w:pStyle w:val="enf6"/>
      </w:pPr>
      <w:r>
        <w:t xml:space="preserve">(vi) in the case of a spacecraft or its components, etc. which are put into the orbit around a celestial body other than the Earth or which are to be guided to fall to the celestial body, that a mechanism has </w:t>
      </w:r>
      <w:r>
        <w:t>been implemented for the prevention of the harmful contamination of the celestial body.</w:t>
      </w:r>
    </w:p>
    <w:p w:rsidR="00E332C7" w:rsidRDefault="00E332C7"/>
    <w:p w:rsidR="00E332C7" w:rsidRDefault="00493DC9">
      <w:pPr>
        <w:pStyle w:val="ena"/>
      </w:pPr>
      <w:r>
        <w:t>(Measures Relating to Control of Spacecraft)</w:t>
      </w:r>
    </w:p>
    <w:p w:rsidR="00E332C7" w:rsidRDefault="00493DC9">
      <w:pPr>
        <w:pStyle w:val="enf3"/>
      </w:pPr>
      <w:r>
        <w:t>Article 23  Measures specified by Cabinet Office Order, as referred to in Article 22, item (iii) of the Act, are as follow</w:t>
      </w:r>
      <w:r>
        <w:t>s:</w:t>
      </w:r>
    </w:p>
    <w:p w:rsidR="00E332C7" w:rsidRDefault="00493DC9">
      <w:pPr>
        <w:pStyle w:val="enf6"/>
      </w:pPr>
      <w:r>
        <w:t>(i) measures to ensure that there will be no adverse effect on the control of other spacecraft when separating components or parts constituting the spacecraft or docking the spacecraft with other spacecraft, etc.;</w:t>
      </w:r>
    </w:p>
    <w:p w:rsidR="00E332C7" w:rsidRDefault="00493DC9">
      <w:pPr>
        <w:pStyle w:val="enf6"/>
      </w:pPr>
      <w:r>
        <w:t xml:space="preserve">(ii) measures to ensure that a measure </w:t>
      </w:r>
      <w:r>
        <w:t>to prevent the break-up of the spacecraft or termination measures will be taken in the case of detecting any anomaly in the position, attitude or condition of the spacecraft; and</w:t>
      </w:r>
    </w:p>
    <w:p w:rsidR="00E332C7" w:rsidRDefault="00493DC9">
      <w:pPr>
        <w:pStyle w:val="enf6"/>
      </w:pPr>
      <w:r>
        <w:t xml:space="preserve">(iii) in the case of a spacecraft capable of transferring from the orbit set </w:t>
      </w:r>
      <w:r>
        <w:t>forth in Article 20, paragraph (2), item (iii) of the Act to another orbit, measures to avoid other spacecraft, etc. if it is determined appropriate to do so when detecting the possibility of a collision with that other spacecraft, etc.</w:t>
      </w:r>
    </w:p>
    <w:p w:rsidR="00E332C7" w:rsidRDefault="00E332C7"/>
    <w:p w:rsidR="00E332C7" w:rsidRDefault="00493DC9">
      <w:pPr>
        <w:pStyle w:val="ena"/>
      </w:pPr>
      <w:r>
        <w:t>(Termination Measu</w:t>
      </w:r>
      <w:r>
        <w:t>res)</w:t>
      </w:r>
    </w:p>
    <w:p w:rsidR="00E332C7" w:rsidRDefault="00493DC9">
      <w:pPr>
        <w:pStyle w:val="enf3"/>
      </w:pPr>
      <w:r>
        <w:t>Article 24  Measures specified by Cabinet Office Order, as referred to in Article 22, item (iv)(d) of the Act, are as follows:</w:t>
      </w:r>
    </w:p>
    <w:p w:rsidR="00E332C7" w:rsidRDefault="00493DC9">
      <w:pPr>
        <w:pStyle w:val="enf6"/>
      </w:pPr>
      <w:r>
        <w:t>(i) measures to prevent an unexpected activation and explosion after the termination of control of spacecraft; and</w:t>
      </w:r>
    </w:p>
    <w:p w:rsidR="00E332C7" w:rsidRDefault="00493DC9">
      <w:pPr>
        <w:pStyle w:val="enf6"/>
      </w:pPr>
      <w:r>
        <w:t xml:space="preserve">(ii) in </w:t>
      </w:r>
      <w:r>
        <w:t>the case of a spacecraft capable of transferring from the orbit set forth in Article 20, paragraph (2), item (iii) of the Act to another orbit, measures to transfer to an orbit which would not have an adverse effect on the control of other spacecraft as pr</w:t>
      </w:r>
      <w:r>
        <w:t>acticable as possible.</w:t>
      </w:r>
    </w:p>
    <w:p w:rsidR="00E332C7" w:rsidRDefault="00E332C7"/>
    <w:p w:rsidR="00E332C7" w:rsidRDefault="00493DC9">
      <w:pPr>
        <w:pStyle w:val="ena"/>
      </w:pPr>
      <w:r>
        <w:t>(Application, etc. for Permission Related to Change)</w:t>
      </w:r>
    </w:p>
    <w:p w:rsidR="00E332C7" w:rsidRDefault="00493DC9">
      <w:pPr>
        <w:pStyle w:val="enf3"/>
      </w:pPr>
      <w:r>
        <w:t>Article 25  (1) When a spacecraft control operator intends to make any changes to the matters set forth in Article 20, paragraph (2), items (iv) through (viii) of the Act, the spa</w:t>
      </w:r>
      <w:r>
        <w:t>cecraft control operator must submit to the Prime Minister a written application using Form 19 attaching a document relating to the changed items contained in the documents set forth in Article 20, paragraph (2), item (i) and a copy of the license certific</w:t>
      </w:r>
      <w:r>
        <w:t>ate under paragraph (6) of that Article pertaining to the control of the spacecraft and obtain permission from the Prime Minister.</w:t>
      </w:r>
    </w:p>
    <w:p w:rsidR="00E332C7" w:rsidRDefault="00493DC9">
      <w:pPr>
        <w:pStyle w:val="enf4"/>
      </w:pPr>
      <w:r>
        <w:t>(2) When the Prime Minister grants the permission to make any changes under Article 23, paragraph (1) of the Act, the Prime M</w:t>
      </w:r>
      <w:r>
        <w:t>inister is to notify the spacecraft control operator to that effect, order the spacecraft control operator to return the license certificate under Article 20, paragraph (6) pertaining to the control of the spacecraft and reissue the license certificate usi</w:t>
      </w:r>
      <w:r>
        <w:t>ng Form 18.</w:t>
      </w:r>
    </w:p>
    <w:p w:rsidR="00E332C7" w:rsidRDefault="00493DC9">
      <w:pPr>
        <w:pStyle w:val="enf4"/>
      </w:pPr>
      <w:r>
        <w:t>(3) The minor changes specified by Cabinet Office Order, as referred to in the proviso to Article 23, paragraph (1) of the Act, are changes that would not result in a substantial change in the matters set forth in Article 20, paragraph (2), ite</w:t>
      </w:r>
      <w:r>
        <w:t>ms (iv) through (viii) of the Act.</w:t>
      </w:r>
    </w:p>
    <w:p w:rsidR="00E332C7" w:rsidRDefault="00493DC9">
      <w:pPr>
        <w:pStyle w:val="enf4"/>
      </w:pPr>
      <w:r>
        <w:t>(4) When a spacecraft control operator intends to make a notification under Article 23, paragraph (2) of the Act, the spacecraft control operator must submit to the Prime Minister a written notification using Form 20, att</w:t>
      </w:r>
      <w:r>
        <w:t>aching a document pertaining to the changed matters and a copy of the license certificate under Article 20, paragraph (6) pertaining to the control of the spacecraft.</w:t>
      </w:r>
    </w:p>
    <w:p w:rsidR="00E332C7" w:rsidRDefault="00E332C7"/>
    <w:p w:rsidR="00E332C7" w:rsidRDefault="00493DC9">
      <w:pPr>
        <w:pStyle w:val="ena"/>
      </w:pPr>
      <w:r>
        <w:t>(Notification in Case of Accident)</w:t>
      </w:r>
    </w:p>
    <w:p w:rsidR="00E332C7" w:rsidRDefault="00493DC9">
      <w:pPr>
        <w:pStyle w:val="enf3"/>
      </w:pPr>
      <w:r>
        <w:t>Article 26  (1) When a spacecraft control operator in</w:t>
      </w:r>
      <w:r>
        <w:t>tends to make a notification under Article 25 of the Act, the spacecraft control operator must submit a written notification using Form 21 to the Prime Minister.</w:t>
      </w:r>
    </w:p>
    <w:p w:rsidR="00E332C7" w:rsidRDefault="00493DC9">
      <w:pPr>
        <w:pStyle w:val="enf4"/>
      </w:pPr>
      <w:r>
        <w:t>(2) The matters specified by Cabinet Office Order, as referred to in Article 25 of the Act, ar</w:t>
      </w:r>
      <w:r>
        <w:t>e as follows:</w:t>
      </w:r>
    </w:p>
    <w:p w:rsidR="00E332C7" w:rsidRDefault="00493DC9">
      <w:pPr>
        <w:pStyle w:val="enf6"/>
      </w:pPr>
      <w:r>
        <w:t>(i) the date, time and location of the accident; and</w:t>
      </w:r>
    </w:p>
    <w:p w:rsidR="00E332C7" w:rsidRDefault="00493DC9">
      <w:pPr>
        <w:pStyle w:val="enf6"/>
      </w:pPr>
      <w:r>
        <w:t>(ii) the orbit of the spacecraft after the occurrence of the accident.</w:t>
      </w:r>
    </w:p>
    <w:p w:rsidR="00E332C7" w:rsidRDefault="00E332C7"/>
    <w:p w:rsidR="00E332C7" w:rsidRDefault="00493DC9">
      <w:pPr>
        <w:pStyle w:val="ena"/>
      </w:pPr>
      <w:r>
        <w:t>(Application, etc. for Authorization on Succession of Status of Spacecraft Control Operator)</w:t>
      </w:r>
    </w:p>
    <w:p w:rsidR="00E332C7" w:rsidRDefault="00493DC9">
      <w:pPr>
        <w:pStyle w:val="enf3"/>
      </w:pPr>
      <w:r>
        <w:t>Article 27  (1) A person</w:t>
      </w:r>
      <w:r>
        <w:t xml:space="preserve"> who intends to obtain authorization under Article 26, paragraph (1) of the Act must submit to the Prime Minister a written application using Form 22, attaching the following documents and a copy of the license certificate under Article 20, paragraph (6) p</w:t>
      </w:r>
      <w:r>
        <w:t>ertaining to the transferrer.</w:t>
      </w:r>
    </w:p>
    <w:p w:rsidR="00E332C7" w:rsidRDefault="00493DC9">
      <w:pPr>
        <w:pStyle w:val="enf6"/>
      </w:pPr>
      <w:r>
        <w:t>(i) a document evidencing that the transferee has a sufficient ability to execute the control plan;</w:t>
      </w:r>
    </w:p>
    <w:p w:rsidR="00E332C7" w:rsidRDefault="00493DC9">
      <w:pPr>
        <w:pStyle w:val="enf6"/>
      </w:pPr>
      <w:r>
        <w:t>(ii) a copy of the contract for the transfer and acquisition; and</w:t>
      </w:r>
    </w:p>
    <w:p w:rsidR="00E332C7" w:rsidRDefault="00493DC9">
      <w:pPr>
        <w:pStyle w:val="enf6"/>
      </w:pPr>
      <w:r>
        <w:t xml:space="preserve">(iii) if the transferrer or the transferee is a </w:t>
      </w:r>
      <w:r>
        <w:t>corporation, the minutes of resolution of a general meeting of shareholders or general meeting of members or a written consent of members with unlimited liability or all members on the transfer or acquisition, or a document evidencing the decision on the t</w:t>
      </w:r>
      <w:r>
        <w:t>ransfer or acquisition.</w:t>
      </w:r>
    </w:p>
    <w:p w:rsidR="00E332C7" w:rsidRDefault="00493DC9">
      <w:pPr>
        <w:pStyle w:val="enf4"/>
      </w:pPr>
      <w:r>
        <w:t>(2) When a spacecraft control operator intends to make a notification under Article 26, paragraph (2) of the Act, the spacecraft control operator must submit to the Prime Minister a written notification using Form 23, attaching a do</w:t>
      </w:r>
      <w:r>
        <w:t>cument set forth in the items of the preceding paragraph and a copy of the license certificate under Article 20, paragraph (6) pertaining to the transferrer.</w:t>
      </w:r>
    </w:p>
    <w:p w:rsidR="00E332C7" w:rsidRDefault="00493DC9">
      <w:pPr>
        <w:pStyle w:val="enf4"/>
      </w:pPr>
      <w:r>
        <w:t>(3) A person who intends to obtain authorization under Article 26, paragraph (3) of the Act must s</w:t>
      </w:r>
      <w:r>
        <w:t>ubmit to the Prime Minister a written application using Form 24, attaching the following documents and a copy of the license certificate under Article 20, paragraph (6) for the corporation whose business was succeeded to.</w:t>
      </w:r>
    </w:p>
    <w:p w:rsidR="00E332C7" w:rsidRDefault="00493DC9">
      <w:pPr>
        <w:pStyle w:val="enf6"/>
      </w:pPr>
      <w:r>
        <w:t xml:space="preserve">(i) a document stating the method </w:t>
      </w:r>
      <w:r>
        <w:t>and conditions of the merger;</w:t>
      </w:r>
    </w:p>
    <w:p w:rsidR="00E332C7" w:rsidRDefault="00493DC9">
      <w:pPr>
        <w:pStyle w:val="enf6"/>
      </w:pPr>
      <w:r>
        <w:t>(ii) a document evidencing that the corporation surviving the merger or corporation to be incorporated in the merger has a sufficient ability to execute the control plan;</w:t>
      </w:r>
    </w:p>
    <w:p w:rsidR="00E332C7" w:rsidRDefault="00493DC9">
      <w:pPr>
        <w:pStyle w:val="enf6"/>
      </w:pPr>
      <w:r>
        <w:t>(iii) a copy of the merger contract and a statement exp</w:t>
      </w:r>
      <w:r>
        <w:t>laining the merger ratio; and</w:t>
      </w:r>
    </w:p>
    <w:p w:rsidR="00E332C7" w:rsidRDefault="00493DC9">
      <w:pPr>
        <w:pStyle w:val="enf6"/>
      </w:pPr>
      <w:r>
        <w:t xml:space="preserve">(iv) the minutes of resolution of a general meeting of shareholders or general meeting of members or a written consent of members with unlimited liability or all members on the merger, or a document certifying the decision on </w:t>
      </w:r>
      <w:r>
        <w:t>the merger.</w:t>
      </w:r>
    </w:p>
    <w:p w:rsidR="00E332C7" w:rsidRDefault="00493DC9">
      <w:pPr>
        <w:pStyle w:val="enf4"/>
      </w:pPr>
      <w:r>
        <w:t>(4) A person who intends to obtain authorization under Article 26, paragraph (4) of the Act must submit to the Prime Minister a written application using Form 25, attaching the following documents and a copy of the license certificate under Art</w:t>
      </w:r>
      <w:r>
        <w:t>icle 20, paragraph (6) for the corporation whose business was succeeded to:</w:t>
      </w:r>
    </w:p>
    <w:p w:rsidR="00E332C7" w:rsidRDefault="00493DC9">
      <w:pPr>
        <w:pStyle w:val="enf6"/>
      </w:pPr>
      <w:r>
        <w:t>(i) a document stating the method and conditions of the corporate split;</w:t>
      </w:r>
    </w:p>
    <w:p w:rsidR="00E332C7" w:rsidRDefault="00493DC9">
      <w:pPr>
        <w:pStyle w:val="enf6"/>
      </w:pPr>
      <w:r>
        <w:t>(ii) a document evidencing that the corporation succeeding to the business relating to the control of space</w:t>
      </w:r>
      <w:r>
        <w:t>craft by the corporate split has a sufficient ability to execute the control plan;</w:t>
      </w:r>
    </w:p>
    <w:p w:rsidR="00E332C7" w:rsidRDefault="00493DC9">
      <w:pPr>
        <w:pStyle w:val="enf6"/>
      </w:pPr>
      <w:r>
        <w:t>(iii) a copy of a corporate split contract (for the incorporation-type corporate split, a corporate split plan) and a statement explaining the split ratio; and</w:t>
      </w:r>
    </w:p>
    <w:p w:rsidR="00E332C7" w:rsidRDefault="00493DC9">
      <w:pPr>
        <w:pStyle w:val="enf6"/>
      </w:pPr>
      <w:r>
        <w:t>(iv) the minu</w:t>
      </w:r>
      <w:r>
        <w:t>tes of resolution of a general meeting of shareholders or general meeting of members or a written consent of members with unlimited liability or all members on the corporate split, or a document evidencing the decision on the corporate split.</w:t>
      </w:r>
    </w:p>
    <w:p w:rsidR="00E332C7" w:rsidRDefault="00493DC9">
      <w:pPr>
        <w:pStyle w:val="enf4"/>
      </w:pPr>
      <w:r>
        <w:t xml:space="preserve">(5) When the </w:t>
      </w:r>
      <w:r>
        <w:t>Prime Minister grants authorization under Article 26, paragraph (1), (3) or (4) of the Act, the Prime Minister is to notify the applicant to that effect in writing.</w:t>
      </w:r>
    </w:p>
    <w:p w:rsidR="00E332C7" w:rsidRDefault="00E332C7"/>
    <w:p w:rsidR="00E332C7" w:rsidRDefault="00493DC9">
      <w:pPr>
        <w:pStyle w:val="ena"/>
      </w:pPr>
      <w:r>
        <w:t>(Notification of Death)</w:t>
      </w:r>
    </w:p>
    <w:p w:rsidR="00E332C7" w:rsidRDefault="00493DC9">
      <w:pPr>
        <w:pStyle w:val="enf3"/>
      </w:pPr>
      <w:r>
        <w:t>Article 28  When an heir makes a notification under Article 27, pa</w:t>
      </w:r>
      <w:r>
        <w:t>ragraph (1) of the Act, the heir must submit a written notification using Form 26 to the Prime Minister.</w:t>
      </w:r>
    </w:p>
    <w:p w:rsidR="00E332C7" w:rsidRDefault="00E332C7"/>
    <w:p w:rsidR="00E332C7" w:rsidRDefault="00493DC9">
      <w:pPr>
        <w:pStyle w:val="ena"/>
      </w:pPr>
      <w:r>
        <w:t>(Notification of Termination Measures)</w:t>
      </w:r>
    </w:p>
    <w:p w:rsidR="00E332C7" w:rsidRDefault="00493DC9">
      <w:pPr>
        <w:pStyle w:val="enf3"/>
      </w:pPr>
      <w:r>
        <w:t>Article 29  When a spacecraft control operator makes a notification under Article 28, paragraph (1) of the Act,</w:t>
      </w:r>
      <w:r>
        <w:t xml:space="preserve"> the spacecraft control operator must submit a written notification using Form 27 to the Prime Minister.</w:t>
      </w:r>
    </w:p>
    <w:p w:rsidR="00E332C7" w:rsidRDefault="00E332C7"/>
    <w:p w:rsidR="00E332C7" w:rsidRDefault="00493DC9">
      <w:pPr>
        <w:pStyle w:val="ena"/>
      </w:pPr>
      <w:r>
        <w:t>(Notification of Dissolution)</w:t>
      </w:r>
    </w:p>
    <w:p w:rsidR="00E332C7" w:rsidRDefault="00493DC9">
      <w:pPr>
        <w:pStyle w:val="enf3"/>
      </w:pPr>
      <w:r>
        <w:t>Article 30  When a liquidator or bankruptcy trustee makes a notification under Article 29, paragraph (1) of the Act, the</w:t>
      </w:r>
      <w:r>
        <w:t xml:space="preserve"> liquidator or bankruptcy trustee must submit a written notification using Form 28 to the Prime Minister.</w:t>
      </w:r>
    </w:p>
    <w:p w:rsidR="00E332C7" w:rsidRDefault="00E332C7"/>
    <w:p w:rsidR="00E332C7" w:rsidRDefault="00493DC9">
      <w:pPr>
        <w:pStyle w:val="ena"/>
      </w:pPr>
      <w:r>
        <w:t>(Procedure for Rescission of License)</w:t>
      </w:r>
    </w:p>
    <w:p w:rsidR="00E332C7" w:rsidRDefault="00493DC9">
      <w:pPr>
        <w:pStyle w:val="enf3"/>
      </w:pPr>
      <w:r>
        <w:t>Article 31  When the Prime Minister rescinds the license under Article 20, paragraph (1) of the Act pursuant to</w:t>
      </w:r>
      <w:r>
        <w:t xml:space="preserve"> the provisions of Article 30, paragraph (1) of the Act, the Prime Minister is to notify the spacecraft control operator to that effect in writing and order the return of a license certificate under Article 20, paragraph (6) pertaining to the control of th</w:t>
      </w:r>
      <w:r>
        <w:t>e spacecraft.</w:t>
      </w:r>
    </w:p>
    <w:p w:rsidR="00E332C7" w:rsidRDefault="00E332C7"/>
    <w:p w:rsidR="00E332C7" w:rsidRDefault="00493DC9">
      <w:pPr>
        <w:pStyle w:val="ena"/>
      </w:pPr>
      <w:r>
        <w:t>(Identification Card of Person Who Conducts On-site Inspection)</w:t>
      </w:r>
    </w:p>
    <w:p w:rsidR="00E332C7" w:rsidRDefault="00493DC9">
      <w:pPr>
        <w:pStyle w:val="enf3"/>
      </w:pPr>
      <w:r>
        <w:t>Article 32  The form of an identification card of the official under Article 31, paragraph (2) of the Act is to comply with Form 29.</w:t>
      </w:r>
    </w:p>
    <w:p w:rsidR="00E332C7" w:rsidRDefault="00E332C7"/>
    <w:p w:rsidR="00E332C7" w:rsidRDefault="00493DC9">
      <w:pPr>
        <w:pStyle w:val="ena"/>
      </w:pPr>
      <w:r>
        <w:t xml:space="preserve">(Upper Limit of Contract Amount </w:t>
      </w:r>
      <w:r>
        <w:t>Related to Launch Vehicle Fall Damage Liability Indemnification Contract)</w:t>
      </w:r>
    </w:p>
    <w:p w:rsidR="00E332C7" w:rsidRDefault="00493DC9">
      <w:pPr>
        <w:pStyle w:val="enf3"/>
      </w:pPr>
      <w:r>
        <w:t>Article 32-2  The amount specified by Cabinet Office Order, as referred to in Article 40, paragraph (2) of the Act, is 350 billion yen.</w:t>
      </w:r>
    </w:p>
    <w:p w:rsidR="00E332C7" w:rsidRDefault="00E332C7"/>
    <w:p w:rsidR="00E332C7" w:rsidRDefault="00493DC9">
      <w:pPr>
        <w:pStyle w:val="ena"/>
      </w:pPr>
      <w:r>
        <w:t>(Scope of Entrustment of Business)</w:t>
      </w:r>
    </w:p>
    <w:p w:rsidR="00E332C7" w:rsidRDefault="00493DC9">
      <w:pPr>
        <w:pStyle w:val="enf3"/>
      </w:pPr>
      <w:r>
        <w:t>Article 33</w:t>
      </w:r>
      <w:r>
        <w:t xml:space="preserve">  The businesses specified by Cabinet Office Order, as referred to in Article 2, paragraph (1), item (iii) of the Order for Enforcement of the Act on Launching of Spacecraft, etc. and Control of Spacecraft are as follows:</w:t>
      </w:r>
    </w:p>
    <w:p w:rsidR="00E332C7" w:rsidRDefault="00493DC9">
      <w:pPr>
        <w:pStyle w:val="enf6"/>
      </w:pPr>
      <w:r>
        <w:t xml:space="preserve">(i) confirmation of and giving an </w:t>
      </w:r>
      <w:r>
        <w:t>instruction for the revision of documents relating to a claim for indemnification payment;</w:t>
      </w:r>
    </w:p>
    <w:p w:rsidR="00E332C7" w:rsidRDefault="00493DC9">
      <w:pPr>
        <w:pStyle w:val="enf6"/>
      </w:pPr>
      <w:r>
        <w:t>(ii) calculation of the amount of indemnification payment;</w:t>
      </w:r>
    </w:p>
    <w:p w:rsidR="00E332C7" w:rsidRDefault="00493DC9">
      <w:pPr>
        <w:pStyle w:val="enf6"/>
      </w:pPr>
      <w:r>
        <w:t>(iii) remittance of indemnification payment to be paid; and</w:t>
      </w:r>
    </w:p>
    <w:p w:rsidR="00E332C7" w:rsidRDefault="00493DC9">
      <w:pPr>
        <w:pStyle w:val="enf6"/>
      </w:pPr>
      <w:r>
        <w:t>(iv) beyond what are set forth in the precedin</w:t>
      </w:r>
      <w:r>
        <w:t>g items, minor business necessary for indemnification payment.</w:t>
      </w:r>
    </w:p>
    <w:p w:rsidR="00E332C7" w:rsidRDefault="00E332C7"/>
    <w:p w:rsidR="00E332C7" w:rsidRDefault="00493DC9">
      <w:pPr>
        <w:pStyle w:val="ena"/>
      </w:pPr>
      <w:r>
        <w:t>(Content of Public Notice)</w:t>
      </w:r>
    </w:p>
    <w:p w:rsidR="00E332C7" w:rsidRDefault="00493DC9">
      <w:pPr>
        <w:pStyle w:val="enf3"/>
      </w:pPr>
      <w:r>
        <w:t>Article 34  The matters specified by Cabinet Office Order, as referred to in Article 48, paragraph (2) of the Act, are as follows:</w:t>
      </w:r>
    </w:p>
    <w:p w:rsidR="00E332C7" w:rsidRDefault="00493DC9">
      <w:pPr>
        <w:pStyle w:val="enf6"/>
      </w:pPr>
      <w:r>
        <w:t>(i) the date of commencement of th</w:t>
      </w:r>
      <w:r>
        <w:t>e entrustment of business; and</w:t>
      </w:r>
    </w:p>
    <w:p w:rsidR="00E332C7" w:rsidRDefault="00493DC9">
      <w:pPr>
        <w:pStyle w:val="enf6"/>
      </w:pPr>
      <w:r>
        <w:t>(ii) the details of the entrusted businesses.</w:t>
      </w:r>
    </w:p>
    <w:p w:rsidR="00E332C7" w:rsidRDefault="00E332C7"/>
    <w:p w:rsidR="00E332C7" w:rsidRDefault="00493DC9">
      <w:pPr>
        <w:pStyle w:val="ena"/>
      </w:pPr>
      <w:r>
        <w:t>(Securities That May be Deposited with Official Depository)</w:t>
      </w:r>
    </w:p>
    <w:p w:rsidR="00E332C7" w:rsidRDefault="00493DC9">
      <w:pPr>
        <w:pStyle w:val="enf3"/>
      </w:pPr>
      <w:r>
        <w:t xml:space="preserve">Article 35  The securities specified by Cabinet Office Order, as referred to in Article 49 of the Act, are as </w:t>
      </w:r>
      <w:r>
        <w:t>follows:</w:t>
      </w:r>
    </w:p>
    <w:p w:rsidR="00E332C7" w:rsidRDefault="00493DC9">
      <w:pPr>
        <w:pStyle w:val="enf6"/>
      </w:pPr>
      <w:r>
        <w:t>(i) Japanese Government Bonds (including book-entry transfer National Government Bonds);</w:t>
      </w:r>
    </w:p>
    <w:p w:rsidR="00E332C7" w:rsidRDefault="00493DC9">
      <w:pPr>
        <w:pStyle w:val="enf6"/>
      </w:pPr>
      <w:r>
        <w:t>(ii) local government bond certificates;</w:t>
      </w:r>
    </w:p>
    <w:p w:rsidR="00E332C7" w:rsidRDefault="00493DC9">
      <w:pPr>
        <w:pStyle w:val="enf6"/>
      </w:pPr>
      <w:r>
        <w:t>(iii) government guaranteed bonds certificates (meaning bond certificates for which the government guarantees the obl</w:t>
      </w:r>
      <w:r>
        <w:t>igations pertaining to the bond certificates);</w:t>
      </w:r>
    </w:p>
    <w:p w:rsidR="00E332C7" w:rsidRDefault="00493DC9">
      <w:pPr>
        <w:pStyle w:val="enf6"/>
      </w:pPr>
      <w:r>
        <w:t>(iv) bond certificates issued by a corporation pursuant to special Acts (excluding those set forth in the preceding item); and</w:t>
      </w:r>
    </w:p>
    <w:p w:rsidR="00E332C7" w:rsidRDefault="00493DC9">
      <w:pPr>
        <w:pStyle w:val="enf6"/>
      </w:pPr>
      <w:r>
        <w:t>(v) secured bond certificates under the Secured Bond Trust Act (Act No. 52 of 1905</w:t>
      </w:r>
      <w:r>
        <w:t>) and corporate bonds for which the right to receive preferred repayment is guaranteed under laws and regulations (excluding bond certificates set forth in the preceding two items, the company's own corporate bond certificates, and corporate bond certifica</w:t>
      </w:r>
      <w:r>
        <w:t>tes issued by a company that received an order commencing special liquidation under the Companies Act (Act No. 86 of 2005) and for which a ruling on conclusion of special liquidation has not become final and binding, a company that received an order commen</w:t>
      </w:r>
      <w:r>
        <w:t>cing bankruptcy proceedings under the Bankruptcy Act (Act No. 75 of 2004) and for which an order of termination of bankruptcy proceedings or an order of discontinuance of bankruptcy proceedings has not become final and binding, a company that received an o</w:t>
      </w:r>
      <w:r>
        <w:t>rder commencing rehabilitation proceedings under the Civil Rehabilitation Act (Act No. 225 of 1999) and for which an order of termination of rehabilitation proceedings or an order of discontinuance of rehabilitation proceedings has not become final and bin</w:t>
      </w:r>
      <w:r>
        <w:t>ding, or a company that received an order commencing corporate reorganization proceedings under the Corporate Reorganization Act (Act No. 154 of 2002) and for which an order of termination of reorganization proceedings or an order of discontinuance of reor</w:t>
      </w:r>
      <w:r>
        <w:t>ganization proceedings has not become final and binding).</w:t>
      </w:r>
    </w:p>
    <w:p w:rsidR="00E332C7" w:rsidRDefault="00E332C7"/>
    <w:p w:rsidR="00E332C7" w:rsidRDefault="00493DC9">
      <w:pPr>
        <w:pStyle w:val="ena"/>
      </w:pPr>
      <w:r>
        <w:t>(Application for Recovery of Deposited Properties)</w:t>
      </w:r>
    </w:p>
    <w:p w:rsidR="00E332C7" w:rsidRDefault="00493DC9">
      <w:pPr>
        <w:pStyle w:val="enf3"/>
      </w:pPr>
      <w:r>
        <w:t>Article 36  (1) When a launch operator intends to obtain approval under Article 51 of the Act, the launch operator must submit a written notificat</w:t>
      </w:r>
      <w:r>
        <w:t>ion using Form 30 to the Prime Minister, attaching documents certifying that it satisfies any of the items of that Article.</w:t>
      </w:r>
    </w:p>
    <w:p w:rsidR="00E332C7" w:rsidRDefault="00493DC9">
      <w:pPr>
        <w:pStyle w:val="enf4"/>
      </w:pPr>
      <w:r>
        <w:t>(2) The following matters must be stated in the written application under the preceding paragraph:</w:t>
      </w:r>
    </w:p>
    <w:p w:rsidR="00E332C7" w:rsidRDefault="00493DC9">
      <w:pPr>
        <w:pStyle w:val="enf6"/>
      </w:pPr>
      <w:r>
        <w:t xml:space="preserve">(i) if the deposited </w:t>
      </w:r>
      <w:r>
        <w:t>property currently existing in relation to the launching of the spacecraft, etc. is cash, the amount thereof; if it consists of deposited book-entry transfer Japanese Government Bonds, their issues and amounts; if it consists of securities other than book-</w:t>
      </w:r>
      <w:r>
        <w:t>entry transfer bonds, their names, total face value, face value, codes representing the number of issues, serial number, number of certificates, and coupons; and</w:t>
      </w:r>
    </w:p>
    <w:p w:rsidR="00E332C7" w:rsidRDefault="00493DC9">
      <w:pPr>
        <w:pStyle w:val="enf6"/>
      </w:pPr>
      <w:r>
        <w:t xml:space="preserve">(ii) if the deposited property to be recovered is cash, the amount thereof; if it consists of </w:t>
      </w:r>
      <w:r>
        <w:t xml:space="preserve">deposited book-entry transfer Japanese Government Bonds, their issues and amounts; if it consists of securities other than book-entry transfer bonds, their names, total face value, face value, codes representing the number of issues, serial number, number </w:t>
      </w:r>
      <w:r>
        <w:t>of certificates, and coupons.</w:t>
      </w:r>
    </w:p>
    <w:p w:rsidR="00E332C7" w:rsidRDefault="00E332C7"/>
    <w:p w:rsidR="00E332C7" w:rsidRDefault="00493DC9">
      <w:pPr>
        <w:pStyle w:val="ena"/>
      </w:pPr>
      <w:r>
        <w:t>(Terms of Documents, etc.)</w:t>
      </w:r>
    </w:p>
    <w:p w:rsidR="00E332C7" w:rsidRDefault="00493DC9">
      <w:pPr>
        <w:pStyle w:val="enf3"/>
      </w:pPr>
      <w:r>
        <w:t>Article 37  (1) Written applications and written notifications as provided in this Cabinet Office Order must be prepared in Japanese; provided, however, that addresses, names and contact information</w:t>
      </w:r>
      <w:r>
        <w:t xml:space="preserve"> may be written in a foreign language.</w:t>
      </w:r>
    </w:p>
    <w:p w:rsidR="00E332C7" w:rsidRDefault="00493DC9">
      <w:pPr>
        <w:pStyle w:val="enf4"/>
      </w:pPr>
      <w:r>
        <w:t>(2) Documents to be attached to written applications and written notifications as provided in this Cabinet Office Order must be prepared in Japanese or English; provided, however, that Japanese translations must be su</w:t>
      </w:r>
      <w:r>
        <w:t>bmitted for any documents written in English.</w:t>
      </w:r>
    </w:p>
    <w:p w:rsidR="00E332C7" w:rsidRDefault="00493DC9">
      <w:pPr>
        <w:pStyle w:val="enf4"/>
      </w:pPr>
      <w:r>
        <w:t>(3) If a person is unable to submit the documents under the preceding paragraph in a language provided in that paragraph due to special circumstances, notwithstanding the provisions of that paragraph, the perso</w:t>
      </w:r>
      <w:r>
        <w:t>n may submit the document together with its Japanese translations.</w:t>
      </w:r>
    </w:p>
    <w:p w:rsidR="00E332C7" w:rsidRDefault="00E332C7"/>
    <w:p w:rsidR="00E332C7" w:rsidRDefault="00493DC9">
      <w:pPr>
        <w:pStyle w:val="en2"/>
      </w:pPr>
      <w:r>
        <w:t>Supplementary Provisions</w:t>
      </w:r>
    </w:p>
    <w:p w:rsidR="00E332C7" w:rsidRDefault="00E332C7"/>
    <w:p w:rsidR="00E332C7" w:rsidRDefault="00493DC9">
      <w:pPr>
        <w:pStyle w:val="ena"/>
      </w:pPr>
      <w:r>
        <w:t>(Effective Date)</w:t>
      </w:r>
    </w:p>
    <w:p w:rsidR="00E332C7" w:rsidRDefault="00493DC9">
      <w:pPr>
        <w:pStyle w:val="enf3"/>
      </w:pPr>
      <w:r>
        <w:t>Article 1  This Cabinet Office Order takes effect from the date on which the Act comes into effect; provided, however, that the provisions of Art</w:t>
      </w:r>
      <w:r>
        <w:t>icle 5, paragraphs (1) through (3), Article 13, paragraphs (1) through (3), Article 16, paragraphs (1) through (3), Article 19 and Article 20, paragraphs (1) through (3) take effect from the date on which the provisions set forth in Article 1, item (ii) of</w:t>
      </w:r>
      <w:r>
        <w:t xml:space="preserve"> the Supplementary Provisions to the Act come into effect.</w:t>
      </w:r>
    </w:p>
    <w:p w:rsidR="00E332C7" w:rsidRDefault="00E332C7"/>
    <w:p w:rsidR="00E332C7" w:rsidRDefault="00493DC9">
      <w:pPr>
        <w:pStyle w:val="ena"/>
      </w:pPr>
      <w:r>
        <w:t>(Preparatory Actions)</w:t>
      </w:r>
    </w:p>
    <w:p w:rsidR="00E332C7" w:rsidRDefault="00493DC9">
      <w:pPr>
        <w:pStyle w:val="enf3"/>
      </w:pPr>
      <w:r>
        <w:t xml:space="preserve">Article 2  Even before this Cabinet Office Order takes effect, a person who intends to obtain permission, license or authorization provided in Article 2 of the Supplementary </w:t>
      </w:r>
      <w:r>
        <w:t>Provisions to the Act may make the application in accordance with the provisions of Article 5, paragraphs (1) through (3), Article 13, paragraphs (1) through (3), Article 16, paragraphs (1) through (3), Article 19 and Article 20, paragraphs (1) through (3)</w:t>
      </w:r>
      <w:r>
        <w:t>.</w:t>
      </w:r>
    </w:p>
    <w:sectPr w:rsidR="00E332C7" w:rsidSect="00E332C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32C7" w:rsidRDefault="00E332C7" w:rsidP="00E332C7">
      <w:r>
        <w:separator/>
      </w:r>
    </w:p>
  </w:endnote>
  <w:endnote w:type="continuationSeparator" w:id="0">
    <w:p w:rsidR="00E332C7" w:rsidRDefault="00E332C7" w:rsidP="00E3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32C7" w:rsidRDefault="00E332C7">
    <w:pPr>
      <w:pStyle w:val="a3"/>
    </w:pPr>
    <w:r>
      <w:fldChar w:fldCharType="begin"/>
    </w:r>
    <w:r>
      <w:instrText xml:space="preserve"> PAGE  \* MERGEFORMAT </w:instrText>
    </w:r>
    <w:r>
      <w:fldChar w:fldCharType="separate"/>
    </w:r>
    <w:r w:rsidR="00493DC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32C7" w:rsidRDefault="00E332C7" w:rsidP="00E332C7">
      <w:r>
        <w:separator/>
      </w:r>
    </w:p>
  </w:footnote>
  <w:footnote w:type="continuationSeparator" w:id="0">
    <w:p w:rsidR="00E332C7" w:rsidRDefault="00E332C7" w:rsidP="00E33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7F00"/>
    <w:multiLevelType w:val="multilevel"/>
    <w:tmpl w:val="CB7830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324DC5"/>
    <w:multiLevelType w:val="multilevel"/>
    <w:tmpl w:val="76A407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9069D3"/>
    <w:multiLevelType w:val="multilevel"/>
    <w:tmpl w:val="06DEBE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25176C"/>
    <w:multiLevelType w:val="multilevel"/>
    <w:tmpl w:val="9BC43C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0C3894"/>
    <w:multiLevelType w:val="multilevel"/>
    <w:tmpl w:val="7CBE2A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E35F6F"/>
    <w:multiLevelType w:val="multilevel"/>
    <w:tmpl w:val="C8D2CC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446F06"/>
    <w:multiLevelType w:val="multilevel"/>
    <w:tmpl w:val="1422E2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D977BBA"/>
    <w:multiLevelType w:val="multilevel"/>
    <w:tmpl w:val="BAE682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E57462C"/>
    <w:multiLevelType w:val="multilevel"/>
    <w:tmpl w:val="8B9659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F41CCC"/>
    <w:multiLevelType w:val="multilevel"/>
    <w:tmpl w:val="FDB82A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635CDB"/>
    <w:multiLevelType w:val="multilevel"/>
    <w:tmpl w:val="0DB2AB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107502"/>
    <w:multiLevelType w:val="multilevel"/>
    <w:tmpl w:val="4104AF1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2E523D"/>
    <w:multiLevelType w:val="multilevel"/>
    <w:tmpl w:val="5FB06E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86228566">
    <w:abstractNumId w:val="7"/>
  </w:num>
  <w:num w:numId="2" w16cid:durableId="747850339">
    <w:abstractNumId w:val="3"/>
  </w:num>
  <w:num w:numId="3" w16cid:durableId="315569845">
    <w:abstractNumId w:val="8"/>
  </w:num>
  <w:num w:numId="4" w16cid:durableId="1088379492">
    <w:abstractNumId w:val="4"/>
  </w:num>
  <w:num w:numId="5" w16cid:durableId="1991668499">
    <w:abstractNumId w:val="9"/>
  </w:num>
  <w:num w:numId="6" w16cid:durableId="120347210">
    <w:abstractNumId w:val="10"/>
  </w:num>
  <w:num w:numId="7" w16cid:durableId="1736927869">
    <w:abstractNumId w:val="11"/>
  </w:num>
  <w:num w:numId="8" w16cid:durableId="384987540">
    <w:abstractNumId w:val="1"/>
  </w:num>
  <w:num w:numId="9" w16cid:durableId="2014455184">
    <w:abstractNumId w:val="12"/>
  </w:num>
  <w:num w:numId="10" w16cid:durableId="1285892160">
    <w:abstractNumId w:val="0"/>
  </w:num>
  <w:num w:numId="11" w16cid:durableId="1555969175">
    <w:abstractNumId w:val="5"/>
  </w:num>
  <w:num w:numId="12" w16cid:durableId="1198348013">
    <w:abstractNumId w:val="6"/>
  </w:num>
  <w:num w:numId="13" w16cid:durableId="969476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332C7"/>
    <w:rsid w:val="00493DC9"/>
    <w:rsid w:val="00E332C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2C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332C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332C7"/>
    <w:rPr>
      <w:rFonts w:ascii="Century" w:eastAsia="Century" w:hAnsi="Century"/>
    </w:rPr>
  </w:style>
  <w:style w:type="paragraph" w:customStyle="1" w:styleId="ja0">
    <w:name w:val="款（ja）"/>
    <w:basedOn w:val="a"/>
    <w:rsid w:val="00E332C7"/>
    <w:pPr>
      <w:widowControl w:val="0"/>
      <w:ind w:left="1321" w:hanging="221"/>
    </w:pPr>
    <w:rPr>
      <w:rFonts w:ascii="ＭＳ 明朝" w:eastAsia="ＭＳ 明朝" w:hAnsi="ＭＳ 明朝" w:cs="ＭＳ 明朝"/>
      <w:b/>
    </w:rPr>
  </w:style>
  <w:style w:type="paragraph" w:customStyle="1" w:styleId="en0">
    <w:name w:val="款（en）"/>
    <w:basedOn w:val="ja0"/>
    <w:rsid w:val="00E332C7"/>
    <w:rPr>
      <w:rFonts w:ascii="Century" w:eastAsia="Century" w:hAnsi="Century" w:cs="Century"/>
    </w:rPr>
  </w:style>
  <w:style w:type="paragraph" w:customStyle="1" w:styleId="ja1">
    <w:name w:val="前文（ja）"/>
    <w:basedOn w:val="a"/>
    <w:rsid w:val="00E332C7"/>
    <w:pPr>
      <w:widowControl w:val="0"/>
      <w:ind w:firstLine="219"/>
    </w:pPr>
    <w:rPr>
      <w:rFonts w:ascii="ＭＳ 明朝" w:eastAsia="ＭＳ 明朝" w:hAnsi="ＭＳ 明朝" w:cs="ＭＳ 明朝"/>
    </w:rPr>
  </w:style>
  <w:style w:type="paragraph" w:customStyle="1" w:styleId="en1">
    <w:name w:val="前文（en）"/>
    <w:basedOn w:val="ja1"/>
    <w:rsid w:val="00E332C7"/>
    <w:rPr>
      <w:rFonts w:ascii="Century" w:eastAsia="Century" w:hAnsi="Century" w:cs="Century"/>
    </w:rPr>
  </w:style>
  <w:style w:type="paragraph" w:customStyle="1" w:styleId="ja2">
    <w:name w:val="附則（ja）"/>
    <w:basedOn w:val="a"/>
    <w:rsid w:val="00E332C7"/>
    <w:pPr>
      <w:widowControl w:val="0"/>
      <w:ind w:left="881" w:hanging="221"/>
    </w:pPr>
    <w:rPr>
      <w:rFonts w:ascii="ＭＳ 明朝" w:eastAsia="ＭＳ 明朝" w:hAnsi="ＭＳ 明朝" w:cs="ＭＳ 明朝"/>
      <w:b/>
    </w:rPr>
  </w:style>
  <w:style w:type="paragraph" w:customStyle="1" w:styleId="en2">
    <w:name w:val="附則（en）"/>
    <w:basedOn w:val="ja2"/>
    <w:rsid w:val="00E332C7"/>
    <w:rPr>
      <w:rFonts w:ascii="Century" w:hAnsi="Century" w:cs="Century"/>
    </w:rPr>
  </w:style>
  <w:style w:type="paragraph" w:customStyle="1" w:styleId="ja3">
    <w:name w:val="章（ja）"/>
    <w:basedOn w:val="a"/>
    <w:rsid w:val="00E332C7"/>
    <w:pPr>
      <w:widowControl w:val="0"/>
      <w:ind w:left="881" w:hanging="221"/>
    </w:pPr>
    <w:rPr>
      <w:rFonts w:ascii="ＭＳ 明朝" w:eastAsia="ＭＳ 明朝" w:hAnsi="ＭＳ 明朝" w:cs="ＭＳ 明朝"/>
      <w:b/>
    </w:rPr>
  </w:style>
  <w:style w:type="paragraph" w:customStyle="1" w:styleId="en3">
    <w:name w:val="章（en）"/>
    <w:basedOn w:val="ja3"/>
    <w:rsid w:val="00E332C7"/>
    <w:rPr>
      <w:rFonts w:ascii="Century" w:eastAsia="Century" w:hAnsi="Century" w:cs="Century"/>
    </w:rPr>
  </w:style>
  <w:style w:type="paragraph" w:customStyle="1" w:styleId="ja4">
    <w:name w:val="目次編（ja）"/>
    <w:basedOn w:val="a"/>
    <w:rsid w:val="00E332C7"/>
    <w:pPr>
      <w:widowControl w:val="0"/>
      <w:ind w:left="219" w:hanging="219"/>
    </w:pPr>
    <w:rPr>
      <w:rFonts w:ascii="ＭＳ 明朝" w:eastAsia="ＭＳ 明朝" w:hAnsi="ＭＳ 明朝"/>
    </w:rPr>
  </w:style>
  <w:style w:type="paragraph" w:customStyle="1" w:styleId="en4">
    <w:name w:val="目次編（en）"/>
    <w:basedOn w:val="ja4"/>
    <w:rsid w:val="00E332C7"/>
    <w:rPr>
      <w:rFonts w:ascii="Century" w:eastAsia="Century" w:hAnsi="Century"/>
    </w:rPr>
  </w:style>
  <w:style w:type="paragraph" w:customStyle="1" w:styleId="ja5">
    <w:name w:val="目次章（ja）"/>
    <w:basedOn w:val="a"/>
    <w:rsid w:val="00E332C7"/>
    <w:pPr>
      <w:widowControl w:val="0"/>
      <w:ind w:left="439" w:hanging="219"/>
    </w:pPr>
    <w:rPr>
      <w:rFonts w:ascii="ＭＳ 明朝" w:eastAsia="ＭＳ 明朝" w:hAnsi="ＭＳ 明朝"/>
    </w:rPr>
  </w:style>
  <w:style w:type="paragraph" w:customStyle="1" w:styleId="en5">
    <w:name w:val="目次章（en）"/>
    <w:basedOn w:val="ja5"/>
    <w:rsid w:val="00E332C7"/>
    <w:rPr>
      <w:rFonts w:ascii="Century" w:eastAsia="Century" w:hAnsi="Century"/>
    </w:rPr>
  </w:style>
  <w:style w:type="paragraph" w:customStyle="1" w:styleId="ja6">
    <w:name w:val="目次節（ja）"/>
    <w:basedOn w:val="a"/>
    <w:rsid w:val="00E332C7"/>
    <w:pPr>
      <w:widowControl w:val="0"/>
      <w:ind w:left="659" w:hanging="219"/>
    </w:pPr>
    <w:rPr>
      <w:rFonts w:ascii="ＭＳ 明朝" w:eastAsia="ＭＳ 明朝" w:hAnsi="ＭＳ 明朝"/>
    </w:rPr>
  </w:style>
  <w:style w:type="paragraph" w:customStyle="1" w:styleId="en6">
    <w:name w:val="目次節（en）"/>
    <w:basedOn w:val="ja6"/>
    <w:rsid w:val="00E332C7"/>
    <w:rPr>
      <w:rFonts w:ascii="Century" w:eastAsia="Century" w:hAnsi="Century"/>
    </w:rPr>
  </w:style>
  <w:style w:type="paragraph" w:customStyle="1" w:styleId="ja7">
    <w:name w:val="目次款（ja）"/>
    <w:basedOn w:val="a"/>
    <w:rsid w:val="00E332C7"/>
    <w:pPr>
      <w:widowControl w:val="0"/>
      <w:ind w:left="879" w:hanging="219"/>
    </w:pPr>
    <w:rPr>
      <w:rFonts w:ascii="ＭＳ 明朝" w:eastAsia="ＭＳ 明朝" w:hAnsi="ＭＳ 明朝" w:cs="Kochi Mincho"/>
    </w:rPr>
  </w:style>
  <w:style w:type="paragraph" w:customStyle="1" w:styleId="en7">
    <w:name w:val="目次款（en）"/>
    <w:basedOn w:val="ja7"/>
    <w:rsid w:val="00E332C7"/>
    <w:rPr>
      <w:rFonts w:ascii="Century" w:eastAsia="Century" w:hAnsi="Century"/>
    </w:rPr>
  </w:style>
  <w:style w:type="paragraph" w:customStyle="1" w:styleId="ja8">
    <w:name w:val="別表名（ja）"/>
    <w:basedOn w:val="a"/>
    <w:rsid w:val="00E332C7"/>
    <w:pPr>
      <w:widowControl w:val="0"/>
      <w:ind w:left="100" w:hangingChars="100" w:hanging="100"/>
    </w:pPr>
    <w:rPr>
      <w:rFonts w:ascii="ＭＳ 明朝" w:eastAsia="ＭＳ 明朝" w:hAnsi="ＭＳ 明朝" w:cs="ＭＳ 明朝"/>
    </w:rPr>
  </w:style>
  <w:style w:type="paragraph" w:customStyle="1" w:styleId="en8">
    <w:name w:val="別表名（en）"/>
    <w:basedOn w:val="ja8"/>
    <w:rsid w:val="00E332C7"/>
    <w:rPr>
      <w:rFonts w:ascii="Century" w:eastAsia="Century" w:hAnsi="Century" w:cs="Century"/>
    </w:rPr>
  </w:style>
  <w:style w:type="paragraph" w:customStyle="1" w:styleId="ja9">
    <w:name w:val="目（ja）"/>
    <w:basedOn w:val="a"/>
    <w:rsid w:val="00E332C7"/>
    <w:pPr>
      <w:widowControl w:val="0"/>
      <w:ind w:left="1541" w:hanging="221"/>
    </w:pPr>
    <w:rPr>
      <w:rFonts w:ascii="ＭＳ 明朝" w:eastAsia="ＭＳ 明朝" w:hAnsi="ＭＳ 明朝" w:cs="ＭＳ 明朝"/>
      <w:b/>
    </w:rPr>
  </w:style>
  <w:style w:type="paragraph" w:customStyle="1" w:styleId="en9">
    <w:name w:val="目（en）"/>
    <w:basedOn w:val="ja9"/>
    <w:rsid w:val="00E332C7"/>
    <w:rPr>
      <w:rFonts w:ascii="Century" w:eastAsia="Century" w:hAnsi="Century" w:cs="Century"/>
    </w:rPr>
  </w:style>
  <w:style w:type="paragraph" w:customStyle="1" w:styleId="jaa">
    <w:name w:val="見出し（ja）"/>
    <w:basedOn w:val="a"/>
    <w:rsid w:val="00E332C7"/>
    <w:pPr>
      <w:widowControl w:val="0"/>
      <w:ind w:left="439" w:hanging="219"/>
    </w:pPr>
    <w:rPr>
      <w:rFonts w:ascii="ＭＳ 明朝" w:eastAsia="ＭＳ 明朝" w:hAnsi="ＭＳ 明朝" w:cs="ＭＳ 明朝"/>
    </w:rPr>
  </w:style>
  <w:style w:type="paragraph" w:customStyle="1" w:styleId="ena">
    <w:name w:val="見出し（en）"/>
    <w:basedOn w:val="jaa"/>
    <w:rsid w:val="00E332C7"/>
    <w:rPr>
      <w:rFonts w:ascii="Century" w:eastAsia="Century" w:hAnsi="Century" w:cs="Century"/>
    </w:rPr>
  </w:style>
  <w:style w:type="paragraph" w:styleId="a3">
    <w:name w:val="footer"/>
    <w:basedOn w:val="a"/>
    <w:rsid w:val="00E332C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332C7"/>
    <w:pPr>
      <w:widowControl w:val="0"/>
      <w:ind w:left="1099" w:hanging="219"/>
    </w:pPr>
    <w:rPr>
      <w:rFonts w:ascii="ＭＳ 明朝" w:eastAsia="ＭＳ 明朝" w:hAnsi="ＭＳ 明朝" w:cs="Kochi Mincho"/>
    </w:rPr>
  </w:style>
  <w:style w:type="paragraph" w:customStyle="1" w:styleId="enb">
    <w:name w:val="目次目（en）"/>
    <w:basedOn w:val="jab"/>
    <w:rsid w:val="00E332C7"/>
    <w:rPr>
      <w:rFonts w:ascii="Century" w:eastAsia="Century" w:hAnsi="Century"/>
    </w:rPr>
  </w:style>
  <w:style w:type="paragraph" w:customStyle="1" w:styleId="jac">
    <w:name w:val="目次附則（ja）"/>
    <w:basedOn w:val="a"/>
    <w:rsid w:val="00E332C7"/>
    <w:pPr>
      <w:widowControl w:val="0"/>
      <w:ind w:left="439" w:hanging="219"/>
    </w:pPr>
    <w:rPr>
      <w:rFonts w:ascii="ＭＳ 明朝" w:eastAsia="ＭＳ 明朝" w:hAnsi="ＭＳ 明朝" w:cs="Kochi Mincho"/>
    </w:rPr>
  </w:style>
  <w:style w:type="paragraph" w:customStyle="1" w:styleId="enc">
    <w:name w:val="目次附則（en）"/>
    <w:basedOn w:val="jac"/>
    <w:rsid w:val="00E332C7"/>
    <w:rPr>
      <w:rFonts w:ascii="Century" w:eastAsia="Century" w:hAnsi="Century" w:cs="Century"/>
    </w:rPr>
  </w:style>
  <w:style w:type="paragraph" w:customStyle="1" w:styleId="jad">
    <w:name w:val="目次前文（ja）"/>
    <w:basedOn w:val="jac"/>
    <w:rsid w:val="00E332C7"/>
  </w:style>
  <w:style w:type="paragraph" w:customStyle="1" w:styleId="end">
    <w:name w:val="目次前文（en）"/>
    <w:basedOn w:val="enc"/>
    <w:rsid w:val="00E332C7"/>
  </w:style>
  <w:style w:type="paragraph" w:customStyle="1" w:styleId="jae">
    <w:name w:val="制定文（ja）"/>
    <w:basedOn w:val="a"/>
    <w:rsid w:val="00E332C7"/>
    <w:pPr>
      <w:widowControl w:val="0"/>
      <w:ind w:firstLine="219"/>
    </w:pPr>
    <w:rPr>
      <w:rFonts w:ascii="ＭＳ 明朝" w:eastAsia="ＭＳ 明朝" w:hAnsi="ＭＳ 明朝" w:cs="ＭＳ 明朝"/>
    </w:rPr>
  </w:style>
  <w:style w:type="paragraph" w:customStyle="1" w:styleId="ene">
    <w:name w:val="制定文（en）"/>
    <w:basedOn w:val="jae"/>
    <w:rsid w:val="00E332C7"/>
    <w:rPr>
      <w:rFonts w:ascii="Century" w:eastAsia="Century" w:hAnsi="Century" w:cs="Century"/>
    </w:rPr>
  </w:style>
  <w:style w:type="paragraph" w:customStyle="1" w:styleId="jaf">
    <w:name w:val="法令番号（ja）"/>
    <w:basedOn w:val="a"/>
    <w:rsid w:val="00E332C7"/>
    <w:pPr>
      <w:widowControl w:val="0"/>
      <w:jc w:val="right"/>
    </w:pPr>
    <w:rPr>
      <w:rFonts w:ascii="ＭＳ 明朝" w:eastAsia="ＭＳ 明朝" w:hAnsi="ＭＳ 明朝" w:cs="Kochi Mincho"/>
    </w:rPr>
  </w:style>
  <w:style w:type="paragraph" w:customStyle="1" w:styleId="enf">
    <w:name w:val="法令番号（en）"/>
    <w:basedOn w:val="jaf"/>
    <w:rsid w:val="00E332C7"/>
    <w:rPr>
      <w:rFonts w:ascii="Century" w:eastAsia="Century" w:hAnsi="Century" w:cs="Century"/>
    </w:rPr>
  </w:style>
  <w:style w:type="paragraph" w:customStyle="1" w:styleId="jaf0">
    <w:name w:val="目次（ja）"/>
    <w:basedOn w:val="a"/>
    <w:rsid w:val="00E332C7"/>
    <w:rPr>
      <w:rFonts w:ascii="ＭＳ 明朝" w:eastAsia="ＭＳ 明朝" w:hAnsi="ＭＳ 明朝"/>
    </w:rPr>
  </w:style>
  <w:style w:type="paragraph" w:customStyle="1" w:styleId="enf0">
    <w:name w:val="目次（en）"/>
    <w:basedOn w:val="jaf0"/>
    <w:rsid w:val="00E332C7"/>
    <w:rPr>
      <w:rFonts w:ascii="Century" w:eastAsia="Century" w:hAnsi="Century"/>
    </w:rPr>
  </w:style>
  <w:style w:type="paragraph" w:customStyle="1" w:styleId="jaf1">
    <w:name w:val="編（ja）"/>
    <w:basedOn w:val="a"/>
    <w:rsid w:val="00E332C7"/>
    <w:pPr>
      <w:widowControl w:val="0"/>
      <w:ind w:left="661" w:hanging="221"/>
    </w:pPr>
    <w:rPr>
      <w:rFonts w:ascii="ＭＳ 明朝" w:eastAsia="ＭＳ 明朝" w:hAnsi="ＭＳ 明朝" w:cs="ＭＳ 明朝"/>
      <w:b/>
    </w:rPr>
  </w:style>
  <w:style w:type="paragraph" w:customStyle="1" w:styleId="enf1">
    <w:name w:val="編（en）"/>
    <w:basedOn w:val="jaf1"/>
    <w:rsid w:val="00E332C7"/>
    <w:rPr>
      <w:rFonts w:ascii="Century" w:eastAsia="Century" w:hAnsi="Century" w:cs="Century"/>
    </w:rPr>
  </w:style>
  <w:style w:type="paragraph" w:customStyle="1" w:styleId="jaf2">
    <w:name w:val="節（ja）"/>
    <w:basedOn w:val="a"/>
    <w:rsid w:val="00E332C7"/>
    <w:pPr>
      <w:widowControl w:val="0"/>
      <w:ind w:left="1101" w:hanging="221"/>
    </w:pPr>
    <w:rPr>
      <w:rFonts w:ascii="ＭＳ 明朝" w:eastAsia="ＭＳ 明朝" w:hAnsi="ＭＳ 明朝" w:cs="ＭＳ 明朝"/>
      <w:b/>
    </w:rPr>
  </w:style>
  <w:style w:type="paragraph" w:customStyle="1" w:styleId="enf2">
    <w:name w:val="節（en）"/>
    <w:basedOn w:val="jaf2"/>
    <w:rsid w:val="00E332C7"/>
    <w:rPr>
      <w:rFonts w:ascii="Century" w:eastAsia="Century" w:hAnsi="Century" w:cs="Century"/>
    </w:rPr>
  </w:style>
  <w:style w:type="paragraph" w:customStyle="1" w:styleId="jaf3">
    <w:name w:val="条（ja）"/>
    <w:basedOn w:val="a"/>
    <w:rsid w:val="00E332C7"/>
    <w:pPr>
      <w:widowControl w:val="0"/>
      <w:ind w:left="219" w:hanging="219"/>
    </w:pPr>
    <w:rPr>
      <w:rFonts w:ascii="ＭＳ 明朝" w:eastAsia="ＭＳ 明朝" w:hAnsi="ＭＳ 明朝" w:cs="ＭＳ 明朝"/>
    </w:rPr>
  </w:style>
  <w:style w:type="paragraph" w:customStyle="1" w:styleId="enf3">
    <w:name w:val="条（en）"/>
    <w:basedOn w:val="jaf3"/>
    <w:rsid w:val="00E332C7"/>
    <w:rPr>
      <w:rFonts w:ascii="Century" w:eastAsia="Century" w:hAnsi="Century" w:cs="Century"/>
    </w:rPr>
  </w:style>
  <w:style w:type="paragraph" w:customStyle="1" w:styleId="jaf4">
    <w:name w:val="項（ja）"/>
    <w:basedOn w:val="a"/>
    <w:rsid w:val="00E332C7"/>
    <w:pPr>
      <w:widowControl w:val="0"/>
      <w:ind w:left="219" w:hanging="219"/>
    </w:pPr>
    <w:rPr>
      <w:rFonts w:ascii="ＭＳ 明朝" w:eastAsia="ＭＳ 明朝" w:hAnsi="ＭＳ 明朝" w:cs="ＭＳ 明朝"/>
    </w:rPr>
  </w:style>
  <w:style w:type="paragraph" w:customStyle="1" w:styleId="enf4">
    <w:name w:val="項（en）"/>
    <w:basedOn w:val="jaf4"/>
    <w:rsid w:val="00E332C7"/>
    <w:rPr>
      <w:rFonts w:ascii="Century" w:eastAsia="Century" w:hAnsi="Century" w:cs="Century"/>
    </w:rPr>
  </w:style>
  <w:style w:type="paragraph" w:customStyle="1" w:styleId="jaf5">
    <w:name w:val="項　番号なし（ja）"/>
    <w:basedOn w:val="a"/>
    <w:rsid w:val="00E332C7"/>
    <w:pPr>
      <w:widowControl w:val="0"/>
      <w:ind w:firstLine="221"/>
    </w:pPr>
    <w:rPr>
      <w:rFonts w:ascii="ＭＳ 明朝" w:eastAsia="ＭＳ 明朝" w:hAnsi="ＭＳ 明朝" w:cs="ＭＳ 明朝"/>
    </w:rPr>
  </w:style>
  <w:style w:type="paragraph" w:customStyle="1" w:styleId="enf5">
    <w:name w:val="項　番号なし（en）"/>
    <w:basedOn w:val="jaf5"/>
    <w:rsid w:val="00E332C7"/>
    <w:rPr>
      <w:rFonts w:ascii="Century" w:eastAsia="Century" w:hAnsi="Century" w:cs="Century"/>
    </w:rPr>
  </w:style>
  <w:style w:type="paragraph" w:customStyle="1" w:styleId="jaf6">
    <w:name w:val="号（ja）"/>
    <w:basedOn w:val="a"/>
    <w:rsid w:val="00E332C7"/>
    <w:pPr>
      <w:widowControl w:val="0"/>
      <w:ind w:left="439" w:hanging="219"/>
    </w:pPr>
    <w:rPr>
      <w:rFonts w:ascii="ＭＳ 明朝" w:eastAsia="ＭＳ 明朝" w:hAnsi="ＭＳ 明朝" w:cs="ＭＳ 明朝"/>
    </w:rPr>
  </w:style>
  <w:style w:type="paragraph" w:customStyle="1" w:styleId="enf6">
    <w:name w:val="号（en）"/>
    <w:basedOn w:val="jaf6"/>
    <w:rsid w:val="00E332C7"/>
    <w:rPr>
      <w:rFonts w:ascii="Century" w:eastAsia="Century" w:hAnsi="Century" w:cs="Century"/>
    </w:rPr>
  </w:style>
  <w:style w:type="paragraph" w:customStyle="1" w:styleId="jaf7">
    <w:name w:val="号　番号なし（ja）"/>
    <w:basedOn w:val="a"/>
    <w:rsid w:val="00E332C7"/>
    <w:pPr>
      <w:widowControl w:val="0"/>
      <w:ind w:left="221" w:firstLine="221"/>
    </w:pPr>
    <w:rPr>
      <w:rFonts w:ascii="ＭＳ 明朝" w:eastAsia="ＭＳ 明朝" w:hAnsi="ＭＳ 明朝" w:cs="ＭＳ 明朝"/>
    </w:rPr>
  </w:style>
  <w:style w:type="paragraph" w:customStyle="1" w:styleId="enf7">
    <w:name w:val="号　番号なし（en）"/>
    <w:basedOn w:val="jaf7"/>
    <w:rsid w:val="00E332C7"/>
    <w:rPr>
      <w:rFonts w:ascii="Century" w:eastAsia="Century" w:hAnsi="Century" w:cs="Century"/>
    </w:rPr>
  </w:style>
  <w:style w:type="paragraph" w:customStyle="1" w:styleId="jaf8">
    <w:name w:val="備考号（ja）"/>
    <w:basedOn w:val="a"/>
    <w:rsid w:val="00E332C7"/>
    <w:pPr>
      <w:widowControl w:val="0"/>
      <w:ind w:left="659" w:hanging="219"/>
    </w:pPr>
    <w:rPr>
      <w:rFonts w:ascii="ＭＳ 明朝" w:eastAsia="ＭＳ 明朝" w:hAnsi="ＭＳ 明朝" w:cs="ＭＳ 明朝"/>
    </w:rPr>
  </w:style>
  <w:style w:type="paragraph" w:customStyle="1" w:styleId="enf8">
    <w:name w:val="備考号（en）"/>
    <w:basedOn w:val="jaf8"/>
    <w:rsid w:val="00E332C7"/>
    <w:rPr>
      <w:rFonts w:ascii="Century" w:eastAsia="Century" w:hAnsi="Century" w:cs="Century"/>
    </w:rPr>
  </w:style>
  <w:style w:type="paragraph" w:customStyle="1" w:styleId="jaf9">
    <w:name w:val="号細分（ja）"/>
    <w:basedOn w:val="a"/>
    <w:rsid w:val="00E332C7"/>
    <w:pPr>
      <w:widowControl w:val="0"/>
      <w:ind w:left="659" w:hanging="219"/>
    </w:pPr>
    <w:rPr>
      <w:rFonts w:ascii="ＭＳ 明朝" w:eastAsia="ＭＳ 明朝" w:hAnsi="ＭＳ 明朝" w:cs="ＭＳ 明朝"/>
    </w:rPr>
  </w:style>
  <w:style w:type="paragraph" w:customStyle="1" w:styleId="enf9">
    <w:name w:val="号細分（en）"/>
    <w:basedOn w:val="jaf9"/>
    <w:rsid w:val="00E332C7"/>
    <w:rPr>
      <w:rFonts w:ascii="Century" w:eastAsia="Century" w:hAnsi="Century" w:cs="Century"/>
    </w:rPr>
  </w:style>
  <w:style w:type="paragraph" w:customStyle="1" w:styleId="jafa">
    <w:name w:val="号細分　番号なし（ja）"/>
    <w:basedOn w:val="a"/>
    <w:rsid w:val="00E332C7"/>
    <w:pPr>
      <w:widowControl w:val="0"/>
      <w:ind w:left="439"/>
    </w:pPr>
    <w:rPr>
      <w:rFonts w:ascii="ＭＳ 明朝" w:eastAsia="ＭＳ 明朝" w:hAnsi="ＭＳ 明朝" w:cs="ＭＳ 明朝"/>
    </w:rPr>
  </w:style>
  <w:style w:type="paragraph" w:customStyle="1" w:styleId="enfa">
    <w:name w:val="号細分　番号なし（en）"/>
    <w:basedOn w:val="jafa"/>
    <w:rsid w:val="00E332C7"/>
    <w:rPr>
      <w:rFonts w:ascii="Century" w:eastAsia="Century" w:hAnsi="Century" w:cs="Century"/>
    </w:rPr>
  </w:style>
  <w:style w:type="paragraph" w:customStyle="1" w:styleId="jafb">
    <w:name w:val="備考号細分（ja）"/>
    <w:basedOn w:val="a"/>
    <w:rsid w:val="00E332C7"/>
    <w:pPr>
      <w:widowControl w:val="0"/>
      <w:ind w:left="1099" w:hanging="439"/>
    </w:pPr>
    <w:rPr>
      <w:rFonts w:ascii="ＭＳ 明朝" w:eastAsia="ＭＳ 明朝" w:hAnsi="ＭＳ 明朝" w:cs="ＭＳ 明朝"/>
    </w:rPr>
  </w:style>
  <w:style w:type="paragraph" w:customStyle="1" w:styleId="enfb">
    <w:name w:val="備考号細分（en）"/>
    <w:basedOn w:val="jafb"/>
    <w:rsid w:val="00E332C7"/>
    <w:rPr>
      <w:rFonts w:ascii="Century" w:eastAsia="Century" w:hAnsi="Century" w:cs="Century"/>
    </w:rPr>
  </w:style>
  <w:style w:type="paragraph" w:customStyle="1" w:styleId="jafc">
    <w:name w:val="号細細分（ja）"/>
    <w:basedOn w:val="a"/>
    <w:rsid w:val="00E332C7"/>
    <w:pPr>
      <w:widowControl w:val="0"/>
      <w:ind w:left="1099" w:hanging="439"/>
    </w:pPr>
    <w:rPr>
      <w:rFonts w:ascii="ＭＳ 明朝" w:eastAsia="ＭＳ 明朝" w:hAnsi="ＭＳ 明朝" w:cs="ＭＳ 明朝"/>
    </w:rPr>
  </w:style>
  <w:style w:type="paragraph" w:customStyle="1" w:styleId="enfc">
    <w:name w:val="号細細分（en）"/>
    <w:basedOn w:val="jafc"/>
    <w:rsid w:val="00E332C7"/>
    <w:rPr>
      <w:rFonts w:ascii="Century" w:eastAsia="Century" w:hAnsi="Century" w:cs="Century"/>
    </w:rPr>
  </w:style>
  <w:style w:type="paragraph" w:customStyle="1" w:styleId="jafd">
    <w:name w:val="号細細分　番号なし（ja）"/>
    <w:basedOn w:val="a"/>
    <w:rsid w:val="00E332C7"/>
    <w:pPr>
      <w:widowControl w:val="0"/>
      <w:ind w:left="659"/>
    </w:pPr>
    <w:rPr>
      <w:rFonts w:ascii="ＭＳ 明朝" w:eastAsia="ＭＳ 明朝" w:hAnsi="ＭＳ 明朝" w:cs="ＭＳ 明朝"/>
    </w:rPr>
  </w:style>
  <w:style w:type="paragraph" w:customStyle="1" w:styleId="enfd">
    <w:name w:val="号細細分　番号なし（en）"/>
    <w:basedOn w:val="jafd"/>
    <w:rsid w:val="00E332C7"/>
    <w:rPr>
      <w:rFonts w:ascii="Century" w:eastAsia="Century" w:hAnsi="Century" w:cs="Century"/>
    </w:rPr>
  </w:style>
  <w:style w:type="paragraph" w:customStyle="1" w:styleId="jafe">
    <w:name w:val="備考号細細分（ja）"/>
    <w:basedOn w:val="a"/>
    <w:rsid w:val="00E332C7"/>
    <w:pPr>
      <w:widowControl w:val="0"/>
      <w:ind w:left="1319" w:hanging="439"/>
    </w:pPr>
    <w:rPr>
      <w:rFonts w:ascii="ＭＳ 明朝" w:eastAsia="ＭＳ 明朝" w:hAnsi="ＭＳ 明朝" w:cs="ＭＳ 明朝"/>
    </w:rPr>
  </w:style>
  <w:style w:type="paragraph" w:customStyle="1" w:styleId="enfe">
    <w:name w:val="備考号細細分（en）"/>
    <w:basedOn w:val="jafe"/>
    <w:rsid w:val="00E332C7"/>
    <w:rPr>
      <w:rFonts w:ascii="Century" w:eastAsia="Century" w:hAnsi="Century" w:cs="Century"/>
    </w:rPr>
  </w:style>
  <w:style w:type="paragraph" w:customStyle="1" w:styleId="jaff">
    <w:name w:val="号細細細分（ja）"/>
    <w:basedOn w:val="a"/>
    <w:rsid w:val="00E332C7"/>
    <w:pPr>
      <w:widowControl w:val="0"/>
      <w:ind w:left="1319" w:hanging="439"/>
    </w:pPr>
    <w:rPr>
      <w:rFonts w:ascii="ＭＳ 明朝" w:eastAsia="ＭＳ 明朝" w:hAnsi="ＭＳ 明朝" w:cs="ＭＳ 明朝"/>
    </w:rPr>
  </w:style>
  <w:style w:type="paragraph" w:customStyle="1" w:styleId="enff">
    <w:name w:val="号細細細分（en）"/>
    <w:basedOn w:val="jaff"/>
    <w:rsid w:val="00E332C7"/>
    <w:rPr>
      <w:rFonts w:ascii="Century" w:eastAsia="Century" w:hAnsi="Century" w:cs="Century"/>
    </w:rPr>
  </w:style>
  <w:style w:type="paragraph" w:customStyle="1" w:styleId="jaff0">
    <w:name w:val="号細細細分　番号なし（ja）"/>
    <w:basedOn w:val="a"/>
    <w:rsid w:val="00E332C7"/>
    <w:pPr>
      <w:widowControl w:val="0"/>
      <w:ind w:left="879"/>
    </w:pPr>
    <w:rPr>
      <w:rFonts w:ascii="ＭＳ 明朝" w:eastAsia="ＭＳ 明朝" w:hAnsi="ＭＳ 明朝" w:cs="ＭＳ 明朝"/>
    </w:rPr>
  </w:style>
  <w:style w:type="paragraph" w:customStyle="1" w:styleId="enff0">
    <w:name w:val="号細細細分　番号なし（en）"/>
    <w:basedOn w:val="jaff0"/>
    <w:rsid w:val="00E332C7"/>
    <w:rPr>
      <w:rFonts w:ascii="Century" w:eastAsia="Century" w:hAnsi="Century" w:cs="Century"/>
    </w:rPr>
  </w:style>
  <w:style w:type="paragraph" w:customStyle="1" w:styleId="jaff1">
    <w:name w:val="備考号細細細分（ja）"/>
    <w:basedOn w:val="a"/>
    <w:rsid w:val="00E332C7"/>
    <w:pPr>
      <w:widowControl w:val="0"/>
      <w:ind w:left="1539" w:hanging="439"/>
    </w:pPr>
    <w:rPr>
      <w:rFonts w:ascii="ＭＳ 明朝" w:eastAsia="ＭＳ 明朝" w:hAnsi="ＭＳ 明朝" w:cs="ＭＳ 明朝"/>
    </w:rPr>
  </w:style>
  <w:style w:type="paragraph" w:customStyle="1" w:styleId="enff1">
    <w:name w:val="備考号細細細分（en）"/>
    <w:basedOn w:val="jaff1"/>
    <w:rsid w:val="00E332C7"/>
    <w:rPr>
      <w:rFonts w:ascii="Century" w:eastAsia="Century" w:hAnsi="Century" w:cs="Century"/>
    </w:rPr>
  </w:style>
  <w:style w:type="paragraph" w:customStyle="1" w:styleId="jaff2">
    <w:name w:val="類（ja）"/>
    <w:basedOn w:val="a"/>
    <w:rsid w:val="00E332C7"/>
    <w:pPr>
      <w:widowControl w:val="0"/>
      <w:ind w:left="439" w:hanging="219"/>
    </w:pPr>
    <w:rPr>
      <w:rFonts w:ascii="ＭＳ 明朝" w:eastAsia="ＭＳ 明朝" w:hAnsi="ＭＳ 明朝" w:cs="ＭＳ 明朝"/>
    </w:rPr>
  </w:style>
  <w:style w:type="paragraph" w:customStyle="1" w:styleId="enff2">
    <w:name w:val="類（en）"/>
    <w:basedOn w:val="jaff2"/>
    <w:rsid w:val="00E332C7"/>
    <w:rPr>
      <w:rFonts w:ascii="Century" w:eastAsia="Century" w:hAnsi="Century" w:cs="Century"/>
    </w:rPr>
  </w:style>
  <w:style w:type="paragraph" w:customStyle="1" w:styleId="jaff3">
    <w:name w:val="公布文（ja）"/>
    <w:basedOn w:val="a"/>
    <w:rsid w:val="00E332C7"/>
    <w:pPr>
      <w:widowControl w:val="0"/>
      <w:ind w:firstLine="219"/>
    </w:pPr>
    <w:rPr>
      <w:rFonts w:ascii="ＭＳ 明朝" w:eastAsia="ＭＳ 明朝" w:hAnsi="ＭＳ 明朝" w:cs="ＭＳ 明朝"/>
    </w:rPr>
  </w:style>
  <w:style w:type="paragraph" w:customStyle="1" w:styleId="enff3">
    <w:name w:val="公布文（en）"/>
    <w:basedOn w:val="jaff3"/>
    <w:rsid w:val="00E332C7"/>
    <w:rPr>
      <w:rFonts w:ascii="Century" w:eastAsia="Century" w:hAnsi="Century" w:cs="Century"/>
    </w:rPr>
  </w:style>
  <w:style w:type="paragraph" w:customStyle="1" w:styleId="jaen">
    <w:name w:val="表（ja：en）"/>
    <w:basedOn w:val="a"/>
    <w:rsid w:val="00E332C7"/>
    <w:pPr>
      <w:widowControl w:val="0"/>
      <w:snapToGrid w:val="0"/>
    </w:pPr>
    <w:rPr>
      <w:rFonts w:ascii="Century" w:eastAsia="ＭＳ 明朝" w:hAnsi="Century"/>
    </w:rPr>
  </w:style>
  <w:style w:type="paragraph" w:customStyle="1" w:styleId="jaff4">
    <w:name w:val="備考（ja）"/>
    <w:basedOn w:val="a"/>
    <w:rsid w:val="00E332C7"/>
    <w:pPr>
      <w:widowControl w:val="0"/>
      <w:ind w:left="439" w:hanging="219"/>
    </w:pPr>
    <w:rPr>
      <w:rFonts w:ascii="ＭＳ 明朝" w:eastAsia="ＭＳ 明朝" w:hAnsi="ＭＳ 明朝" w:cs="ＭＳ 明朝"/>
    </w:rPr>
  </w:style>
  <w:style w:type="paragraph" w:customStyle="1" w:styleId="enff4">
    <w:name w:val="備考（en）"/>
    <w:basedOn w:val="jaff4"/>
    <w:rsid w:val="00E332C7"/>
    <w:rPr>
      <w:rFonts w:ascii="Century" w:eastAsia="Century" w:hAnsi="Century" w:cs="Century"/>
    </w:rPr>
  </w:style>
  <w:style w:type="paragraph" w:customStyle="1" w:styleId="jaff5">
    <w:name w:val="表タイトル（ja）"/>
    <w:basedOn w:val="a"/>
    <w:rsid w:val="00E332C7"/>
    <w:pPr>
      <w:widowControl w:val="0"/>
      <w:ind w:left="219"/>
    </w:pPr>
    <w:rPr>
      <w:rFonts w:ascii="ＭＳ 明朝" w:eastAsia="ＭＳ 明朝" w:hAnsi="ＭＳ 明朝" w:cs="ＭＳ 明朝"/>
    </w:rPr>
  </w:style>
  <w:style w:type="paragraph" w:customStyle="1" w:styleId="enff5">
    <w:name w:val="表タイトル（en）"/>
    <w:basedOn w:val="jaff5"/>
    <w:rsid w:val="00E332C7"/>
    <w:rPr>
      <w:rFonts w:ascii="Century" w:eastAsia="Century" w:hAnsi="Century" w:cs="Century"/>
    </w:rPr>
  </w:style>
  <w:style w:type="paragraph" w:customStyle="1" w:styleId="jaff6">
    <w:name w:val="改正規定文（ja）"/>
    <w:basedOn w:val="a"/>
    <w:rsid w:val="00E332C7"/>
    <w:pPr>
      <w:widowControl w:val="0"/>
      <w:ind w:left="219" w:firstLine="219"/>
    </w:pPr>
    <w:rPr>
      <w:rFonts w:ascii="ＭＳ 明朝" w:eastAsia="ＭＳ 明朝" w:hAnsi="ＭＳ 明朝" w:cs="ＭＳ 明朝"/>
    </w:rPr>
  </w:style>
  <w:style w:type="paragraph" w:customStyle="1" w:styleId="enff6">
    <w:name w:val="改正規定文（en）"/>
    <w:basedOn w:val="jaff6"/>
    <w:rsid w:val="00E332C7"/>
    <w:rPr>
      <w:rFonts w:ascii="Century" w:eastAsia="Century" w:hAnsi="Century" w:cs="Century"/>
    </w:rPr>
  </w:style>
  <w:style w:type="paragraph" w:customStyle="1" w:styleId="jaff7">
    <w:name w:val="付記（ja）"/>
    <w:basedOn w:val="a"/>
    <w:rsid w:val="00E332C7"/>
    <w:pPr>
      <w:widowControl w:val="0"/>
      <w:ind w:left="219" w:firstLine="219"/>
    </w:pPr>
    <w:rPr>
      <w:rFonts w:ascii="ＭＳ 明朝" w:eastAsia="ＭＳ 明朝" w:hAnsi="ＭＳ 明朝" w:cs="ＭＳ 明朝"/>
    </w:rPr>
  </w:style>
  <w:style w:type="paragraph" w:customStyle="1" w:styleId="enff7">
    <w:name w:val="付記（en）"/>
    <w:basedOn w:val="jaff7"/>
    <w:rsid w:val="00E332C7"/>
    <w:rPr>
      <w:rFonts w:ascii="Century" w:eastAsia="Century" w:hAnsi="Century" w:cs="Century"/>
    </w:rPr>
  </w:style>
  <w:style w:type="paragraph" w:customStyle="1" w:styleId="jaff8">
    <w:name w:val="様式名（ja）"/>
    <w:basedOn w:val="a"/>
    <w:rsid w:val="00E332C7"/>
    <w:pPr>
      <w:widowControl w:val="0"/>
      <w:ind w:left="439" w:hanging="219"/>
    </w:pPr>
    <w:rPr>
      <w:rFonts w:ascii="ＭＳ 明朝" w:eastAsia="ＭＳ 明朝" w:hAnsi="ＭＳ 明朝" w:cs="ＭＳ 明朝"/>
    </w:rPr>
  </w:style>
  <w:style w:type="paragraph" w:customStyle="1" w:styleId="enff8">
    <w:name w:val="様式名（en）"/>
    <w:basedOn w:val="jaff8"/>
    <w:rsid w:val="00E332C7"/>
    <w:rPr>
      <w:rFonts w:ascii="Century" w:eastAsia="Century" w:hAnsi="Century" w:cs="Century"/>
    </w:rPr>
  </w:style>
  <w:style w:type="paragraph" w:customStyle="1" w:styleId="jaff9">
    <w:name w:val="様式項目（ja）"/>
    <w:basedOn w:val="a"/>
    <w:rsid w:val="00E332C7"/>
    <w:pPr>
      <w:widowControl w:val="0"/>
      <w:ind w:left="221" w:firstLine="221"/>
    </w:pPr>
    <w:rPr>
      <w:rFonts w:ascii="ＭＳ 明朝" w:eastAsia="ＭＳ 明朝" w:hAnsi="ＭＳ 明朝" w:cs="ＭＳ 明朝"/>
    </w:rPr>
  </w:style>
  <w:style w:type="paragraph" w:customStyle="1" w:styleId="enff9">
    <w:name w:val="様式項目（en）"/>
    <w:basedOn w:val="jaff9"/>
    <w:rsid w:val="00E332C7"/>
    <w:rPr>
      <w:rFonts w:ascii="Century" w:eastAsia="Century" w:hAnsi="Century" w:cs="Century"/>
    </w:rPr>
  </w:style>
  <w:style w:type="table" w:customStyle="1" w:styleId="1">
    <w:name w:val="表1"/>
    <w:rsid w:val="00E332C7"/>
    <w:tblPr>
      <w:tblInd w:w="340" w:type="dxa"/>
      <w:tblCellMar>
        <w:top w:w="0" w:type="dxa"/>
        <w:left w:w="0" w:type="dxa"/>
        <w:bottom w:w="0" w:type="dxa"/>
        <w:right w:w="0" w:type="dxa"/>
      </w:tblCellMar>
    </w:tblPr>
  </w:style>
  <w:style w:type="numbering" w:customStyle="1" w:styleId="WW8Num1">
    <w:name w:val="WW8Num1"/>
    <w:rsid w:val="00E332C7"/>
    <w:pPr>
      <w:numPr>
        <w:numId w:val="2"/>
      </w:numPr>
    </w:pPr>
  </w:style>
  <w:style w:type="numbering" w:customStyle="1" w:styleId="WW8Num2">
    <w:name w:val="WW8Num2"/>
    <w:rsid w:val="00E332C7"/>
    <w:pPr>
      <w:numPr>
        <w:numId w:val="3"/>
      </w:numPr>
    </w:pPr>
  </w:style>
  <w:style w:type="numbering" w:customStyle="1" w:styleId="WW8Num3">
    <w:name w:val="WW8Num3"/>
    <w:rsid w:val="00E332C7"/>
    <w:pPr>
      <w:numPr>
        <w:numId w:val="4"/>
      </w:numPr>
    </w:pPr>
  </w:style>
  <w:style w:type="numbering" w:customStyle="1" w:styleId="WW8Num4">
    <w:name w:val="WW8Num4"/>
    <w:rsid w:val="00E332C7"/>
    <w:pPr>
      <w:numPr>
        <w:numId w:val="5"/>
      </w:numPr>
    </w:pPr>
  </w:style>
  <w:style w:type="numbering" w:customStyle="1" w:styleId="WW8Num5">
    <w:name w:val="WW8Num5"/>
    <w:rsid w:val="00E332C7"/>
    <w:pPr>
      <w:numPr>
        <w:numId w:val="6"/>
      </w:numPr>
    </w:pPr>
  </w:style>
  <w:style w:type="numbering" w:customStyle="1" w:styleId="WW8Num6">
    <w:name w:val="WW8Num6"/>
    <w:rsid w:val="00E332C7"/>
    <w:pPr>
      <w:numPr>
        <w:numId w:val="7"/>
      </w:numPr>
    </w:pPr>
  </w:style>
  <w:style w:type="numbering" w:customStyle="1" w:styleId="WW8Num7">
    <w:name w:val="WW8Num7"/>
    <w:rsid w:val="00E332C7"/>
    <w:pPr>
      <w:numPr>
        <w:numId w:val="8"/>
      </w:numPr>
    </w:pPr>
  </w:style>
  <w:style w:type="numbering" w:customStyle="1" w:styleId="WW8Num8">
    <w:name w:val="WW8Num8"/>
    <w:rsid w:val="00E332C7"/>
    <w:pPr>
      <w:numPr>
        <w:numId w:val="9"/>
      </w:numPr>
    </w:pPr>
  </w:style>
  <w:style w:type="numbering" w:customStyle="1" w:styleId="WW8Num9">
    <w:name w:val="WW8Num9"/>
    <w:rsid w:val="00E332C7"/>
    <w:pPr>
      <w:numPr>
        <w:numId w:val="10"/>
      </w:numPr>
    </w:pPr>
  </w:style>
  <w:style w:type="numbering" w:customStyle="1" w:styleId="WW8Num10">
    <w:name w:val="WW8Num10"/>
    <w:rsid w:val="00E332C7"/>
    <w:pPr>
      <w:numPr>
        <w:numId w:val="11"/>
      </w:numPr>
    </w:pPr>
  </w:style>
  <w:style w:type="numbering" w:customStyle="1" w:styleId="WW8Num11">
    <w:name w:val="WW8Num11"/>
    <w:rsid w:val="00E332C7"/>
    <w:pPr>
      <w:numPr>
        <w:numId w:val="12"/>
      </w:numPr>
    </w:pPr>
  </w:style>
  <w:style w:type="numbering" w:customStyle="1" w:styleId="WW8Num12">
    <w:name w:val="WW8Num12"/>
    <w:rsid w:val="00E332C7"/>
    <w:pPr>
      <w:numPr>
        <w:numId w:val="13"/>
      </w:numPr>
    </w:pPr>
  </w:style>
  <w:style w:type="paragraph" w:styleId="a4">
    <w:name w:val="header"/>
    <w:basedOn w:val="a"/>
    <w:link w:val="a5"/>
    <w:uiPriority w:val="99"/>
    <w:unhideWhenUsed/>
    <w:rsid w:val="00493DC9"/>
    <w:pPr>
      <w:tabs>
        <w:tab w:val="center" w:pos="4252"/>
        <w:tab w:val="right" w:pos="8504"/>
      </w:tabs>
      <w:snapToGrid w:val="0"/>
    </w:pPr>
  </w:style>
  <w:style w:type="character" w:customStyle="1" w:styleId="a5">
    <w:name w:val="ヘッダー (文字)"/>
    <w:basedOn w:val="a0"/>
    <w:link w:val="a4"/>
    <w:uiPriority w:val="99"/>
    <w:rsid w:val="00493DC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7428</Words>
  <Characters>42340</Characters>
  <Application>Microsoft Office Word</Application>
  <DocSecurity>0</DocSecurity>
  <Lines>352</Lines>
  <Paragraphs>99</Paragraphs>
  <ScaleCrop>false</ScaleCrop>
  <Company/>
  <LinksUpToDate>false</LinksUpToDate>
  <CharactersWithSpaces>49669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2023-05-17T01:18:00Z</dcterms:created>
  <dcterms:modified xsi:type="dcterms:W3CDTF">2023-05-17T01:18:00Z</dcterms:modified>
</cp:coreProperties>
</file>