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DE0" w:rsidRDefault="00FD5DEA">
      <w:pPr>
        <w:pStyle w:val="en"/>
      </w:pPr>
      <w:r>
        <w:t>Act on Assisted Reproductive Technology Offering and the Special Provisions of the Civil Code Related to the Parent-Child Relationship of a Child Born As a Result of the Treatment</w:t>
      </w:r>
    </w:p>
    <w:p w:rsidR="00285DE0" w:rsidRDefault="00285DE0"/>
    <w:p w:rsidR="00285DE0" w:rsidRDefault="00FD5DEA">
      <w:pPr>
        <w:pStyle w:val="enf"/>
      </w:pPr>
      <w:r>
        <w:t>(Act No. 76 of December 11, 2020)</w:t>
      </w:r>
    </w:p>
    <w:p w:rsidR="00285DE0" w:rsidRDefault="00285DE0"/>
    <w:p w:rsidR="00285DE0" w:rsidRDefault="00FD5DEA">
      <w:pPr>
        <w:pStyle w:val="enf0"/>
      </w:pPr>
      <w:r>
        <w:t>Table of Contents</w:t>
      </w:r>
    </w:p>
    <w:p w:rsidR="00285DE0" w:rsidRDefault="00FD5DEA">
      <w:pPr>
        <w:pStyle w:val="en5"/>
      </w:pPr>
      <w:r>
        <w:t xml:space="preserve">Chapter I </w:t>
      </w:r>
      <w:r>
        <w:t>General Provisions (Article 1 and Article 2)</w:t>
      </w:r>
    </w:p>
    <w:p w:rsidR="00285DE0" w:rsidRDefault="00FD5DEA">
      <w:pPr>
        <w:pStyle w:val="en5"/>
      </w:pPr>
      <w:r>
        <w:t>Chapter II Assisted Reproductive Technology Offering (Article 3 to Article 8)</w:t>
      </w:r>
    </w:p>
    <w:p w:rsidR="00285DE0" w:rsidRDefault="00FD5DEA">
      <w:pPr>
        <w:pStyle w:val="en5"/>
      </w:pPr>
      <w:r>
        <w:t>Chapter III Special Provisions of the Civil Code Related to the Parent-Child Relationship of a Child Born As a Result of Assisted Rep</w:t>
      </w:r>
      <w:r>
        <w:t>roductive Technology (Article 9 and Article 10)</w:t>
      </w:r>
    </w:p>
    <w:p w:rsidR="00285DE0" w:rsidRDefault="00FD5DEA">
      <w:pPr>
        <w:pStyle w:val="enc"/>
      </w:pPr>
      <w:r>
        <w:t>Supplementary Provisions</w:t>
      </w:r>
    </w:p>
    <w:p w:rsidR="00285DE0" w:rsidRDefault="00285DE0"/>
    <w:p w:rsidR="00285DE0" w:rsidRDefault="00FD5DEA">
      <w:pPr>
        <w:pStyle w:val="en3"/>
      </w:pPr>
      <w:r>
        <w:t>Chapter I General Provisions</w:t>
      </w:r>
    </w:p>
    <w:p w:rsidR="00285DE0" w:rsidRDefault="00285DE0"/>
    <w:p w:rsidR="00285DE0" w:rsidRDefault="00FD5DEA">
      <w:pPr>
        <w:pStyle w:val="ena"/>
      </w:pPr>
      <w:r>
        <w:t>(Purpose)</w:t>
      </w:r>
    </w:p>
    <w:p w:rsidR="00285DE0" w:rsidRDefault="00FD5DEA">
      <w:pPr>
        <w:pStyle w:val="enf3"/>
      </w:pPr>
      <w:r>
        <w:t xml:space="preserve">Article 1  In view of the current situation surrounding assisted reproductive technology, this Act clarifies the basic principles on assisted </w:t>
      </w:r>
      <w:r>
        <w:t>reproductive technology offering, etc., sets forth the responsibilities of the State and medical personnel as well as the measures to be implemented by the State, and establishes special provisions of the Civil Code (Act No. 89 of 1896) regarding the paren</w:t>
      </w:r>
      <w:r>
        <w:t>t-child relationship of a child born as a result of assisted reproductive technology utilizing ova or sperm provided by persons other than those receiving the assisted reproductive technology.</w:t>
      </w:r>
    </w:p>
    <w:p w:rsidR="00285DE0" w:rsidRDefault="00285DE0"/>
    <w:p w:rsidR="00285DE0" w:rsidRDefault="00FD5DEA">
      <w:pPr>
        <w:pStyle w:val="ena"/>
      </w:pPr>
      <w:r>
        <w:t>(Definitions)</w:t>
      </w:r>
    </w:p>
    <w:p w:rsidR="00285DE0" w:rsidRDefault="00FD5DEA">
      <w:pPr>
        <w:pStyle w:val="enf3"/>
      </w:pPr>
      <w:r>
        <w:t>Article 2  (1) The term "assisted reproductive t</w:t>
      </w:r>
      <w:r>
        <w:t>echnology "as used in this Act means the treatment utilizing artificial insemination, in-vitro fertilization, or in-vitro fertilization embryo transfer.</w:t>
      </w:r>
    </w:p>
    <w:p w:rsidR="00285DE0" w:rsidRDefault="00FD5DEA">
      <w:pPr>
        <w:pStyle w:val="enf4"/>
      </w:pPr>
      <w:r>
        <w:t>(2) The term "artificial insemination," as used in the preceding paragraph, means to inject sperm which</w:t>
      </w:r>
      <w:r>
        <w:t xml:space="preserve"> has been provided by a male and treated into a woman's womb, "in-vitro fertilization" means to gather and treat unfertilized eggs from a woman's ovary and fertilize them with sperm which has been provided by a male and treated, and "in-vitro fertilization</w:t>
      </w:r>
      <w:r>
        <w:t xml:space="preserve"> embryo transfer" means to transfer the embryo generated by the in-vitro fertilization into a woman's uterus.</w:t>
      </w:r>
    </w:p>
    <w:p w:rsidR="00285DE0" w:rsidRDefault="00285DE0"/>
    <w:p w:rsidR="00285DE0" w:rsidRDefault="00FD5DEA">
      <w:pPr>
        <w:pStyle w:val="en3"/>
      </w:pPr>
      <w:r>
        <w:t>Chapter II Assisted Reproductive Technology Offering</w:t>
      </w:r>
    </w:p>
    <w:p w:rsidR="00285DE0" w:rsidRDefault="00285DE0"/>
    <w:p w:rsidR="00285DE0" w:rsidRDefault="00FD5DEA">
      <w:pPr>
        <w:pStyle w:val="ena"/>
      </w:pPr>
      <w:r>
        <w:lastRenderedPageBreak/>
        <w:t>(Basic Principles)</w:t>
      </w:r>
    </w:p>
    <w:p w:rsidR="00285DE0" w:rsidRDefault="00FD5DEA">
      <w:pPr>
        <w:pStyle w:val="enf3"/>
      </w:pPr>
      <w:r>
        <w:t>Article 3  (1) As infertility treatment, assisted reproductive technolog</w:t>
      </w:r>
      <w:r>
        <w:t>y is to be properly conducted by taking into account the mental and physical condition of those who receive it, and careful planning must be conducted to protect the health of the women who would conceive and give birth as a result of the treatment.</w:t>
      </w:r>
    </w:p>
    <w:p w:rsidR="00285DE0" w:rsidRDefault="00FD5DEA">
      <w:pPr>
        <w:pStyle w:val="enf4"/>
      </w:pPr>
      <w:r>
        <w:t>(2) In</w:t>
      </w:r>
      <w:r>
        <w:t xml:space="preserve"> implementing assisted reproductive technology, necessary and appropriate explanations must be given, and it must be carried out based upon sufficient understanding and clear intentions of the parties involved.</w:t>
      </w:r>
    </w:p>
    <w:p w:rsidR="00285DE0" w:rsidRDefault="00FD5DEA">
      <w:pPr>
        <w:pStyle w:val="enf4"/>
      </w:pPr>
      <w:r>
        <w:t>(3) Regarding the gathering and safekeeping o</w:t>
      </w:r>
      <w:r>
        <w:t>f the sperm and ova utilized in assisted reproductive technology, efforts must be made to ensure the safety of those processes.</w:t>
      </w:r>
    </w:p>
    <w:p w:rsidR="00285DE0" w:rsidRDefault="00FD5DEA">
      <w:pPr>
        <w:pStyle w:val="enf4"/>
      </w:pPr>
      <w:r>
        <w:t>(4) Regarding a child who is born as a result of assisted reproductive technology, due care is to be given that they are born he</w:t>
      </w:r>
      <w:r>
        <w:t>althy in mind and body and are able to grow up in like manner.</w:t>
      </w:r>
    </w:p>
    <w:p w:rsidR="00285DE0" w:rsidRDefault="00285DE0"/>
    <w:p w:rsidR="00285DE0" w:rsidRDefault="00FD5DEA">
      <w:pPr>
        <w:pStyle w:val="ena"/>
      </w:pPr>
      <w:r>
        <w:t>(The Responsibility of the State)</w:t>
      </w:r>
    </w:p>
    <w:p w:rsidR="00285DE0" w:rsidRDefault="00FD5DEA">
      <w:pPr>
        <w:pStyle w:val="enf3"/>
      </w:pPr>
      <w:r>
        <w:t xml:space="preserve">Article 4  (1) Taking into consideration the basic principles set forth in the preceding Article, the State has the responsibility to formulate and </w:t>
      </w:r>
      <w:r>
        <w:t>implement a comprehensive policy to ensure appropriate offering of assisted reproductive technology.</w:t>
      </w:r>
    </w:p>
    <w:p w:rsidR="00285DE0" w:rsidRDefault="00FD5DEA">
      <w:pPr>
        <w:pStyle w:val="enf4"/>
      </w:pPr>
      <w:r>
        <w:t>(2) In conducting the policy formulation and implementation referred to in the preceding paragraph, the State must take into consideration the special char</w:t>
      </w:r>
      <w:r>
        <w:t>acteristics of assisted reproductive technology and bioethics, must try to obtain the understanding of the people.</w:t>
      </w:r>
    </w:p>
    <w:p w:rsidR="00285DE0" w:rsidRDefault="00285DE0"/>
    <w:p w:rsidR="00285DE0" w:rsidRDefault="00FD5DEA">
      <w:pPr>
        <w:pStyle w:val="ena"/>
      </w:pPr>
      <w:r>
        <w:t>(The Responsibility of Medical Personnel)</w:t>
      </w:r>
    </w:p>
    <w:p w:rsidR="00285DE0" w:rsidRDefault="00FD5DEA">
      <w:pPr>
        <w:pStyle w:val="enf3"/>
      </w:pPr>
      <w:r>
        <w:t>Article 5  Taking into consideration the basic principles set forth in the Article 3, physicians a</w:t>
      </w:r>
      <w:r>
        <w:t>nd other medical personnel must make efforts to provide high quality and appropriate assisted reproductive technology.</w:t>
      </w:r>
    </w:p>
    <w:p w:rsidR="00285DE0" w:rsidRDefault="00285DE0"/>
    <w:p w:rsidR="00285DE0" w:rsidRDefault="00FD5DEA">
      <w:pPr>
        <w:pStyle w:val="ena"/>
      </w:pPr>
      <w:r>
        <w:t>(Dissemination of Knowledge)</w:t>
      </w:r>
    </w:p>
    <w:p w:rsidR="00285DE0" w:rsidRDefault="00FD5DEA">
      <w:pPr>
        <w:pStyle w:val="enf3"/>
      </w:pPr>
      <w:r>
        <w:t>Article 6  Through public relations and educational activities, the State must endeavor to develop and diss</w:t>
      </w:r>
      <w:r>
        <w:t>eminate accurate information regarding pregnancy, childbirth and infertility treatment.</w:t>
      </w:r>
    </w:p>
    <w:p w:rsidR="00285DE0" w:rsidRDefault="00285DE0"/>
    <w:p w:rsidR="00285DE0" w:rsidRDefault="00FD5DEA">
      <w:pPr>
        <w:pStyle w:val="ena"/>
      </w:pPr>
      <w:r>
        <w:t>(Establishment of Consultation System)</w:t>
      </w:r>
    </w:p>
    <w:p w:rsidR="00285DE0" w:rsidRDefault="00FD5DEA">
      <w:pPr>
        <w:pStyle w:val="enf3"/>
      </w:pPr>
      <w:r>
        <w:t>Article 7  The State must endeavor to establish a necessary consultation system in order to be able to respond to various consul</w:t>
      </w:r>
      <w:r>
        <w:t xml:space="preserve">tation requests regarding assisted reproductive technology, children's growth, etc. from persons considering receiving assisted reproductive technology, those who have already </w:t>
      </w:r>
      <w:r>
        <w:lastRenderedPageBreak/>
        <w:t>done so, and those who were born as a result of assisted reproductive technology</w:t>
      </w:r>
      <w:r>
        <w:t>.</w:t>
      </w:r>
    </w:p>
    <w:p w:rsidR="00285DE0" w:rsidRDefault="00285DE0"/>
    <w:p w:rsidR="00285DE0" w:rsidRDefault="00FD5DEA">
      <w:pPr>
        <w:pStyle w:val="ena"/>
      </w:pPr>
      <w:r>
        <w:t>(Legislative Measures)</w:t>
      </w:r>
    </w:p>
    <w:p w:rsidR="00285DE0" w:rsidRDefault="00FD5DEA">
      <w:pPr>
        <w:pStyle w:val="enf3"/>
      </w:pPr>
      <w:r>
        <w:t>Article 8  Pursuant to the provisions of this Chapter, the State must take necessary legislative and other measures in order to ensure appropriate offerings, etc. of assisted reproductive technology.</w:t>
      </w:r>
    </w:p>
    <w:p w:rsidR="00285DE0" w:rsidRDefault="00285DE0"/>
    <w:p w:rsidR="00285DE0" w:rsidRDefault="00FD5DEA">
      <w:pPr>
        <w:pStyle w:val="en3"/>
      </w:pPr>
      <w:r>
        <w:t>Chapter III Special Provision</w:t>
      </w:r>
      <w:r>
        <w:t>s of the Civil Code Related to the Parent-Child Relationship of a Child Born As a Result of Assisted Reproduction Technology</w:t>
      </w:r>
    </w:p>
    <w:p w:rsidR="00285DE0" w:rsidRDefault="00285DE0"/>
    <w:p w:rsidR="00285DE0" w:rsidRDefault="00FD5DEA">
      <w:pPr>
        <w:pStyle w:val="ena"/>
      </w:pPr>
      <w:r>
        <w:t>(The mother of a child who was born as a result of the mother's use of assisted reproductive technology utilizing ova from another</w:t>
      </w:r>
      <w:r>
        <w:t xml:space="preserve"> person)</w:t>
      </w:r>
    </w:p>
    <w:p w:rsidR="00285DE0" w:rsidRDefault="00FD5DEA">
      <w:pPr>
        <w:pStyle w:val="enf3"/>
      </w:pPr>
      <w:r>
        <w:t>Article 9  If a woman who uses assisted reproductive technology utilizing ova from another person conceives and gives birth to a child, the woman giving birth is the child's mother.</w:t>
      </w:r>
    </w:p>
    <w:p w:rsidR="00285DE0" w:rsidRDefault="00285DE0"/>
    <w:p w:rsidR="00285DE0" w:rsidRDefault="00FD5DEA">
      <w:pPr>
        <w:pStyle w:val="ena"/>
      </w:pPr>
      <w:r>
        <w:t xml:space="preserve">(Ban on Rebutting the Presumption of a Child Born in Wedlock by </w:t>
      </w:r>
      <w:r>
        <w:t>a Husband Who Has Consented to Assisted Reproductive Technology Using Another Person's Sperm)</w:t>
      </w:r>
    </w:p>
    <w:p w:rsidR="00285DE0" w:rsidRDefault="00FD5DEA">
      <w:pPr>
        <w:pStyle w:val="enf3"/>
      </w:pPr>
      <w:r>
        <w:t>Article 10  A husband cannot rebut the presumption of the child born in wedlock conceived by his wife as a result of assisted reproductive technology using the sp</w:t>
      </w:r>
      <w:r>
        <w:t>erm (including the embryo originating from that sperm) of another with the consent of the husband, notwithstanding the provisions of Article 774 of the Civil Code.</w:t>
      </w:r>
    </w:p>
    <w:p w:rsidR="00285DE0" w:rsidRDefault="00285DE0"/>
    <w:p w:rsidR="00285DE0" w:rsidRDefault="00FD5DEA">
      <w:pPr>
        <w:pStyle w:val="en2"/>
      </w:pPr>
      <w:r>
        <w:t>Supplementary Provisions</w:t>
      </w:r>
    </w:p>
    <w:p w:rsidR="00285DE0" w:rsidRDefault="00285DE0"/>
    <w:p w:rsidR="00285DE0" w:rsidRDefault="00FD5DEA">
      <w:pPr>
        <w:pStyle w:val="ena"/>
      </w:pPr>
      <w:r>
        <w:t>(Effective Date)</w:t>
      </w:r>
    </w:p>
    <w:p w:rsidR="00285DE0" w:rsidRDefault="00FD5DEA">
      <w:pPr>
        <w:pStyle w:val="enf3"/>
      </w:pPr>
      <w:r>
        <w:t>Article 1  This Act comes into effect on the day</w:t>
      </w:r>
      <w:r>
        <w:t xml:space="preserve"> on which three months have elapsed from the date of promulgation. Provided, however, that the provisions of Article 3 come into effect on the day on which one year has elapsed from the date of promulgation</w:t>
      </w:r>
    </w:p>
    <w:p w:rsidR="00285DE0" w:rsidRDefault="00285DE0"/>
    <w:p w:rsidR="00285DE0" w:rsidRDefault="00FD5DEA">
      <w:pPr>
        <w:pStyle w:val="ena"/>
      </w:pPr>
      <w:r>
        <w:t>(Transitional Measures)</w:t>
      </w:r>
    </w:p>
    <w:p w:rsidR="00285DE0" w:rsidRDefault="00FD5DEA">
      <w:pPr>
        <w:pStyle w:val="enf3"/>
      </w:pPr>
      <w:r>
        <w:t xml:space="preserve">Article 2  The </w:t>
      </w:r>
      <w:r>
        <w:t>provisions of Chapter 3 apply to a child who was born as a result of assisted reproductive technology after the date specified in the proviso of the previous Article.</w:t>
      </w:r>
    </w:p>
    <w:p w:rsidR="00285DE0" w:rsidRDefault="00285DE0"/>
    <w:p w:rsidR="00285DE0" w:rsidRDefault="00FD5DEA">
      <w:pPr>
        <w:pStyle w:val="ena"/>
      </w:pPr>
      <w:r>
        <w:t>(Review)</w:t>
      </w:r>
    </w:p>
    <w:p w:rsidR="00285DE0" w:rsidRDefault="00FD5DEA">
      <w:pPr>
        <w:pStyle w:val="enf3"/>
      </w:pPr>
      <w:r>
        <w:t>Article 3  (1) In order to ensure the appropriate offering, etc. of assisted re</w:t>
      </w:r>
      <w:r>
        <w:t>productive technology, the following and other necessary matters will be reviewed in approximately 2 years, and legislative and other necessary measures are to be taken based on the review results.</w:t>
      </w:r>
    </w:p>
    <w:p w:rsidR="00285DE0" w:rsidRDefault="00FD5DEA">
      <w:pPr>
        <w:pStyle w:val="enf6"/>
      </w:pPr>
      <w:r>
        <w:t>(i) the ideal regulations concerning assisted reproductive</w:t>
      </w:r>
      <w:r>
        <w:t xml:space="preserve"> technology and its offering</w:t>
      </w:r>
    </w:p>
    <w:p w:rsidR="00285DE0" w:rsidRDefault="00FD5DEA">
      <w:pPr>
        <w:pStyle w:val="enf6"/>
      </w:pPr>
      <w:r>
        <w:t>(ii) the ideal regulations concerning the offering (including what is supplied by medical institutions) of sperm, ova, or embryos utilized in assisted reproductive technology or go-between (including developing a system by whic</w:t>
      </w:r>
      <w:r>
        <w:t>h properly to go between each side)</w:t>
      </w:r>
    </w:p>
    <w:p w:rsidR="00285DE0" w:rsidRDefault="00FD5DEA">
      <w:pPr>
        <w:pStyle w:val="enf6"/>
      </w:pPr>
      <w:r>
        <w:t>(iii) the the ideal system concerning the preservation, management, and disclosure, etc. of the information related to the persons who have received assisted reproductive technology utilizing the sperm or ova of other pe</w:t>
      </w:r>
      <w:r>
        <w:t>rsons, the persons who have provided the sperm or ova used in the assisted reproductive technology, and the persons born as a result of the assisted reproductive technology</w:t>
      </w:r>
    </w:p>
    <w:p w:rsidR="00285DE0" w:rsidRDefault="00FD5DEA">
      <w:pPr>
        <w:pStyle w:val="enf4"/>
      </w:pPr>
      <w:r>
        <w:t xml:space="preserve">(2) In conducting the review referenced in the preceding paragraph, a wide-ranging </w:t>
      </w:r>
      <w:r>
        <w:t>and thorough review is to be conducted by utilizing the joint meeting of the standing committee of both Houses.</w:t>
      </w:r>
    </w:p>
    <w:p w:rsidR="00285DE0" w:rsidRDefault="00FD5DEA">
      <w:pPr>
        <w:pStyle w:val="enf4"/>
      </w:pPr>
      <w:r>
        <w:t xml:space="preserve">(3) Concerning the provisions of this Act, from the standpoint of stably establishing the parent-child relationship of a child born as a result </w:t>
      </w:r>
      <w:r>
        <w:t>of the said assisted reproductive technology that is to be accepted based on the results of the review referenced in paragraph (1), further review will be conducted including establishment of special provisions of Chapter 3, and based on the results, neces</w:t>
      </w:r>
      <w:r>
        <w:t>sary legislative measures are to be taken.</w:t>
      </w:r>
    </w:p>
    <w:sectPr w:rsidR="00285DE0" w:rsidSect="00285D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DE0" w:rsidRDefault="00285DE0" w:rsidP="00285DE0">
      <w:r>
        <w:separator/>
      </w:r>
    </w:p>
  </w:endnote>
  <w:endnote w:type="continuationSeparator" w:id="0">
    <w:p w:rsidR="00285DE0" w:rsidRDefault="00285DE0" w:rsidP="002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DE0" w:rsidRDefault="00285DE0">
    <w:pPr>
      <w:pStyle w:val="a3"/>
    </w:pPr>
    <w:r>
      <w:fldChar w:fldCharType="begin"/>
    </w:r>
    <w:r>
      <w:instrText xml:space="preserve"> PAGE  \* MERGEFORMAT </w:instrText>
    </w:r>
    <w:r>
      <w:fldChar w:fldCharType="separate"/>
    </w:r>
    <w:r w:rsidR="00FD5D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DE0" w:rsidRDefault="00285DE0" w:rsidP="00285DE0">
      <w:r>
        <w:separator/>
      </w:r>
    </w:p>
  </w:footnote>
  <w:footnote w:type="continuationSeparator" w:id="0">
    <w:p w:rsidR="00285DE0" w:rsidRDefault="00285DE0" w:rsidP="00285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398E"/>
    <w:multiLevelType w:val="multilevel"/>
    <w:tmpl w:val="D4BA9B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E675D56"/>
    <w:multiLevelType w:val="multilevel"/>
    <w:tmpl w:val="CE320C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6F27023"/>
    <w:multiLevelType w:val="multilevel"/>
    <w:tmpl w:val="712C29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25547BA"/>
    <w:multiLevelType w:val="multilevel"/>
    <w:tmpl w:val="E64A37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7AA6DA9"/>
    <w:multiLevelType w:val="multilevel"/>
    <w:tmpl w:val="91E464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FD95045"/>
    <w:multiLevelType w:val="multilevel"/>
    <w:tmpl w:val="3F90FF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295A39"/>
    <w:multiLevelType w:val="multilevel"/>
    <w:tmpl w:val="112E67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8C70A7"/>
    <w:multiLevelType w:val="multilevel"/>
    <w:tmpl w:val="EC9A7E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ACF603E"/>
    <w:multiLevelType w:val="multilevel"/>
    <w:tmpl w:val="D7C40D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D24D9A"/>
    <w:multiLevelType w:val="multilevel"/>
    <w:tmpl w:val="AD94AF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04A81"/>
    <w:multiLevelType w:val="multilevel"/>
    <w:tmpl w:val="0FC44C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E0037D"/>
    <w:multiLevelType w:val="multilevel"/>
    <w:tmpl w:val="E58A92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D260B"/>
    <w:multiLevelType w:val="multilevel"/>
    <w:tmpl w:val="7D9893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423730">
    <w:abstractNumId w:val="0"/>
  </w:num>
  <w:num w:numId="2" w16cid:durableId="1960719285">
    <w:abstractNumId w:val="1"/>
  </w:num>
  <w:num w:numId="3" w16cid:durableId="1136264192">
    <w:abstractNumId w:val="8"/>
  </w:num>
  <w:num w:numId="4" w16cid:durableId="2037463504">
    <w:abstractNumId w:val="11"/>
  </w:num>
  <w:num w:numId="5" w16cid:durableId="382102889">
    <w:abstractNumId w:val="9"/>
  </w:num>
  <w:num w:numId="6" w16cid:durableId="221141478">
    <w:abstractNumId w:val="10"/>
  </w:num>
  <w:num w:numId="7" w16cid:durableId="1236745711">
    <w:abstractNumId w:val="6"/>
  </w:num>
  <w:num w:numId="8" w16cid:durableId="474372722">
    <w:abstractNumId w:val="3"/>
  </w:num>
  <w:num w:numId="9" w16cid:durableId="2111662863">
    <w:abstractNumId w:val="2"/>
  </w:num>
  <w:num w:numId="10" w16cid:durableId="1283879703">
    <w:abstractNumId w:val="12"/>
  </w:num>
  <w:num w:numId="11" w16cid:durableId="656348105">
    <w:abstractNumId w:val="5"/>
  </w:num>
  <w:num w:numId="12" w16cid:durableId="1962951450">
    <w:abstractNumId w:val="7"/>
  </w:num>
  <w:num w:numId="13" w16cid:durableId="944190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5DE0"/>
    <w:rsid w:val="00285DE0"/>
    <w:rsid w:val="00FD5D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D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5D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5DE0"/>
    <w:rPr>
      <w:rFonts w:ascii="Century" w:eastAsia="Century" w:hAnsi="Century"/>
    </w:rPr>
  </w:style>
  <w:style w:type="paragraph" w:customStyle="1" w:styleId="ja0">
    <w:name w:val="款（ja）"/>
    <w:basedOn w:val="a"/>
    <w:rsid w:val="00285DE0"/>
    <w:pPr>
      <w:widowControl w:val="0"/>
      <w:ind w:left="1321" w:hanging="221"/>
    </w:pPr>
    <w:rPr>
      <w:rFonts w:ascii="ＭＳ 明朝" w:eastAsia="ＭＳ 明朝" w:hAnsi="ＭＳ 明朝" w:cs="ＭＳ 明朝"/>
      <w:b/>
    </w:rPr>
  </w:style>
  <w:style w:type="paragraph" w:customStyle="1" w:styleId="en0">
    <w:name w:val="款（en）"/>
    <w:basedOn w:val="ja0"/>
    <w:rsid w:val="00285DE0"/>
    <w:rPr>
      <w:rFonts w:ascii="Century" w:eastAsia="Century" w:hAnsi="Century" w:cs="Century"/>
    </w:rPr>
  </w:style>
  <w:style w:type="paragraph" w:customStyle="1" w:styleId="ja1">
    <w:name w:val="前文（ja）"/>
    <w:basedOn w:val="a"/>
    <w:rsid w:val="00285DE0"/>
    <w:pPr>
      <w:widowControl w:val="0"/>
      <w:ind w:firstLine="219"/>
    </w:pPr>
    <w:rPr>
      <w:rFonts w:ascii="ＭＳ 明朝" w:eastAsia="ＭＳ 明朝" w:hAnsi="ＭＳ 明朝" w:cs="ＭＳ 明朝"/>
    </w:rPr>
  </w:style>
  <w:style w:type="paragraph" w:customStyle="1" w:styleId="en1">
    <w:name w:val="前文（en）"/>
    <w:basedOn w:val="ja1"/>
    <w:rsid w:val="00285DE0"/>
    <w:rPr>
      <w:rFonts w:ascii="Century" w:eastAsia="Century" w:hAnsi="Century" w:cs="Century"/>
    </w:rPr>
  </w:style>
  <w:style w:type="paragraph" w:customStyle="1" w:styleId="ja2">
    <w:name w:val="附則（ja）"/>
    <w:basedOn w:val="a"/>
    <w:rsid w:val="00285DE0"/>
    <w:pPr>
      <w:widowControl w:val="0"/>
      <w:ind w:left="881" w:hanging="221"/>
    </w:pPr>
    <w:rPr>
      <w:rFonts w:ascii="ＭＳ 明朝" w:eastAsia="ＭＳ 明朝" w:hAnsi="ＭＳ 明朝" w:cs="ＭＳ 明朝"/>
      <w:b/>
    </w:rPr>
  </w:style>
  <w:style w:type="paragraph" w:customStyle="1" w:styleId="en2">
    <w:name w:val="附則（en）"/>
    <w:basedOn w:val="ja2"/>
    <w:rsid w:val="00285DE0"/>
    <w:rPr>
      <w:rFonts w:ascii="Century" w:hAnsi="Century" w:cs="Century"/>
    </w:rPr>
  </w:style>
  <w:style w:type="paragraph" w:customStyle="1" w:styleId="ja3">
    <w:name w:val="章（ja）"/>
    <w:basedOn w:val="a"/>
    <w:rsid w:val="00285DE0"/>
    <w:pPr>
      <w:widowControl w:val="0"/>
      <w:ind w:left="881" w:hanging="221"/>
    </w:pPr>
    <w:rPr>
      <w:rFonts w:ascii="ＭＳ 明朝" w:eastAsia="ＭＳ 明朝" w:hAnsi="ＭＳ 明朝" w:cs="ＭＳ 明朝"/>
      <w:b/>
    </w:rPr>
  </w:style>
  <w:style w:type="paragraph" w:customStyle="1" w:styleId="en3">
    <w:name w:val="章（en）"/>
    <w:basedOn w:val="ja3"/>
    <w:rsid w:val="00285DE0"/>
    <w:rPr>
      <w:rFonts w:ascii="Century" w:eastAsia="Century" w:hAnsi="Century" w:cs="Century"/>
    </w:rPr>
  </w:style>
  <w:style w:type="paragraph" w:customStyle="1" w:styleId="ja4">
    <w:name w:val="目次編（ja）"/>
    <w:basedOn w:val="a"/>
    <w:rsid w:val="00285DE0"/>
    <w:pPr>
      <w:widowControl w:val="0"/>
      <w:ind w:left="219" w:hanging="219"/>
    </w:pPr>
    <w:rPr>
      <w:rFonts w:ascii="ＭＳ 明朝" w:eastAsia="ＭＳ 明朝" w:hAnsi="ＭＳ 明朝"/>
    </w:rPr>
  </w:style>
  <w:style w:type="paragraph" w:customStyle="1" w:styleId="en4">
    <w:name w:val="目次編（en）"/>
    <w:basedOn w:val="ja4"/>
    <w:rsid w:val="00285DE0"/>
    <w:rPr>
      <w:rFonts w:ascii="Century" w:eastAsia="Century" w:hAnsi="Century"/>
    </w:rPr>
  </w:style>
  <w:style w:type="paragraph" w:customStyle="1" w:styleId="ja5">
    <w:name w:val="目次章（ja）"/>
    <w:basedOn w:val="a"/>
    <w:rsid w:val="00285DE0"/>
    <w:pPr>
      <w:widowControl w:val="0"/>
      <w:ind w:left="439" w:hanging="219"/>
    </w:pPr>
    <w:rPr>
      <w:rFonts w:ascii="ＭＳ 明朝" w:eastAsia="ＭＳ 明朝" w:hAnsi="ＭＳ 明朝"/>
    </w:rPr>
  </w:style>
  <w:style w:type="paragraph" w:customStyle="1" w:styleId="en5">
    <w:name w:val="目次章（en）"/>
    <w:basedOn w:val="ja5"/>
    <w:rsid w:val="00285DE0"/>
    <w:rPr>
      <w:rFonts w:ascii="Century" w:eastAsia="Century" w:hAnsi="Century"/>
    </w:rPr>
  </w:style>
  <w:style w:type="paragraph" w:customStyle="1" w:styleId="ja6">
    <w:name w:val="目次節（ja）"/>
    <w:basedOn w:val="a"/>
    <w:rsid w:val="00285DE0"/>
    <w:pPr>
      <w:widowControl w:val="0"/>
      <w:ind w:left="659" w:hanging="219"/>
    </w:pPr>
    <w:rPr>
      <w:rFonts w:ascii="ＭＳ 明朝" w:eastAsia="ＭＳ 明朝" w:hAnsi="ＭＳ 明朝"/>
    </w:rPr>
  </w:style>
  <w:style w:type="paragraph" w:customStyle="1" w:styleId="en6">
    <w:name w:val="目次節（en）"/>
    <w:basedOn w:val="ja6"/>
    <w:rsid w:val="00285DE0"/>
    <w:rPr>
      <w:rFonts w:ascii="Century" w:eastAsia="Century" w:hAnsi="Century"/>
    </w:rPr>
  </w:style>
  <w:style w:type="paragraph" w:customStyle="1" w:styleId="ja7">
    <w:name w:val="目次款（ja）"/>
    <w:basedOn w:val="a"/>
    <w:rsid w:val="00285DE0"/>
    <w:pPr>
      <w:widowControl w:val="0"/>
      <w:ind w:left="879" w:hanging="219"/>
    </w:pPr>
    <w:rPr>
      <w:rFonts w:ascii="ＭＳ 明朝" w:eastAsia="ＭＳ 明朝" w:hAnsi="ＭＳ 明朝" w:cs="Kochi Mincho"/>
    </w:rPr>
  </w:style>
  <w:style w:type="paragraph" w:customStyle="1" w:styleId="en7">
    <w:name w:val="目次款（en）"/>
    <w:basedOn w:val="ja7"/>
    <w:rsid w:val="00285DE0"/>
    <w:rPr>
      <w:rFonts w:ascii="Century" w:eastAsia="Century" w:hAnsi="Century"/>
    </w:rPr>
  </w:style>
  <w:style w:type="paragraph" w:customStyle="1" w:styleId="ja8">
    <w:name w:val="別表名（ja）"/>
    <w:basedOn w:val="a"/>
    <w:rsid w:val="00285D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5DE0"/>
    <w:rPr>
      <w:rFonts w:ascii="Century" w:eastAsia="Century" w:hAnsi="Century" w:cs="Century"/>
    </w:rPr>
  </w:style>
  <w:style w:type="paragraph" w:customStyle="1" w:styleId="ja9">
    <w:name w:val="目（ja）"/>
    <w:basedOn w:val="a"/>
    <w:rsid w:val="00285DE0"/>
    <w:pPr>
      <w:widowControl w:val="0"/>
      <w:ind w:left="1541" w:hanging="221"/>
    </w:pPr>
    <w:rPr>
      <w:rFonts w:ascii="ＭＳ 明朝" w:eastAsia="ＭＳ 明朝" w:hAnsi="ＭＳ 明朝" w:cs="ＭＳ 明朝"/>
      <w:b/>
    </w:rPr>
  </w:style>
  <w:style w:type="paragraph" w:customStyle="1" w:styleId="en9">
    <w:name w:val="目（en）"/>
    <w:basedOn w:val="ja9"/>
    <w:rsid w:val="00285DE0"/>
    <w:rPr>
      <w:rFonts w:ascii="Century" w:eastAsia="Century" w:hAnsi="Century" w:cs="Century"/>
    </w:rPr>
  </w:style>
  <w:style w:type="paragraph" w:customStyle="1" w:styleId="jaa">
    <w:name w:val="見出し（ja）"/>
    <w:basedOn w:val="a"/>
    <w:rsid w:val="00285DE0"/>
    <w:pPr>
      <w:widowControl w:val="0"/>
      <w:ind w:left="439" w:hanging="219"/>
    </w:pPr>
    <w:rPr>
      <w:rFonts w:ascii="ＭＳ 明朝" w:eastAsia="ＭＳ 明朝" w:hAnsi="ＭＳ 明朝" w:cs="ＭＳ 明朝"/>
    </w:rPr>
  </w:style>
  <w:style w:type="paragraph" w:customStyle="1" w:styleId="ena">
    <w:name w:val="見出し（en）"/>
    <w:basedOn w:val="jaa"/>
    <w:rsid w:val="00285DE0"/>
    <w:rPr>
      <w:rFonts w:ascii="Century" w:eastAsia="Century" w:hAnsi="Century" w:cs="Century"/>
    </w:rPr>
  </w:style>
  <w:style w:type="paragraph" w:styleId="a3">
    <w:name w:val="footer"/>
    <w:basedOn w:val="a"/>
    <w:rsid w:val="00285D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5DE0"/>
    <w:pPr>
      <w:widowControl w:val="0"/>
      <w:ind w:left="1099" w:hanging="219"/>
    </w:pPr>
    <w:rPr>
      <w:rFonts w:ascii="ＭＳ 明朝" w:eastAsia="ＭＳ 明朝" w:hAnsi="ＭＳ 明朝" w:cs="Kochi Mincho"/>
    </w:rPr>
  </w:style>
  <w:style w:type="paragraph" w:customStyle="1" w:styleId="enb">
    <w:name w:val="目次目（en）"/>
    <w:basedOn w:val="jab"/>
    <w:rsid w:val="00285DE0"/>
    <w:rPr>
      <w:rFonts w:ascii="Century" w:eastAsia="Century" w:hAnsi="Century"/>
    </w:rPr>
  </w:style>
  <w:style w:type="paragraph" w:customStyle="1" w:styleId="jac">
    <w:name w:val="目次附則（ja）"/>
    <w:basedOn w:val="a"/>
    <w:rsid w:val="00285DE0"/>
    <w:pPr>
      <w:widowControl w:val="0"/>
      <w:ind w:left="439" w:hanging="219"/>
    </w:pPr>
    <w:rPr>
      <w:rFonts w:ascii="ＭＳ 明朝" w:eastAsia="ＭＳ 明朝" w:hAnsi="ＭＳ 明朝" w:cs="Kochi Mincho"/>
    </w:rPr>
  </w:style>
  <w:style w:type="paragraph" w:customStyle="1" w:styleId="enc">
    <w:name w:val="目次附則（en）"/>
    <w:basedOn w:val="jac"/>
    <w:rsid w:val="00285DE0"/>
    <w:rPr>
      <w:rFonts w:ascii="Century" w:eastAsia="Century" w:hAnsi="Century" w:cs="Century"/>
    </w:rPr>
  </w:style>
  <w:style w:type="paragraph" w:customStyle="1" w:styleId="jad">
    <w:name w:val="目次前文（ja）"/>
    <w:basedOn w:val="jac"/>
    <w:rsid w:val="00285DE0"/>
  </w:style>
  <w:style w:type="paragraph" w:customStyle="1" w:styleId="end">
    <w:name w:val="目次前文（en）"/>
    <w:basedOn w:val="enc"/>
    <w:rsid w:val="00285DE0"/>
  </w:style>
  <w:style w:type="paragraph" w:customStyle="1" w:styleId="jae">
    <w:name w:val="制定文（ja）"/>
    <w:basedOn w:val="a"/>
    <w:rsid w:val="00285DE0"/>
    <w:pPr>
      <w:widowControl w:val="0"/>
      <w:ind w:firstLine="219"/>
    </w:pPr>
    <w:rPr>
      <w:rFonts w:ascii="ＭＳ 明朝" w:eastAsia="ＭＳ 明朝" w:hAnsi="ＭＳ 明朝" w:cs="ＭＳ 明朝"/>
    </w:rPr>
  </w:style>
  <w:style w:type="paragraph" w:customStyle="1" w:styleId="ene">
    <w:name w:val="制定文（en）"/>
    <w:basedOn w:val="jae"/>
    <w:rsid w:val="00285DE0"/>
    <w:rPr>
      <w:rFonts w:ascii="Century" w:eastAsia="Century" w:hAnsi="Century" w:cs="Century"/>
    </w:rPr>
  </w:style>
  <w:style w:type="paragraph" w:customStyle="1" w:styleId="jaf">
    <w:name w:val="法令番号（ja）"/>
    <w:basedOn w:val="a"/>
    <w:rsid w:val="00285DE0"/>
    <w:pPr>
      <w:widowControl w:val="0"/>
      <w:jc w:val="right"/>
    </w:pPr>
    <w:rPr>
      <w:rFonts w:ascii="ＭＳ 明朝" w:eastAsia="ＭＳ 明朝" w:hAnsi="ＭＳ 明朝" w:cs="Kochi Mincho"/>
    </w:rPr>
  </w:style>
  <w:style w:type="paragraph" w:customStyle="1" w:styleId="enf">
    <w:name w:val="法令番号（en）"/>
    <w:basedOn w:val="jaf"/>
    <w:rsid w:val="00285DE0"/>
    <w:rPr>
      <w:rFonts w:ascii="Century" w:eastAsia="Century" w:hAnsi="Century" w:cs="Century"/>
    </w:rPr>
  </w:style>
  <w:style w:type="paragraph" w:customStyle="1" w:styleId="jaf0">
    <w:name w:val="目次（ja）"/>
    <w:basedOn w:val="a"/>
    <w:rsid w:val="00285DE0"/>
    <w:rPr>
      <w:rFonts w:ascii="ＭＳ 明朝" w:eastAsia="ＭＳ 明朝" w:hAnsi="ＭＳ 明朝"/>
    </w:rPr>
  </w:style>
  <w:style w:type="paragraph" w:customStyle="1" w:styleId="enf0">
    <w:name w:val="目次（en）"/>
    <w:basedOn w:val="jaf0"/>
    <w:rsid w:val="00285DE0"/>
    <w:rPr>
      <w:rFonts w:ascii="Century" w:eastAsia="Century" w:hAnsi="Century"/>
    </w:rPr>
  </w:style>
  <w:style w:type="paragraph" w:customStyle="1" w:styleId="jaf1">
    <w:name w:val="編（ja）"/>
    <w:basedOn w:val="a"/>
    <w:rsid w:val="00285DE0"/>
    <w:pPr>
      <w:widowControl w:val="0"/>
      <w:ind w:left="661" w:hanging="221"/>
    </w:pPr>
    <w:rPr>
      <w:rFonts w:ascii="ＭＳ 明朝" w:eastAsia="ＭＳ 明朝" w:hAnsi="ＭＳ 明朝" w:cs="ＭＳ 明朝"/>
      <w:b/>
    </w:rPr>
  </w:style>
  <w:style w:type="paragraph" w:customStyle="1" w:styleId="enf1">
    <w:name w:val="編（en）"/>
    <w:basedOn w:val="jaf1"/>
    <w:rsid w:val="00285DE0"/>
    <w:rPr>
      <w:rFonts w:ascii="Century" w:eastAsia="Century" w:hAnsi="Century" w:cs="Century"/>
    </w:rPr>
  </w:style>
  <w:style w:type="paragraph" w:customStyle="1" w:styleId="jaf2">
    <w:name w:val="節（ja）"/>
    <w:basedOn w:val="a"/>
    <w:rsid w:val="00285DE0"/>
    <w:pPr>
      <w:widowControl w:val="0"/>
      <w:ind w:left="1101" w:hanging="221"/>
    </w:pPr>
    <w:rPr>
      <w:rFonts w:ascii="ＭＳ 明朝" w:eastAsia="ＭＳ 明朝" w:hAnsi="ＭＳ 明朝" w:cs="ＭＳ 明朝"/>
      <w:b/>
    </w:rPr>
  </w:style>
  <w:style w:type="paragraph" w:customStyle="1" w:styleId="enf2">
    <w:name w:val="節（en）"/>
    <w:basedOn w:val="jaf2"/>
    <w:rsid w:val="00285DE0"/>
    <w:rPr>
      <w:rFonts w:ascii="Century" w:eastAsia="Century" w:hAnsi="Century" w:cs="Century"/>
    </w:rPr>
  </w:style>
  <w:style w:type="paragraph" w:customStyle="1" w:styleId="jaf3">
    <w:name w:val="条（ja）"/>
    <w:basedOn w:val="a"/>
    <w:rsid w:val="00285DE0"/>
    <w:pPr>
      <w:widowControl w:val="0"/>
      <w:ind w:left="219" w:hanging="219"/>
    </w:pPr>
    <w:rPr>
      <w:rFonts w:ascii="ＭＳ 明朝" w:eastAsia="ＭＳ 明朝" w:hAnsi="ＭＳ 明朝" w:cs="ＭＳ 明朝"/>
    </w:rPr>
  </w:style>
  <w:style w:type="paragraph" w:customStyle="1" w:styleId="enf3">
    <w:name w:val="条（en）"/>
    <w:basedOn w:val="jaf3"/>
    <w:rsid w:val="00285DE0"/>
    <w:rPr>
      <w:rFonts w:ascii="Century" w:eastAsia="Century" w:hAnsi="Century" w:cs="Century"/>
    </w:rPr>
  </w:style>
  <w:style w:type="paragraph" w:customStyle="1" w:styleId="jaf4">
    <w:name w:val="項（ja）"/>
    <w:basedOn w:val="a"/>
    <w:rsid w:val="00285DE0"/>
    <w:pPr>
      <w:widowControl w:val="0"/>
      <w:ind w:left="219" w:hanging="219"/>
    </w:pPr>
    <w:rPr>
      <w:rFonts w:ascii="ＭＳ 明朝" w:eastAsia="ＭＳ 明朝" w:hAnsi="ＭＳ 明朝" w:cs="ＭＳ 明朝"/>
    </w:rPr>
  </w:style>
  <w:style w:type="paragraph" w:customStyle="1" w:styleId="enf4">
    <w:name w:val="項（en）"/>
    <w:basedOn w:val="jaf4"/>
    <w:rsid w:val="00285DE0"/>
    <w:rPr>
      <w:rFonts w:ascii="Century" w:eastAsia="Century" w:hAnsi="Century" w:cs="Century"/>
    </w:rPr>
  </w:style>
  <w:style w:type="paragraph" w:customStyle="1" w:styleId="jaf5">
    <w:name w:val="項　番号なし（ja）"/>
    <w:basedOn w:val="a"/>
    <w:rsid w:val="00285DE0"/>
    <w:pPr>
      <w:widowControl w:val="0"/>
      <w:ind w:firstLine="221"/>
    </w:pPr>
    <w:rPr>
      <w:rFonts w:ascii="ＭＳ 明朝" w:eastAsia="ＭＳ 明朝" w:hAnsi="ＭＳ 明朝" w:cs="ＭＳ 明朝"/>
    </w:rPr>
  </w:style>
  <w:style w:type="paragraph" w:customStyle="1" w:styleId="enf5">
    <w:name w:val="項　番号なし（en）"/>
    <w:basedOn w:val="jaf5"/>
    <w:rsid w:val="00285DE0"/>
    <w:rPr>
      <w:rFonts w:ascii="Century" w:eastAsia="Century" w:hAnsi="Century" w:cs="Century"/>
    </w:rPr>
  </w:style>
  <w:style w:type="paragraph" w:customStyle="1" w:styleId="jaf6">
    <w:name w:val="号（ja）"/>
    <w:basedOn w:val="a"/>
    <w:rsid w:val="00285DE0"/>
    <w:pPr>
      <w:widowControl w:val="0"/>
      <w:ind w:left="439" w:hanging="219"/>
    </w:pPr>
    <w:rPr>
      <w:rFonts w:ascii="ＭＳ 明朝" w:eastAsia="ＭＳ 明朝" w:hAnsi="ＭＳ 明朝" w:cs="ＭＳ 明朝"/>
    </w:rPr>
  </w:style>
  <w:style w:type="paragraph" w:customStyle="1" w:styleId="enf6">
    <w:name w:val="号（en）"/>
    <w:basedOn w:val="jaf6"/>
    <w:rsid w:val="00285DE0"/>
    <w:rPr>
      <w:rFonts w:ascii="Century" w:eastAsia="Century" w:hAnsi="Century" w:cs="Century"/>
    </w:rPr>
  </w:style>
  <w:style w:type="paragraph" w:customStyle="1" w:styleId="jaf7">
    <w:name w:val="号　番号なし（ja）"/>
    <w:basedOn w:val="a"/>
    <w:rsid w:val="00285DE0"/>
    <w:pPr>
      <w:widowControl w:val="0"/>
      <w:ind w:left="221" w:firstLine="221"/>
    </w:pPr>
    <w:rPr>
      <w:rFonts w:ascii="ＭＳ 明朝" w:eastAsia="ＭＳ 明朝" w:hAnsi="ＭＳ 明朝" w:cs="ＭＳ 明朝"/>
    </w:rPr>
  </w:style>
  <w:style w:type="paragraph" w:customStyle="1" w:styleId="enf7">
    <w:name w:val="号　番号なし（en）"/>
    <w:basedOn w:val="jaf7"/>
    <w:rsid w:val="00285DE0"/>
    <w:rPr>
      <w:rFonts w:ascii="Century" w:eastAsia="Century" w:hAnsi="Century" w:cs="Century"/>
    </w:rPr>
  </w:style>
  <w:style w:type="paragraph" w:customStyle="1" w:styleId="jaf8">
    <w:name w:val="備考号（ja）"/>
    <w:basedOn w:val="a"/>
    <w:rsid w:val="00285DE0"/>
    <w:pPr>
      <w:widowControl w:val="0"/>
      <w:ind w:left="659" w:hanging="219"/>
    </w:pPr>
    <w:rPr>
      <w:rFonts w:ascii="ＭＳ 明朝" w:eastAsia="ＭＳ 明朝" w:hAnsi="ＭＳ 明朝" w:cs="ＭＳ 明朝"/>
    </w:rPr>
  </w:style>
  <w:style w:type="paragraph" w:customStyle="1" w:styleId="enf8">
    <w:name w:val="備考号（en）"/>
    <w:basedOn w:val="jaf8"/>
    <w:rsid w:val="00285DE0"/>
    <w:rPr>
      <w:rFonts w:ascii="Century" w:eastAsia="Century" w:hAnsi="Century" w:cs="Century"/>
    </w:rPr>
  </w:style>
  <w:style w:type="paragraph" w:customStyle="1" w:styleId="jaf9">
    <w:name w:val="号細分（ja）"/>
    <w:basedOn w:val="a"/>
    <w:rsid w:val="00285DE0"/>
    <w:pPr>
      <w:widowControl w:val="0"/>
      <w:ind w:left="659" w:hanging="219"/>
    </w:pPr>
    <w:rPr>
      <w:rFonts w:ascii="ＭＳ 明朝" w:eastAsia="ＭＳ 明朝" w:hAnsi="ＭＳ 明朝" w:cs="ＭＳ 明朝"/>
    </w:rPr>
  </w:style>
  <w:style w:type="paragraph" w:customStyle="1" w:styleId="enf9">
    <w:name w:val="号細分（en）"/>
    <w:basedOn w:val="jaf9"/>
    <w:rsid w:val="00285DE0"/>
    <w:rPr>
      <w:rFonts w:ascii="Century" w:eastAsia="Century" w:hAnsi="Century" w:cs="Century"/>
    </w:rPr>
  </w:style>
  <w:style w:type="paragraph" w:customStyle="1" w:styleId="jafa">
    <w:name w:val="号細分　番号なし（ja）"/>
    <w:basedOn w:val="a"/>
    <w:rsid w:val="00285DE0"/>
    <w:pPr>
      <w:widowControl w:val="0"/>
      <w:ind w:left="439"/>
    </w:pPr>
    <w:rPr>
      <w:rFonts w:ascii="ＭＳ 明朝" w:eastAsia="ＭＳ 明朝" w:hAnsi="ＭＳ 明朝" w:cs="ＭＳ 明朝"/>
    </w:rPr>
  </w:style>
  <w:style w:type="paragraph" w:customStyle="1" w:styleId="enfa">
    <w:name w:val="号細分　番号なし（en）"/>
    <w:basedOn w:val="jafa"/>
    <w:rsid w:val="00285DE0"/>
    <w:rPr>
      <w:rFonts w:ascii="Century" w:eastAsia="Century" w:hAnsi="Century" w:cs="Century"/>
    </w:rPr>
  </w:style>
  <w:style w:type="paragraph" w:customStyle="1" w:styleId="jafb">
    <w:name w:val="備考号細分（ja）"/>
    <w:basedOn w:val="a"/>
    <w:rsid w:val="00285DE0"/>
    <w:pPr>
      <w:widowControl w:val="0"/>
      <w:ind w:left="1099" w:hanging="439"/>
    </w:pPr>
    <w:rPr>
      <w:rFonts w:ascii="ＭＳ 明朝" w:eastAsia="ＭＳ 明朝" w:hAnsi="ＭＳ 明朝" w:cs="ＭＳ 明朝"/>
    </w:rPr>
  </w:style>
  <w:style w:type="paragraph" w:customStyle="1" w:styleId="enfb">
    <w:name w:val="備考号細分（en）"/>
    <w:basedOn w:val="jafb"/>
    <w:rsid w:val="00285DE0"/>
    <w:rPr>
      <w:rFonts w:ascii="Century" w:eastAsia="Century" w:hAnsi="Century" w:cs="Century"/>
    </w:rPr>
  </w:style>
  <w:style w:type="paragraph" w:customStyle="1" w:styleId="jafc">
    <w:name w:val="号細細分（ja）"/>
    <w:basedOn w:val="a"/>
    <w:rsid w:val="00285DE0"/>
    <w:pPr>
      <w:widowControl w:val="0"/>
      <w:ind w:left="1099" w:hanging="439"/>
    </w:pPr>
    <w:rPr>
      <w:rFonts w:ascii="ＭＳ 明朝" w:eastAsia="ＭＳ 明朝" w:hAnsi="ＭＳ 明朝" w:cs="ＭＳ 明朝"/>
    </w:rPr>
  </w:style>
  <w:style w:type="paragraph" w:customStyle="1" w:styleId="enfc">
    <w:name w:val="号細細分（en）"/>
    <w:basedOn w:val="jafc"/>
    <w:rsid w:val="00285DE0"/>
    <w:rPr>
      <w:rFonts w:ascii="Century" w:eastAsia="Century" w:hAnsi="Century" w:cs="Century"/>
    </w:rPr>
  </w:style>
  <w:style w:type="paragraph" w:customStyle="1" w:styleId="jafd">
    <w:name w:val="号細細分　番号なし（ja）"/>
    <w:basedOn w:val="a"/>
    <w:rsid w:val="00285DE0"/>
    <w:pPr>
      <w:widowControl w:val="0"/>
      <w:ind w:left="659"/>
    </w:pPr>
    <w:rPr>
      <w:rFonts w:ascii="ＭＳ 明朝" w:eastAsia="ＭＳ 明朝" w:hAnsi="ＭＳ 明朝" w:cs="ＭＳ 明朝"/>
    </w:rPr>
  </w:style>
  <w:style w:type="paragraph" w:customStyle="1" w:styleId="enfd">
    <w:name w:val="号細細分　番号なし（en）"/>
    <w:basedOn w:val="jafd"/>
    <w:rsid w:val="00285DE0"/>
    <w:rPr>
      <w:rFonts w:ascii="Century" w:eastAsia="Century" w:hAnsi="Century" w:cs="Century"/>
    </w:rPr>
  </w:style>
  <w:style w:type="paragraph" w:customStyle="1" w:styleId="jafe">
    <w:name w:val="備考号細細分（ja）"/>
    <w:basedOn w:val="a"/>
    <w:rsid w:val="00285DE0"/>
    <w:pPr>
      <w:widowControl w:val="0"/>
      <w:ind w:left="1319" w:hanging="439"/>
    </w:pPr>
    <w:rPr>
      <w:rFonts w:ascii="ＭＳ 明朝" w:eastAsia="ＭＳ 明朝" w:hAnsi="ＭＳ 明朝" w:cs="ＭＳ 明朝"/>
    </w:rPr>
  </w:style>
  <w:style w:type="paragraph" w:customStyle="1" w:styleId="enfe">
    <w:name w:val="備考号細細分（en）"/>
    <w:basedOn w:val="jafe"/>
    <w:rsid w:val="00285DE0"/>
    <w:rPr>
      <w:rFonts w:ascii="Century" w:eastAsia="Century" w:hAnsi="Century" w:cs="Century"/>
    </w:rPr>
  </w:style>
  <w:style w:type="paragraph" w:customStyle="1" w:styleId="jaff">
    <w:name w:val="号細細細分（ja）"/>
    <w:basedOn w:val="a"/>
    <w:rsid w:val="00285DE0"/>
    <w:pPr>
      <w:widowControl w:val="0"/>
      <w:ind w:left="1319" w:hanging="439"/>
    </w:pPr>
    <w:rPr>
      <w:rFonts w:ascii="ＭＳ 明朝" w:eastAsia="ＭＳ 明朝" w:hAnsi="ＭＳ 明朝" w:cs="ＭＳ 明朝"/>
    </w:rPr>
  </w:style>
  <w:style w:type="paragraph" w:customStyle="1" w:styleId="enff">
    <w:name w:val="号細細細分（en）"/>
    <w:basedOn w:val="jaff"/>
    <w:rsid w:val="00285DE0"/>
    <w:rPr>
      <w:rFonts w:ascii="Century" w:eastAsia="Century" w:hAnsi="Century" w:cs="Century"/>
    </w:rPr>
  </w:style>
  <w:style w:type="paragraph" w:customStyle="1" w:styleId="jaff0">
    <w:name w:val="号細細細分　番号なし（ja）"/>
    <w:basedOn w:val="a"/>
    <w:rsid w:val="00285DE0"/>
    <w:pPr>
      <w:widowControl w:val="0"/>
      <w:ind w:left="879"/>
    </w:pPr>
    <w:rPr>
      <w:rFonts w:ascii="ＭＳ 明朝" w:eastAsia="ＭＳ 明朝" w:hAnsi="ＭＳ 明朝" w:cs="ＭＳ 明朝"/>
    </w:rPr>
  </w:style>
  <w:style w:type="paragraph" w:customStyle="1" w:styleId="enff0">
    <w:name w:val="号細細細分　番号なし（en）"/>
    <w:basedOn w:val="jaff0"/>
    <w:rsid w:val="00285DE0"/>
    <w:rPr>
      <w:rFonts w:ascii="Century" w:eastAsia="Century" w:hAnsi="Century" w:cs="Century"/>
    </w:rPr>
  </w:style>
  <w:style w:type="paragraph" w:customStyle="1" w:styleId="jaff1">
    <w:name w:val="備考号細細細分（ja）"/>
    <w:basedOn w:val="a"/>
    <w:rsid w:val="00285D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5DE0"/>
    <w:rPr>
      <w:rFonts w:ascii="Century" w:eastAsia="Century" w:hAnsi="Century" w:cs="Century"/>
    </w:rPr>
  </w:style>
  <w:style w:type="paragraph" w:customStyle="1" w:styleId="jaff2">
    <w:name w:val="類（ja）"/>
    <w:basedOn w:val="a"/>
    <w:rsid w:val="00285DE0"/>
    <w:pPr>
      <w:widowControl w:val="0"/>
      <w:ind w:left="439" w:hanging="219"/>
    </w:pPr>
    <w:rPr>
      <w:rFonts w:ascii="ＭＳ 明朝" w:eastAsia="ＭＳ 明朝" w:hAnsi="ＭＳ 明朝" w:cs="ＭＳ 明朝"/>
    </w:rPr>
  </w:style>
  <w:style w:type="paragraph" w:customStyle="1" w:styleId="enff2">
    <w:name w:val="類（en）"/>
    <w:basedOn w:val="jaff2"/>
    <w:rsid w:val="00285DE0"/>
    <w:rPr>
      <w:rFonts w:ascii="Century" w:eastAsia="Century" w:hAnsi="Century" w:cs="Century"/>
    </w:rPr>
  </w:style>
  <w:style w:type="paragraph" w:customStyle="1" w:styleId="jaff3">
    <w:name w:val="公布文（ja）"/>
    <w:basedOn w:val="a"/>
    <w:rsid w:val="00285DE0"/>
    <w:pPr>
      <w:widowControl w:val="0"/>
      <w:ind w:firstLine="219"/>
    </w:pPr>
    <w:rPr>
      <w:rFonts w:ascii="ＭＳ 明朝" w:eastAsia="ＭＳ 明朝" w:hAnsi="ＭＳ 明朝" w:cs="ＭＳ 明朝"/>
    </w:rPr>
  </w:style>
  <w:style w:type="paragraph" w:customStyle="1" w:styleId="enff3">
    <w:name w:val="公布文（en）"/>
    <w:basedOn w:val="jaff3"/>
    <w:rsid w:val="00285DE0"/>
    <w:rPr>
      <w:rFonts w:ascii="Century" w:eastAsia="Century" w:hAnsi="Century" w:cs="Century"/>
    </w:rPr>
  </w:style>
  <w:style w:type="paragraph" w:customStyle="1" w:styleId="jaen">
    <w:name w:val="表（ja：en）"/>
    <w:basedOn w:val="a"/>
    <w:rsid w:val="00285DE0"/>
    <w:pPr>
      <w:widowControl w:val="0"/>
      <w:snapToGrid w:val="0"/>
    </w:pPr>
    <w:rPr>
      <w:rFonts w:ascii="Century" w:eastAsia="ＭＳ 明朝" w:hAnsi="Century"/>
    </w:rPr>
  </w:style>
  <w:style w:type="paragraph" w:customStyle="1" w:styleId="jaff4">
    <w:name w:val="備考（ja）"/>
    <w:basedOn w:val="a"/>
    <w:rsid w:val="00285DE0"/>
    <w:pPr>
      <w:widowControl w:val="0"/>
      <w:ind w:left="439" w:hanging="219"/>
    </w:pPr>
    <w:rPr>
      <w:rFonts w:ascii="ＭＳ 明朝" w:eastAsia="ＭＳ 明朝" w:hAnsi="ＭＳ 明朝" w:cs="ＭＳ 明朝"/>
    </w:rPr>
  </w:style>
  <w:style w:type="paragraph" w:customStyle="1" w:styleId="enff4">
    <w:name w:val="備考（en）"/>
    <w:basedOn w:val="jaff4"/>
    <w:rsid w:val="00285DE0"/>
    <w:rPr>
      <w:rFonts w:ascii="Century" w:eastAsia="Century" w:hAnsi="Century" w:cs="Century"/>
    </w:rPr>
  </w:style>
  <w:style w:type="paragraph" w:customStyle="1" w:styleId="jaff5">
    <w:name w:val="表タイトル（ja）"/>
    <w:basedOn w:val="a"/>
    <w:rsid w:val="00285DE0"/>
    <w:pPr>
      <w:widowControl w:val="0"/>
      <w:ind w:left="219"/>
    </w:pPr>
    <w:rPr>
      <w:rFonts w:ascii="ＭＳ 明朝" w:eastAsia="ＭＳ 明朝" w:hAnsi="ＭＳ 明朝" w:cs="ＭＳ 明朝"/>
    </w:rPr>
  </w:style>
  <w:style w:type="paragraph" w:customStyle="1" w:styleId="enff5">
    <w:name w:val="表タイトル（en）"/>
    <w:basedOn w:val="jaff5"/>
    <w:rsid w:val="00285DE0"/>
    <w:rPr>
      <w:rFonts w:ascii="Century" w:eastAsia="Century" w:hAnsi="Century" w:cs="Century"/>
    </w:rPr>
  </w:style>
  <w:style w:type="paragraph" w:customStyle="1" w:styleId="jaff6">
    <w:name w:val="改正規定文（ja）"/>
    <w:basedOn w:val="a"/>
    <w:rsid w:val="00285DE0"/>
    <w:pPr>
      <w:widowControl w:val="0"/>
      <w:ind w:left="219" w:firstLine="219"/>
    </w:pPr>
    <w:rPr>
      <w:rFonts w:ascii="ＭＳ 明朝" w:eastAsia="ＭＳ 明朝" w:hAnsi="ＭＳ 明朝" w:cs="ＭＳ 明朝"/>
    </w:rPr>
  </w:style>
  <w:style w:type="paragraph" w:customStyle="1" w:styleId="enff6">
    <w:name w:val="改正規定文（en）"/>
    <w:basedOn w:val="jaff6"/>
    <w:rsid w:val="00285DE0"/>
    <w:rPr>
      <w:rFonts w:ascii="Century" w:eastAsia="Century" w:hAnsi="Century" w:cs="Century"/>
    </w:rPr>
  </w:style>
  <w:style w:type="paragraph" w:customStyle="1" w:styleId="jaff7">
    <w:name w:val="付記（ja）"/>
    <w:basedOn w:val="a"/>
    <w:rsid w:val="00285DE0"/>
    <w:pPr>
      <w:widowControl w:val="0"/>
      <w:ind w:left="219" w:firstLine="219"/>
    </w:pPr>
    <w:rPr>
      <w:rFonts w:ascii="ＭＳ 明朝" w:eastAsia="ＭＳ 明朝" w:hAnsi="ＭＳ 明朝" w:cs="ＭＳ 明朝"/>
    </w:rPr>
  </w:style>
  <w:style w:type="paragraph" w:customStyle="1" w:styleId="enff7">
    <w:name w:val="付記（en）"/>
    <w:basedOn w:val="jaff7"/>
    <w:rsid w:val="00285DE0"/>
    <w:rPr>
      <w:rFonts w:ascii="Century" w:eastAsia="Century" w:hAnsi="Century" w:cs="Century"/>
    </w:rPr>
  </w:style>
  <w:style w:type="paragraph" w:customStyle="1" w:styleId="jaff8">
    <w:name w:val="様式名（ja）"/>
    <w:basedOn w:val="a"/>
    <w:rsid w:val="00285DE0"/>
    <w:pPr>
      <w:widowControl w:val="0"/>
      <w:ind w:left="439" w:hanging="219"/>
    </w:pPr>
    <w:rPr>
      <w:rFonts w:ascii="ＭＳ 明朝" w:eastAsia="ＭＳ 明朝" w:hAnsi="ＭＳ 明朝" w:cs="ＭＳ 明朝"/>
    </w:rPr>
  </w:style>
  <w:style w:type="paragraph" w:customStyle="1" w:styleId="enff8">
    <w:name w:val="様式名（en）"/>
    <w:basedOn w:val="jaff8"/>
    <w:rsid w:val="00285DE0"/>
    <w:rPr>
      <w:rFonts w:ascii="Century" w:eastAsia="Century" w:hAnsi="Century" w:cs="Century"/>
    </w:rPr>
  </w:style>
  <w:style w:type="paragraph" w:customStyle="1" w:styleId="jaff9">
    <w:name w:val="様式項目（ja）"/>
    <w:basedOn w:val="a"/>
    <w:rsid w:val="00285DE0"/>
    <w:pPr>
      <w:widowControl w:val="0"/>
      <w:ind w:left="221" w:firstLine="221"/>
    </w:pPr>
    <w:rPr>
      <w:rFonts w:ascii="ＭＳ 明朝" w:eastAsia="ＭＳ 明朝" w:hAnsi="ＭＳ 明朝" w:cs="ＭＳ 明朝"/>
    </w:rPr>
  </w:style>
  <w:style w:type="paragraph" w:customStyle="1" w:styleId="enff9">
    <w:name w:val="様式項目（en）"/>
    <w:basedOn w:val="jaff9"/>
    <w:rsid w:val="00285DE0"/>
    <w:rPr>
      <w:rFonts w:ascii="Century" w:eastAsia="Century" w:hAnsi="Century" w:cs="Century"/>
    </w:rPr>
  </w:style>
  <w:style w:type="table" w:customStyle="1" w:styleId="1">
    <w:name w:val="表1"/>
    <w:rsid w:val="00285DE0"/>
    <w:tblPr>
      <w:tblInd w:w="340" w:type="dxa"/>
      <w:tblCellMar>
        <w:top w:w="0" w:type="dxa"/>
        <w:left w:w="0" w:type="dxa"/>
        <w:bottom w:w="0" w:type="dxa"/>
        <w:right w:w="0" w:type="dxa"/>
      </w:tblCellMar>
    </w:tblPr>
  </w:style>
  <w:style w:type="numbering" w:customStyle="1" w:styleId="WW8Num1">
    <w:name w:val="WW8Num1"/>
    <w:rsid w:val="00285DE0"/>
    <w:pPr>
      <w:numPr>
        <w:numId w:val="2"/>
      </w:numPr>
    </w:pPr>
  </w:style>
  <w:style w:type="numbering" w:customStyle="1" w:styleId="WW8Num2">
    <w:name w:val="WW8Num2"/>
    <w:rsid w:val="00285DE0"/>
    <w:pPr>
      <w:numPr>
        <w:numId w:val="3"/>
      </w:numPr>
    </w:pPr>
  </w:style>
  <w:style w:type="numbering" w:customStyle="1" w:styleId="WW8Num3">
    <w:name w:val="WW8Num3"/>
    <w:rsid w:val="00285DE0"/>
    <w:pPr>
      <w:numPr>
        <w:numId w:val="4"/>
      </w:numPr>
    </w:pPr>
  </w:style>
  <w:style w:type="numbering" w:customStyle="1" w:styleId="WW8Num4">
    <w:name w:val="WW8Num4"/>
    <w:rsid w:val="00285DE0"/>
    <w:pPr>
      <w:numPr>
        <w:numId w:val="5"/>
      </w:numPr>
    </w:pPr>
  </w:style>
  <w:style w:type="numbering" w:customStyle="1" w:styleId="WW8Num5">
    <w:name w:val="WW8Num5"/>
    <w:rsid w:val="00285DE0"/>
    <w:pPr>
      <w:numPr>
        <w:numId w:val="6"/>
      </w:numPr>
    </w:pPr>
  </w:style>
  <w:style w:type="numbering" w:customStyle="1" w:styleId="WW8Num6">
    <w:name w:val="WW8Num6"/>
    <w:rsid w:val="00285DE0"/>
    <w:pPr>
      <w:numPr>
        <w:numId w:val="7"/>
      </w:numPr>
    </w:pPr>
  </w:style>
  <w:style w:type="numbering" w:customStyle="1" w:styleId="WW8Num7">
    <w:name w:val="WW8Num7"/>
    <w:rsid w:val="00285DE0"/>
    <w:pPr>
      <w:numPr>
        <w:numId w:val="8"/>
      </w:numPr>
    </w:pPr>
  </w:style>
  <w:style w:type="numbering" w:customStyle="1" w:styleId="WW8Num8">
    <w:name w:val="WW8Num8"/>
    <w:rsid w:val="00285DE0"/>
    <w:pPr>
      <w:numPr>
        <w:numId w:val="9"/>
      </w:numPr>
    </w:pPr>
  </w:style>
  <w:style w:type="numbering" w:customStyle="1" w:styleId="WW8Num9">
    <w:name w:val="WW8Num9"/>
    <w:rsid w:val="00285DE0"/>
    <w:pPr>
      <w:numPr>
        <w:numId w:val="10"/>
      </w:numPr>
    </w:pPr>
  </w:style>
  <w:style w:type="numbering" w:customStyle="1" w:styleId="WW8Num10">
    <w:name w:val="WW8Num10"/>
    <w:rsid w:val="00285DE0"/>
    <w:pPr>
      <w:numPr>
        <w:numId w:val="11"/>
      </w:numPr>
    </w:pPr>
  </w:style>
  <w:style w:type="numbering" w:customStyle="1" w:styleId="WW8Num11">
    <w:name w:val="WW8Num11"/>
    <w:rsid w:val="00285DE0"/>
    <w:pPr>
      <w:numPr>
        <w:numId w:val="12"/>
      </w:numPr>
    </w:pPr>
  </w:style>
  <w:style w:type="numbering" w:customStyle="1" w:styleId="WW8Num12">
    <w:name w:val="WW8Num12"/>
    <w:rsid w:val="00285DE0"/>
    <w:pPr>
      <w:numPr>
        <w:numId w:val="13"/>
      </w:numPr>
    </w:pPr>
  </w:style>
  <w:style w:type="paragraph" w:styleId="a4">
    <w:name w:val="header"/>
    <w:basedOn w:val="a"/>
    <w:link w:val="a5"/>
    <w:uiPriority w:val="99"/>
    <w:unhideWhenUsed/>
    <w:rsid w:val="00FD5DEA"/>
    <w:pPr>
      <w:tabs>
        <w:tab w:val="center" w:pos="4252"/>
        <w:tab w:val="right" w:pos="8504"/>
      </w:tabs>
      <w:snapToGrid w:val="0"/>
    </w:pPr>
  </w:style>
  <w:style w:type="character" w:customStyle="1" w:styleId="a5">
    <w:name w:val="ヘッダー (文字)"/>
    <w:basedOn w:val="a0"/>
    <w:link w:val="a4"/>
    <w:uiPriority w:val="99"/>
    <w:rsid w:val="00FD5D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2023-06-21T04:41:00Z</dcterms:created>
  <dcterms:modified xsi:type="dcterms:W3CDTF">2023-06-21T04:41:00Z</dcterms:modified>
</cp:coreProperties>
</file>