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70E" w:rsidRDefault="003A330A">
      <w:pPr>
        <w:pStyle w:val="en"/>
      </w:pPr>
      <w:r>
        <w:t>Enforcement Order of the Acton the Promotion of Ensuring National Security through Integrated Implementation of Economic Measures (Tentative translation)</w:t>
      </w:r>
    </w:p>
    <w:p w:rsidR="0051670E" w:rsidRDefault="0051670E"/>
    <w:p w:rsidR="0051670E" w:rsidRDefault="003A330A">
      <w:pPr>
        <w:pStyle w:val="enf"/>
      </w:pPr>
      <w:r>
        <w:t>(Cabinet Order No. 394 of December 23, 2022)</w:t>
      </w:r>
    </w:p>
    <w:p w:rsidR="0051670E" w:rsidRDefault="0051670E"/>
    <w:p w:rsidR="0051670E" w:rsidRDefault="003A330A">
      <w:pPr>
        <w:pStyle w:val="ene"/>
      </w:pPr>
      <w:r>
        <w:t xml:space="preserve">The Cabinet hereby enacts this Cabinet Order </w:t>
      </w:r>
      <w:r>
        <w:t>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same Act.</w:t>
      </w:r>
    </w:p>
    <w:p w:rsidR="0051670E" w:rsidRDefault="0051670E"/>
    <w:p w:rsidR="0051670E" w:rsidRDefault="003A330A">
      <w:pPr>
        <w:pStyle w:val="ena"/>
      </w:pPr>
      <w:r>
        <w:t>(Designation of Specified Critical Products)</w:t>
      </w:r>
    </w:p>
    <w:p w:rsidR="0051670E" w:rsidRDefault="003A330A">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51670E" w:rsidRDefault="003A330A">
      <w:pPr>
        <w:pStyle w:val="enf6"/>
      </w:pPr>
      <w:r>
        <w:t>(i) antibiotics;</w:t>
      </w:r>
    </w:p>
    <w:p w:rsidR="0051670E" w:rsidRDefault="003A330A">
      <w:pPr>
        <w:pStyle w:val="enf6"/>
      </w:pPr>
      <w:r>
        <w:t>(ii) fertilizers;</w:t>
      </w:r>
    </w:p>
    <w:p w:rsidR="0051670E" w:rsidRDefault="003A330A">
      <w:pPr>
        <w:pStyle w:val="enf6"/>
      </w:pPr>
      <w:r>
        <w:t>(iii) permanent magnets;</w:t>
      </w:r>
    </w:p>
    <w:p w:rsidR="0051670E" w:rsidRDefault="003A330A">
      <w:pPr>
        <w:pStyle w:val="enf6"/>
      </w:pPr>
      <w:r>
        <w:t>(iv) machine tools and industrial robots;</w:t>
      </w:r>
    </w:p>
    <w:p w:rsidR="0051670E" w:rsidRDefault="003A330A">
      <w:pPr>
        <w:pStyle w:val="enf6"/>
      </w:pPr>
      <w:r>
        <w:t>(v) aircraft parts (limited to those constituting an aircraft engines or an airframes);</w:t>
      </w:r>
    </w:p>
    <w:p w:rsidR="0051670E" w:rsidRDefault="003A330A">
      <w:pPr>
        <w:pStyle w:val="enf6"/>
      </w:pPr>
      <w:r>
        <w:t>(vi) semiconductor devices and integrated circuits;</w:t>
      </w:r>
    </w:p>
    <w:p w:rsidR="0051670E" w:rsidRDefault="003A330A">
      <w:pPr>
        <w:pStyle w:val="enf6"/>
      </w:pPr>
      <w:r>
        <w:t>(vii) batteries;</w:t>
      </w:r>
    </w:p>
    <w:p w:rsidR="0051670E" w:rsidRDefault="003A330A">
      <w:pPr>
        <w:pStyle w:val="enf6"/>
      </w:pPr>
      <w:r>
        <w:t>(viii) computer programs used for systems providing computers (including an input-output device) for another person's use for information processing via the Internet or any other advanced information and telecommunications network;</w:t>
      </w:r>
    </w:p>
    <w:p w:rsidR="0051670E" w:rsidRDefault="003A330A">
      <w:pPr>
        <w:pStyle w:val="enf6"/>
      </w:pPr>
      <w:r>
        <w:t>(ix) combustible natural gas;</w:t>
      </w:r>
    </w:p>
    <w:p w:rsidR="0051670E" w:rsidRDefault="003A330A">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and phosphorus); and</w:t>
      </w:r>
    </w:p>
    <w:p w:rsidR="0051670E" w:rsidRDefault="003A330A">
      <w:pPr>
        <w:pStyle w:val="enf6"/>
      </w:pPr>
      <w:r>
        <w:t>(xi) marine equipment (limited to marine machinery, navigational instruments, and propelling gear).</w:t>
      </w:r>
    </w:p>
    <w:p w:rsidR="0051670E" w:rsidRDefault="0051670E"/>
    <w:p w:rsidR="0051670E" w:rsidRDefault="003A330A">
      <w:pPr>
        <w:pStyle w:val="ena"/>
      </w:pPr>
      <w:r>
        <w:t>(Designated Financial Institutions)</w:t>
      </w:r>
    </w:p>
    <w:p w:rsidR="0051670E" w:rsidRDefault="003A330A">
      <w:pPr>
        <w:pStyle w:val="enf3"/>
      </w:pPr>
      <w:r>
        <w:t>Article 2  The financial institution as provided by Cabinet Order referred to in Article 16, paragraph (1), item (i) of the Act is as follows:</w:t>
      </w:r>
    </w:p>
    <w:p w:rsidR="0051670E" w:rsidRDefault="003A330A">
      <w:pPr>
        <w:pStyle w:val="enf6"/>
      </w:pPr>
      <w:r>
        <w:t>(i) a bank;</w:t>
      </w:r>
    </w:p>
    <w:p w:rsidR="0051670E" w:rsidRDefault="003A330A">
      <w:pPr>
        <w:pStyle w:val="enf6"/>
      </w:pPr>
      <w:r>
        <w:t>(ii) a long term credit bank;</w:t>
      </w:r>
    </w:p>
    <w:p w:rsidR="0051670E" w:rsidRDefault="003A330A">
      <w:pPr>
        <w:pStyle w:val="enf6"/>
      </w:pPr>
      <w:r>
        <w:t>(iii) a shinkin bank and a federation of shinkin banks;</w:t>
      </w:r>
    </w:p>
    <w:p w:rsidR="0051670E" w:rsidRDefault="003A330A">
      <w:pPr>
        <w:pStyle w:val="enf6"/>
      </w:pPr>
      <w:r>
        <w:t>(iv) a credit cooperative and federation of credit cooperatives (limited to those engaged in both of the businesses set forth in Article 9-9, paragraph (1), item (i) and item (ii) of the Small and Medium-Sized Enterprise Cooperatives Act (Act No. 181 of 1949));</w:t>
      </w:r>
    </w:p>
    <w:p w:rsidR="0051670E" w:rsidRDefault="003A330A">
      <w:pPr>
        <w:pStyle w:val="enf6"/>
      </w:pPr>
      <w:r>
        <w:t>(v) a labor bank and federation of labor banks;</w:t>
      </w:r>
    </w:p>
    <w:p w:rsidR="0051670E" w:rsidRDefault="003A330A">
      <w:pPr>
        <w:pStyle w:val="enf6"/>
      </w:pPr>
      <w:r>
        <w:t>(vi) an agricultural cooperative (limited to one that concurrently conducts the business referred to in Article 10, paragraph (1), item (ii) or (iii) of the Agricultural Co-operatives Act (Act No. 132 of 1947)) and a federation of agricultural cooperatives (limited to one that concurrently conducts the business referred to in item (ii) or (iii) of the same paragraph);</w:t>
      </w:r>
    </w:p>
    <w:p w:rsidR="0051670E" w:rsidRDefault="003A330A">
      <w:pPr>
        <w:pStyle w:val="enf6"/>
      </w:pPr>
      <w:r>
        <w:t xml:space="preserve">(vii) a fishery cooperative association </w:t>
      </w:r>
      <w:r>
        <w:t>(limited to one that concurrently conducts the business referred to in Article 11, paragraph (1), item (iii) or (iv) of the Fishery Industry Cooperative Association Act (Act No. 242 of 1948)), a federation of fishery cooperative associations (limited to one that concurrently conducts the business referred to in Article 87, paragraph (1), item (iii) or (iv) of the same Act), a fishery processing cooperative association (limited to one that concurrently conducts the business referred to in Article 93, paragra</w:t>
      </w:r>
      <w:r>
        <w:t>ph (1), item (i) or (ii) of the same Act), and a federation of fishery processing cooperative associations (limited to one that concurrently conducts the business referred to in Article 97, paragraph (1), item (i) or (ii) of the same Act);</w:t>
      </w:r>
    </w:p>
    <w:p w:rsidR="0051670E" w:rsidRDefault="003A330A">
      <w:pPr>
        <w:pStyle w:val="enf6"/>
      </w:pPr>
      <w:r>
        <w:t>(viii) the Norinchukin Bank;</w:t>
      </w:r>
    </w:p>
    <w:p w:rsidR="0051670E" w:rsidRDefault="003A330A">
      <w:pPr>
        <w:pStyle w:val="enf6"/>
      </w:pPr>
      <w:r>
        <w:t>(ix) the Shoko Chukin Bank, Ltd.; or</w:t>
      </w:r>
    </w:p>
    <w:p w:rsidR="0051670E" w:rsidRDefault="003A330A">
      <w:pPr>
        <w:pStyle w:val="enf6"/>
      </w:pPr>
      <w:r>
        <w:t>(x) Development Bank of Japan Inc.</w:t>
      </w:r>
    </w:p>
    <w:p w:rsidR="0051670E" w:rsidRDefault="0051670E"/>
    <w:p w:rsidR="0051670E" w:rsidRDefault="003A330A">
      <w:pPr>
        <w:pStyle w:val="ena"/>
      </w:pPr>
      <w:r>
        <w:t>(Acts Which Forms a Basis for Designation as a Designated Financial Institutions)</w:t>
      </w:r>
    </w:p>
    <w:p w:rsidR="0051670E" w:rsidRDefault="003A330A">
      <w:pPr>
        <w:pStyle w:val="enf3"/>
      </w:pPr>
      <w:r>
        <w:t>Article 3  The Act as provided by Cabinet Order referred to in Article 16, paragraph (4), item (i) of the Act is any of the following:</w:t>
      </w:r>
    </w:p>
    <w:p w:rsidR="0051670E" w:rsidRDefault="003A330A">
      <w:pPr>
        <w:pStyle w:val="enf6"/>
      </w:pPr>
      <w:r>
        <w:t>(i) the Agricultural Co-operatives Act;</w:t>
      </w:r>
    </w:p>
    <w:p w:rsidR="0051670E" w:rsidRDefault="003A330A">
      <w:pPr>
        <w:pStyle w:val="enf6"/>
      </w:pPr>
      <w:r>
        <w:t>(ii) the Fishery Cooperative Act;</w:t>
      </w:r>
    </w:p>
    <w:p w:rsidR="0051670E" w:rsidRDefault="003A330A">
      <w:pPr>
        <w:pStyle w:val="enf6"/>
      </w:pPr>
      <w:r>
        <w:t>(iii) the Small and Medium-Sized Enterprise Cooperatives Act;</w:t>
      </w:r>
    </w:p>
    <w:p w:rsidR="0051670E" w:rsidRDefault="003A330A">
      <w:pPr>
        <w:pStyle w:val="enf6"/>
      </w:pPr>
      <w:r>
        <w:t>(iv) the Act on Financial Businesses by Cooperative (Act No. 183 of 1949);</w:t>
      </w:r>
    </w:p>
    <w:p w:rsidR="0051670E" w:rsidRDefault="003A330A">
      <w:pPr>
        <w:pStyle w:val="enf6"/>
      </w:pPr>
      <w:r>
        <w:t>(v) the Shinkin Bank Act (Act No. 238 of 1951);</w:t>
      </w:r>
    </w:p>
    <w:p w:rsidR="0051670E" w:rsidRDefault="003A330A">
      <w:pPr>
        <w:pStyle w:val="enf6"/>
      </w:pPr>
      <w:r>
        <w:lastRenderedPageBreak/>
        <w:t>(vi) the Long Term Credit Bank Act (Act No. 187 of 1952);</w:t>
      </w:r>
    </w:p>
    <w:p w:rsidR="0051670E" w:rsidRDefault="003A330A">
      <w:pPr>
        <w:pStyle w:val="enf6"/>
      </w:pPr>
      <w:r>
        <w:t>(vii) the Labor Bank Act (Act No. 227 of 1953);</w:t>
      </w:r>
    </w:p>
    <w:p w:rsidR="0051670E" w:rsidRDefault="003A330A">
      <w:pPr>
        <w:pStyle w:val="enf6"/>
      </w:pPr>
      <w:r>
        <w:t>(viii) the Banking Act (Act No. 59 of 1981);</w:t>
      </w:r>
    </w:p>
    <w:p w:rsidR="0051670E" w:rsidRDefault="003A330A">
      <w:pPr>
        <w:pStyle w:val="enf6"/>
      </w:pPr>
      <w:r>
        <w:t>(ix) the Norinchukin Bank Act (Act No. 93 of 2001);</w:t>
      </w:r>
    </w:p>
    <w:p w:rsidR="0051670E" w:rsidRDefault="003A330A">
      <w:pPr>
        <w:pStyle w:val="enf6"/>
      </w:pPr>
      <w:r>
        <w:t>(x) the Japan Finance Corporation Act (Act No. 57 of 2007);</w:t>
      </w:r>
    </w:p>
    <w:p w:rsidR="0051670E" w:rsidRDefault="003A330A">
      <w:pPr>
        <w:pStyle w:val="enf6"/>
      </w:pPr>
      <w:r>
        <w:t>(xi) the Shoko Chukin Bank Limited Act (Act No. 74 of 2007);</w:t>
      </w:r>
    </w:p>
    <w:p w:rsidR="0051670E" w:rsidRDefault="003A330A">
      <w:pPr>
        <w:pStyle w:val="enf6"/>
      </w:pPr>
      <w:r>
        <w:t>(xii) the Act on Development Bank of Japan Inc. (Act No. 85 of 2007); or</w:t>
      </w:r>
    </w:p>
    <w:p w:rsidR="0051670E" w:rsidRDefault="003A330A">
      <w:pPr>
        <w:pStyle w:val="enf6"/>
      </w:pPr>
      <w:r>
        <w:t>(xiii) the Act on the Promotion of Ensuring National Security through Integrated Implementation of Economic Measures.</w:t>
      </w:r>
    </w:p>
    <w:p w:rsidR="0051670E" w:rsidRDefault="0051670E"/>
    <w:p w:rsidR="0051670E" w:rsidRDefault="003A330A">
      <w:pPr>
        <w:pStyle w:val="ena"/>
      </w:pPr>
      <w:r>
        <w:t>(Application of the Enforcement Order of the Japan Finance Corporation Act)</w:t>
      </w:r>
    </w:p>
    <w:p w:rsidR="0051670E" w:rsidRDefault="003A330A">
      <w:pPr>
        <w:pStyle w:val="enf3"/>
      </w:pPr>
      <w:r>
        <w:t>Article 4  With regard to application of the provisions of Article 30, paragraph (1) and Article 31, paragraphs (1) and (2) of the Enforcement Order of the Japan Finance Corporation Act (Cabinet Order No. 143 of 2008) in the case where the operations to facilitate promotion of ensuring supply prescribed in Article 13, paragraph (1), item (i) of the Act is conducted, the phrase "Article 59, paragraph (1) of the Act" in Article 30, paragraph (1) of the same Order is deemed to be replaced with "Article 59, par</w:t>
      </w:r>
      <w:r>
        <w:t>agraph (1) of the Act as applied pursuant to Article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same Order and paragraph (2) of the same Article is deemed to be replaced with "Article 59, paragraph (1) of the Act as applied pursuant to Article 25, paragrap</w:t>
      </w:r>
      <w:r>
        <w:t>h (2) of the Act for the Promotion of Ensuring National Security through Integrated Implementation of Economic Measures following the deemed replacement of terms".</w:t>
      </w:r>
    </w:p>
    <w:p w:rsidR="0051670E" w:rsidRDefault="0051670E"/>
    <w:p w:rsidR="0051670E" w:rsidRDefault="003A330A">
      <w:pPr>
        <w:pStyle w:val="ena"/>
      </w:pPr>
      <w:r>
        <w:t>(Scope of Small and Medium-Sized Enterprises)</w:t>
      </w:r>
    </w:p>
    <w:p w:rsidR="0051670E" w:rsidRDefault="003A330A">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51670E" w:rsidRDefault="00516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0"/>
        <w:gridCol w:w="2148"/>
        <w:gridCol w:w="1827"/>
      </w:tblGrid>
      <w:tr w:rsidR="0051670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51670E">
            <w:pPr>
              <w:pStyle w:val="jaen"/>
            </w:pP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Business category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Number of regularly hired employees</w:t>
            </w:r>
          </w:p>
        </w:tc>
      </w:tr>
      <w:tr w:rsidR="0051670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lastRenderedPageBreak/>
              <w:t>(i)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 xml:space="preserve">rubber </w:t>
            </w:r>
            <w:r>
              <w:t>products manufacturing industry (excluding the automobile or aircraft tire and tube manufacturing industry, and industrial belt manufacturing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900 employees</w:t>
            </w:r>
          </w:p>
        </w:tc>
      </w:tr>
      <w:tr w:rsidR="0051670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(ii)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software service industry or information processing service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300 employees</w:t>
            </w:r>
          </w:p>
        </w:tc>
      </w:tr>
      <w:tr w:rsidR="0051670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(iii)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hotel business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70E" w:rsidRDefault="003A330A">
            <w:pPr>
              <w:pStyle w:val="jaen"/>
            </w:pPr>
            <w:r>
              <w:t>200 employees</w:t>
            </w:r>
          </w:p>
        </w:tc>
      </w:tr>
    </w:tbl>
    <w:p w:rsidR="0051670E" w:rsidRDefault="0051670E"/>
    <w:p w:rsidR="0051670E" w:rsidRDefault="003A330A">
      <w:pPr>
        <w:pStyle w:val="enf4"/>
      </w:pPr>
      <w:r>
        <w:t>(2) The partnerships or federations thereof as provided by Cabinet Order referred to in Article 26, item (viii) of the Act are as follows:</w:t>
      </w:r>
    </w:p>
    <w:p w:rsidR="0051670E" w:rsidRDefault="003A330A">
      <w:pPr>
        <w:pStyle w:val="enf6"/>
      </w:pPr>
      <w:r>
        <w:t xml:space="preserve">(i) a business </w:t>
      </w:r>
      <w:r>
        <w:t>cooperative, a small business cooperative, and a federation of cooperatives;</w:t>
      </w:r>
    </w:p>
    <w:p w:rsidR="0051670E" w:rsidRDefault="003A330A">
      <w:pPr>
        <w:pStyle w:val="enf6"/>
      </w:pPr>
      <w:r>
        <w:t>(ii) an agricultural cooperative and a federation of agricultural cooperatives;</w:t>
      </w:r>
    </w:p>
    <w:p w:rsidR="0051670E" w:rsidRDefault="003A330A">
      <w:pPr>
        <w:pStyle w:val="enf6"/>
      </w:pPr>
      <w:r>
        <w:t>(iii) a fishery cooperative association, a federation of fishery cooperative associations, a fishery processing cooperative association, and a federation of fishery processing cooperative associations;</w:t>
      </w:r>
    </w:p>
    <w:p w:rsidR="0051670E" w:rsidRDefault="003A330A">
      <w:pPr>
        <w:pStyle w:val="enf6"/>
      </w:pPr>
      <w:r>
        <w:t>(iv) a forestry cooperative and a federation of forestry cooperatives;</w:t>
      </w:r>
    </w:p>
    <w:p w:rsidR="0051670E" w:rsidRDefault="003A330A">
      <w:pPr>
        <w:pStyle w:val="enf6"/>
      </w:pPr>
      <w:r>
        <w:t>(v) a commercial and industrial cooperative or a federation of commercial and industrial cooperatives;</w:t>
      </w:r>
    </w:p>
    <w:p w:rsidR="0051670E" w:rsidRDefault="003A330A">
      <w:pPr>
        <w:pStyle w:val="enf6"/>
      </w:pPr>
      <w:r>
        <w:t>(vi) a shopping district promotion cooperative or a federation of shopping district promotion cooperatives;</w:t>
      </w:r>
    </w:p>
    <w:p w:rsidR="0051670E" w:rsidRDefault="003A330A">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51670E" w:rsidRDefault="003A330A">
      <w:pPr>
        <w:pStyle w:val="enf6"/>
      </w:pPr>
      <w:r>
        <w:t>(viii) a Sake brewer cooperative, a federation of Sake brewer cooperatives, or the Japan Sake and Shochu Makers Association, of which not less than two thirds of the direct or indirect members, which are Sake brewers, are corporations whose amount of stated capital or total amount of contributions is not more than 300,000,000 yen, or those who regularly employ not more than 300 employees, or a Sake merchant cooperative, a federation of Sake merchant cooperatives, or a Japan Sake merchant association, of whi</w:t>
      </w:r>
      <w:r>
        <w:t>ch not less than two 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51670E" w:rsidRDefault="003A330A">
      <w:pPr>
        <w:pStyle w:val="enf6"/>
      </w:pPr>
      <w:r>
        <w:t>(ix) a coastal shipping cooperative or a federation of coastal shipping cooperatives, of which not less than two 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51670E" w:rsidRDefault="003A330A">
      <w:pPr>
        <w:pStyle w:val="enf6"/>
      </w:pPr>
      <w:r>
        <w:t>(x) a technology research cooperative of which not less than two thirds of the direct or indirect members fall under Article 26, items (i) through (vii) or (ix) of the Act.</w:t>
      </w:r>
    </w:p>
    <w:p w:rsidR="0051670E" w:rsidRDefault="0051670E"/>
    <w:p w:rsidR="0051670E" w:rsidRDefault="003A330A">
      <w:pPr>
        <w:pStyle w:val="ena"/>
      </w:pPr>
      <w:r>
        <w:t>(Insurance Premium Rate)</w:t>
      </w:r>
    </w:p>
    <w:p w:rsidR="0051670E" w:rsidRDefault="003A330A">
      <w:pPr>
        <w:pStyle w:val="enf3"/>
      </w:pPr>
      <w:r>
        <w:t xml:space="preserve">Article 6  The rate provided by Cabinet Order referred to in Article 28, paragraph (5) of the Act is 0.41% for the ordinary insurance prescribed in Article 3, paragraph (1) of the Small and Medium-Sized Enterprise Credit Insurance Act (Act No. 264 of 1950) and the unsecured insurance prescribed in Article 3-2, paragraph (1) of the same Act (0.35% in the case of a negotiable instrument discount special guarantee (meaning the negotiable instrument discount special guarantee prescribed in Article 2, paragraph </w:t>
      </w:r>
      <w:r>
        <w:t>(1) of the Enforcement Order of the Small and Medium-Sized Enterprise Credit Insurance Act (Cabinet Order No. 350 of 1950); hereinafter the same applies in this Article) and an overdraft special guarantee (meaning the overdraft special guarantee prescribed in Article 2, paragraph (1) of the same Order; hereinafter the same applies in this Article)), and 0.19% for the special petty insurance prescribed in Article 3-3, paragraph (1) of the same Act (0.15% in the case of a negotiable instrument discount specia</w:t>
      </w:r>
      <w:r>
        <w:t>l guarantee and an overdraft special guarantee) per year during a guaranteed period of borrowings (meaning the period of borrowing prescribed in Article 2, paragraph (1) of the same Order).</w:t>
      </w:r>
    </w:p>
    <w:p w:rsidR="0051670E" w:rsidRDefault="0051670E"/>
    <w:p w:rsidR="0051670E" w:rsidRDefault="003A330A">
      <w:pPr>
        <w:pStyle w:val="ena"/>
      </w:pPr>
      <w:r>
        <w:t>(Procedure for Requesting an Investigation)</w:t>
      </w:r>
    </w:p>
    <w:p w:rsidR="0051670E" w:rsidRDefault="003A330A">
      <w:pPr>
        <w:pStyle w:val="enf3"/>
      </w:pPr>
      <w:r>
        <w:t xml:space="preserve">Article 7  The competent minster is to, when making a request under the provisions of Article 30, paragraphs (1) through (3) of the Act,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w:t>
      </w:r>
      <w:r>
        <w:t>stating to that effect and the reasons therefor shall also be submitted.</w:t>
      </w:r>
    </w:p>
    <w:p w:rsidR="0051670E" w:rsidRDefault="0051670E"/>
    <w:p w:rsidR="0051670E" w:rsidRDefault="003A330A">
      <w:pPr>
        <w:pStyle w:val="ena"/>
      </w:pPr>
      <w:r>
        <w:t>(Procedure for Making a Payment under Article 34, Paragraph (6) of the Act)</w:t>
      </w:r>
    </w:p>
    <w:p w:rsidR="0051670E" w:rsidRDefault="003A330A">
      <w:pPr>
        <w:pStyle w:val="enf3"/>
      </w:pPr>
      <w:r>
        <w:t>Article 8  (1) If a stable supply support corporation receives an order under Article 34, paragraph (6) of the Act, it must pay the national treasury the amount of the fund for stable supply support corporations prescribed in paragraph (1) of the same Article which the competent ministers provide as an amount that is found to be unnecessary for the stable supply support corporation to smoothly implement the operations pertaining to the fund stable supply support corporations, as a payment under paragraph (6</w:t>
      </w:r>
      <w:r>
        <w:t>) of the same Article (hereinafter referred to as the "payment" in this Article) by a date designated by the competent ministers.</w:t>
      </w:r>
    </w:p>
    <w:p w:rsidR="0051670E" w:rsidRDefault="003A330A">
      <w:pPr>
        <w:pStyle w:val="enf4"/>
      </w:pPr>
      <w:r>
        <w:t>(2) When the competent ministers provide the amount of the payment pursuant to the provisions of the preceding paragraph, the competent ministers must consult the Minister of Finance in advance.</w:t>
      </w:r>
    </w:p>
    <w:p w:rsidR="0051670E" w:rsidRDefault="003A330A">
      <w:pPr>
        <w:pStyle w:val="enf4"/>
      </w:pPr>
      <w:r>
        <w:t>(3) The payment (excluding the payment prescribed in the following paragraph) belongs to the general account.</w:t>
      </w:r>
    </w:p>
    <w:p w:rsidR="0051670E" w:rsidRDefault="003A330A">
      <w:pPr>
        <w:pStyle w:val="enf4"/>
      </w:pPr>
      <w:r>
        <w:t>(4) The payment pertaining to the specified critical products set forth in Article 1, item (ix) belongs to the Account for Supply and Demand of Energy in the Special Account for Energy Measures.</w:t>
      </w:r>
    </w:p>
    <w:p w:rsidR="0051670E" w:rsidRDefault="0051670E"/>
    <w:p w:rsidR="0051670E" w:rsidRDefault="003A330A">
      <w:pPr>
        <w:pStyle w:val="en2"/>
      </w:pPr>
      <w:r>
        <w:t>Supplementary Provisions  [Extract]</w:t>
      </w:r>
    </w:p>
    <w:p w:rsidR="0051670E" w:rsidRDefault="0051670E"/>
    <w:p w:rsidR="0051670E" w:rsidRDefault="003A330A">
      <w:pPr>
        <w:pStyle w:val="ena"/>
      </w:pPr>
      <w:r>
        <w:t>(Effective Date)</w:t>
      </w:r>
    </w:p>
    <w:p w:rsidR="0051670E" w:rsidRDefault="003A330A">
      <w:pPr>
        <w:pStyle w:val="enf4"/>
      </w:pPr>
      <w:r>
        <w:t>(1) This Cabinet Order comes into effect as of the date of promulgation.</w:t>
      </w:r>
    </w:p>
    <w:sectPr w:rsidR="0051670E" w:rsidSect="005167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70E" w:rsidRDefault="0051670E" w:rsidP="0051670E">
      <w:r>
        <w:separator/>
      </w:r>
    </w:p>
  </w:endnote>
  <w:endnote w:type="continuationSeparator" w:id="0">
    <w:p w:rsidR="0051670E" w:rsidRDefault="0051670E" w:rsidP="0051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70E" w:rsidRDefault="0051670E">
    <w:pPr>
      <w:pStyle w:val="a3"/>
    </w:pPr>
    <w:r>
      <w:fldChar w:fldCharType="begin"/>
    </w:r>
    <w:r>
      <w:instrText xml:space="preserve"> PAGE  \* MERGEFORMAT </w:instrText>
    </w:r>
    <w:r>
      <w:fldChar w:fldCharType="separate"/>
    </w:r>
    <w:r w:rsidR="003A33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70E" w:rsidRDefault="0051670E" w:rsidP="0051670E">
      <w:r>
        <w:separator/>
      </w:r>
    </w:p>
  </w:footnote>
  <w:footnote w:type="continuationSeparator" w:id="0">
    <w:p w:rsidR="0051670E" w:rsidRDefault="0051670E" w:rsidP="0051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650"/>
    <w:multiLevelType w:val="multilevel"/>
    <w:tmpl w:val="527CC8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F5BCC"/>
    <w:multiLevelType w:val="multilevel"/>
    <w:tmpl w:val="C5EA38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D0CC8"/>
    <w:multiLevelType w:val="multilevel"/>
    <w:tmpl w:val="1E10B8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B694D"/>
    <w:multiLevelType w:val="multilevel"/>
    <w:tmpl w:val="00A2A6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4432EA"/>
    <w:multiLevelType w:val="multilevel"/>
    <w:tmpl w:val="E0DA86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7619FE"/>
    <w:multiLevelType w:val="multilevel"/>
    <w:tmpl w:val="752C87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3654D9"/>
    <w:multiLevelType w:val="multilevel"/>
    <w:tmpl w:val="8C563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59412F"/>
    <w:multiLevelType w:val="multilevel"/>
    <w:tmpl w:val="D5A82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066C54"/>
    <w:multiLevelType w:val="multilevel"/>
    <w:tmpl w:val="22A47A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B87FCD"/>
    <w:multiLevelType w:val="multilevel"/>
    <w:tmpl w:val="61B49C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916C6A"/>
    <w:multiLevelType w:val="multilevel"/>
    <w:tmpl w:val="E6B89F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DD4DCA"/>
    <w:multiLevelType w:val="multilevel"/>
    <w:tmpl w:val="2BC820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E10F02"/>
    <w:multiLevelType w:val="multilevel"/>
    <w:tmpl w:val="EE4A1F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2757349">
    <w:abstractNumId w:val="5"/>
  </w:num>
  <w:num w:numId="2" w16cid:durableId="1782918357">
    <w:abstractNumId w:val="6"/>
  </w:num>
  <w:num w:numId="3" w16cid:durableId="985471819">
    <w:abstractNumId w:val="12"/>
  </w:num>
  <w:num w:numId="4" w16cid:durableId="544753263">
    <w:abstractNumId w:val="1"/>
  </w:num>
  <w:num w:numId="5" w16cid:durableId="558982682">
    <w:abstractNumId w:val="2"/>
  </w:num>
  <w:num w:numId="6" w16cid:durableId="1209999574">
    <w:abstractNumId w:val="9"/>
  </w:num>
  <w:num w:numId="7" w16cid:durableId="1559441050">
    <w:abstractNumId w:val="0"/>
  </w:num>
  <w:num w:numId="8" w16cid:durableId="214396952">
    <w:abstractNumId w:val="11"/>
  </w:num>
  <w:num w:numId="9" w16cid:durableId="2042438396">
    <w:abstractNumId w:val="3"/>
  </w:num>
  <w:num w:numId="10" w16cid:durableId="1315835133">
    <w:abstractNumId w:val="10"/>
  </w:num>
  <w:num w:numId="11" w16cid:durableId="4595663">
    <w:abstractNumId w:val="7"/>
  </w:num>
  <w:num w:numId="12" w16cid:durableId="1462965146">
    <w:abstractNumId w:val="4"/>
  </w:num>
  <w:num w:numId="13" w16cid:durableId="151422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70E"/>
    <w:rsid w:val="003A330A"/>
    <w:rsid w:val="005167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7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7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70E"/>
    <w:rPr>
      <w:rFonts w:ascii="Century" w:eastAsia="Century" w:hAnsi="Century"/>
    </w:rPr>
  </w:style>
  <w:style w:type="paragraph" w:customStyle="1" w:styleId="ja0">
    <w:name w:val="款（ja）"/>
    <w:basedOn w:val="a"/>
    <w:rsid w:val="0051670E"/>
    <w:pPr>
      <w:widowControl w:val="0"/>
      <w:ind w:left="1321" w:hanging="221"/>
    </w:pPr>
    <w:rPr>
      <w:rFonts w:ascii="ＭＳ 明朝" w:eastAsia="ＭＳ 明朝" w:hAnsi="ＭＳ 明朝" w:cs="ＭＳ 明朝"/>
      <w:b/>
    </w:rPr>
  </w:style>
  <w:style w:type="paragraph" w:customStyle="1" w:styleId="en0">
    <w:name w:val="款（en）"/>
    <w:basedOn w:val="ja0"/>
    <w:rsid w:val="0051670E"/>
    <w:rPr>
      <w:rFonts w:ascii="Century" w:eastAsia="Century" w:hAnsi="Century" w:cs="Century"/>
    </w:rPr>
  </w:style>
  <w:style w:type="paragraph" w:customStyle="1" w:styleId="ja1">
    <w:name w:val="前文（ja）"/>
    <w:basedOn w:val="a"/>
    <w:rsid w:val="0051670E"/>
    <w:pPr>
      <w:widowControl w:val="0"/>
      <w:ind w:firstLine="219"/>
    </w:pPr>
    <w:rPr>
      <w:rFonts w:ascii="ＭＳ 明朝" w:eastAsia="ＭＳ 明朝" w:hAnsi="ＭＳ 明朝" w:cs="ＭＳ 明朝"/>
    </w:rPr>
  </w:style>
  <w:style w:type="paragraph" w:customStyle="1" w:styleId="en1">
    <w:name w:val="前文（en）"/>
    <w:basedOn w:val="ja1"/>
    <w:rsid w:val="0051670E"/>
    <w:rPr>
      <w:rFonts w:ascii="Century" w:eastAsia="Century" w:hAnsi="Century" w:cs="Century"/>
    </w:rPr>
  </w:style>
  <w:style w:type="paragraph" w:customStyle="1" w:styleId="ja2">
    <w:name w:val="附則（ja）"/>
    <w:basedOn w:val="a"/>
    <w:rsid w:val="0051670E"/>
    <w:pPr>
      <w:widowControl w:val="0"/>
      <w:ind w:left="881" w:hanging="221"/>
    </w:pPr>
    <w:rPr>
      <w:rFonts w:ascii="ＭＳ 明朝" w:eastAsia="ＭＳ 明朝" w:hAnsi="ＭＳ 明朝" w:cs="ＭＳ 明朝"/>
      <w:b/>
    </w:rPr>
  </w:style>
  <w:style w:type="paragraph" w:customStyle="1" w:styleId="en2">
    <w:name w:val="附則（en）"/>
    <w:basedOn w:val="ja2"/>
    <w:rsid w:val="0051670E"/>
    <w:rPr>
      <w:rFonts w:ascii="Century" w:hAnsi="Century" w:cs="Century"/>
    </w:rPr>
  </w:style>
  <w:style w:type="paragraph" w:customStyle="1" w:styleId="ja3">
    <w:name w:val="章（ja）"/>
    <w:basedOn w:val="a"/>
    <w:rsid w:val="0051670E"/>
    <w:pPr>
      <w:widowControl w:val="0"/>
      <w:ind w:left="881" w:hanging="221"/>
    </w:pPr>
    <w:rPr>
      <w:rFonts w:ascii="ＭＳ 明朝" w:eastAsia="ＭＳ 明朝" w:hAnsi="ＭＳ 明朝" w:cs="ＭＳ 明朝"/>
      <w:b/>
    </w:rPr>
  </w:style>
  <w:style w:type="paragraph" w:customStyle="1" w:styleId="en3">
    <w:name w:val="章（en）"/>
    <w:basedOn w:val="ja3"/>
    <w:rsid w:val="0051670E"/>
    <w:rPr>
      <w:rFonts w:ascii="Century" w:eastAsia="Century" w:hAnsi="Century" w:cs="Century"/>
    </w:rPr>
  </w:style>
  <w:style w:type="paragraph" w:customStyle="1" w:styleId="ja4">
    <w:name w:val="目次編（ja）"/>
    <w:basedOn w:val="a"/>
    <w:rsid w:val="0051670E"/>
    <w:pPr>
      <w:widowControl w:val="0"/>
      <w:ind w:left="219" w:hanging="219"/>
    </w:pPr>
    <w:rPr>
      <w:rFonts w:ascii="ＭＳ 明朝" w:eastAsia="ＭＳ 明朝" w:hAnsi="ＭＳ 明朝"/>
    </w:rPr>
  </w:style>
  <w:style w:type="paragraph" w:customStyle="1" w:styleId="en4">
    <w:name w:val="目次編（en）"/>
    <w:basedOn w:val="ja4"/>
    <w:rsid w:val="0051670E"/>
    <w:rPr>
      <w:rFonts w:ascii="Century" w:eastAsia="Century" w:hAnsi="Century"/>
    </w:rPr>
  </w:style>
  <w:style w:type="paragraph" w:customStyle="1" w:styleId="ja5">
    <w:name w:val="目次章（ja）"/>
    <w:basedOn w:val="a"/>
    <w:rsid w:val="0051670E"/>
    <w:pPr>
      <w:widowControl w:val="0"/>
      <w:ind w:left="439" w:hanging="219"/>
    </w:pPr>
    <w:rPr>
      <w:rFonts w:ascii="ＭＳ 明朝" w:eastAsia="ＭＳ 明朝" w:hAnsi="ＭＳ 明朝"/>
    </w:rPr>
  </w:style>
  <w:style w:type="paragraph" w:customStyle="1" w:styleId="en5">
    <w:name w:val="目次章（en）"/>
    <w:basedOn w:val="ja5"/>
    <w:rsid w:val="0051670E"/>
    <w:rPr>
      <w:rFonts w:ascii="Century" w:eastAsia="Century" w:hAnsi="Century"/>
    </w:rPr>
  </w:style>
  <w:style w:type="paragraph" w:customStyle="1" w:styleId="ja6">
    <w:name w:val="目次節（ja）"/>
    <w:basedOn w:val="a"/>
    <w:rsid w:val="0051670E"/>
    <w:pPr>
      <w:widowControl w:val="0"/>
      <w:ind w:left="659" w:hanging="219"/>
    </w:pPr>
    <w:rPr>
      <w:rFonts w:ascii="ＭＳ 明朝" w:eastAsia="ＭＳ 明朝" w:hAnsi="ＭＳ 明朝"/>
    </w:rPr>
  </w:style>
  <w:style w:type="paragraph" w:customStyle="1" w:styleId="en6">
    <w:name w:val="目次節（en）"/>
    <w:basedOn w:val="ja6"/>
    <w:rsid w:val="0051670E"/>
    <w:rPr>
      <w:rFonts w:ascii="Century" w:eastAsia="Century" w:hAnsi="Century"/>
    </w:rPr>
  </w:style>
  <w:style w:type="paragraph" w:customStyle="1" w:styleId="ja7">
    <w:name w:val="目次款（ja）"/>
    <w:basedOn w:val="a"/>
    <w:rsid w:val="0051670E"/>
    <w:pPr>
      <w:widowControl w:val="0"/>
      <w:ind w:left="879" w:hanging="219"/>
    </w:pPr>
    <w:rPr>
      <w:rFonts w:ascii="ＭＳ 明朝" w:eastAsia="ＭＳ 明朝" w:hAnsi="ＭＳ 明朝" w:cs="Kochi Mincho"/>
    </w:rPr>
  </w:style>
  <w:style w:type="paragraph" w:customStyle="1" w:styleId="en7">
    <w:name w:val="目次款（en）"/>
    <w:basedOn w:val="ja7"/>
    <w:rsid w:val="0051670E"/>
    <w:rPr>
      <w:rFonts w:ascii="Century" w:eastAsia="Century" w:hAnsi="Century"/>
    </w:rPr>
  </w:style>
  <w:style w:type="paragraph" w:customStyle="1" w:styleId="ja8">
    <w:name w:val="別表名（ja）"/>
    <w:basedOn w:val="a"/>
    <w:rsid w:val="005167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70E"/>
    <w:rPr>
      <w:rFonts w:ascii="Century" w:eastAsia="Century" w:hAnsi="Century" w:cs="Century"/>
    </w:rPr>
  </w:style>
  <w:style w:type="paragraph" w:customStyle="1" w:styleId="ja9">
    <w:name w:val="目（ja）"/>
    <w:basedOn w:val="a"/>
    <w:rsid w:val="0051670E"/>
    <w:pPr>
      <w:widowControl w:val="0"/>
      <w:ind w:left="1541" w:hanging="221"/>
    </w:pPr>
    <w:rPr>
      <w:rFonts w:ascii="ＭＳ 明朝" w:eastAsia="ＭＳ 明朝" w:hAnsi="ＭＳ 明朝" w:cs="ＭＳ 明朝"/>
      <w:b/>
    </w:rPr>
  </w:style>
  <w:style w:type="paragraph" w:customStyle="1" w:styleId="en9">
    <w:name w:val="目（en）"/>
    <w:basedOn w:val="ja9"/>
    <w:rsid w:val="0051670E"/>
    <w:rPr>
      <w:rFonts w:ascii="Century" w:eastAsia="Century" w:hAnsi="Century" w:cs="Century"/>
    </w:rPr>
  </w:style>
  <w:style w:type="paragraph" w:customStyle="1" w:styleId="jaa">
    <w:name w:val="見出し（ja）"/>
    <w:basedOn w:val="a"/>
    <w:rsid w:val="0051670E"/>
    <w:pPr>
      <w:widowControl w:val="0"/>
      <w:ind w:left="439" w:hanging="219"/>
    </w:pPr>
    <w:rPr>
      <w:rFonts w:ascii="ＭＳ 明朝" w:eastAsia="ＭＳ 明朝" w:hAnsi="ＭＳ 明朝" w:cs="ＭＳ 明朝"/>
    </w:rPr>
  </w:style>
  <w:style w:type="paragraph" w:customStyle="1" w:styleId="ena">
    <w:name w:val="見出し（en）"/>
    <w:basedOn w:val="jaa"/>
    <w:rsid w:val="0051670E"/>
    <w:rPr>
      <w:rFonts w:ascii="Century" w:eastAsia="Century" w:hAnsi="Century" w:cs="Century"/>
    </w:rPr>
  </w:style>
  <w:style w:type="paragraph" w:styleId="a3">
    <w:name w:val="footer"/>
    <w:basedOn w:val="a"/>
    <w:rsid w:val="005167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70E"/>
    <w:pPr>
      <w:widowControl w:val="0"/>
      <w:ind w:left="1099" w:hanging="219"/>
    </w:pPr>
    <w:rPr>
      <w:rFonts w:ascii="ＭＳ 明朝" w:eastAsia="ＭＳ 明朝" w:hAnsi="ＭＳ 明朝" w:cs="Kochi Mincho"/>
    </w:rPr>
  </w:style>
  <w:style w:type="paragraph" w:customStyle="1" w:styleId="enb">
    <w:name w:val="目次目（en）"/>
    <w:basedOn w:val="jab"/>
    <w:rsid w:val="0051670E"/>
    <w:rPr>
      <w:rFonts w:ascii="Century" w:eastAsia="Century" w:hAnsi="Century"/>
    </w:rPr>
  </w:style>
  <w:style w:type="paragraph" w:customStyle="1" w:styleId="jac">
    <w:name w:val="目次附則（ja）"/>
    <w:basedOn w:val="a"/>
    <w:rsid w:val="0051670E"/>
    <w:pPr>
      <w:widowControl w:val="0"/>
      <w:ind w:left="439" w:hanging="219"/>
    </w:pPr>
    <w:rPr>
      <w:rFonts w:ascii="ＭＳ 明朝" w:eastAsia="ＭＳ 明朝" w:hAnsi="ＭＳ 明朝" w:cs="Kochi Mincho"/>
    </w:rPr>
  </w:style>
  <w:style w:type="paragraph" w:customStyle="1" w:styleId="enc">
    <w:name w:val="目次附則（en）"/>
    <w:basedOn w:val="jac"/>
    <w:rsid w:val="0051670E"/>
    <w:rPr>
      <w:rFonts w:ascii="Century" w:eastAsia="Century" w:hAnsi="Century" w:cs="Century"/>
    </w:rPr>
  </w:style>
  <w:style w:type="paragraph" w:customStyle="1" w:styleId="jad">
    <w:name w:val="目次前文（ja）"/>
    <w:basedOn w:val="jac"/>
    <w:rsid w:val="0051670E"/>
  </w:style>
  <w:style w:type="paragraph" w:customStyle="1" w:styleId="end">
    <w:name w:val="目次前文（en）"/>
    <w:basedOn w:val="enc"/>
    <w:rsid w:val="0051670E"/>
  </w:style>
  <w:style w:type="paragraph" w:customStyle="1" w:styleId="jae">
    <w:name w:val="制定文（ja）"/>
    <w:basedOn w:val="a"/>
    <w:rsid w:val="0051670E"/>
    <w:pPr>
      <w:widowControl w:val="0"/>
      <w:ind w:firstLine="219"/>
    </w:pPr>
    <w:rPr>
      <w:rFonts w:ascii="ＭＳ 明朝" w:eastAsia="ＭＳ 明朝" w:hAnsi="ＭＳ 明朝" w:cs="ＭＳ 明朝"/>
    </w:rPr>
  </w:style>
  <w:style w:type="paragraph" w:customStyle="1" w:styleId="ene">
    <w:name w:val="制定文（en）"/>
    <w:basedOn w:val="jae"/>
    <w:rsid w:val="0051670E"/>
    <w:rPr>
      <w:rFonts w:ascii="Century" w:eastAsia="Century" w:hAnsi="Century" w:cs="Century"/>
    </w:rPr>
  </w:style>
  <w:style w:type="paragraph" w:customStyle="1" w:styleId="jaf">
    <w:name w:val="法令番号（ja）"/>
    <w:basedOn w:val="a"/>
    <w:rsid w:val="0051670E"/>
    <w:pPr>
      <w:widowControl w:val="0"/>
      <w:jc w:val="right"/>
    </w:pPr>
    <w:rPr>
      <w:rFonts w:ascii="ＭＳ 明朝" w:eastAsia="ＭＳ 明朝" w:hAnsi="ＭＳ 明朝" w:cs="Kochi Mincho"/>
    </w:rPr>
  </w:style>
  <w:style w:type="paragraph" w:customStyle="1" w:styleId="enf">
    <w:name w:val="法令番号（en）"/>
    <w:basedOn w:val="jaf"/>
    <w:rsid w:val="0051670E"/>
    <w:rPr>
      <w:rFonts w:ascii="Century" w:eastAsia="Century" w:hAnsi="Century" w:cs="Century"/>
    </w:rPr>
  </w:style>
  <w:style w:type="paragraph" w:customStyle="1" w:styleId="jaf0">
    <w:name w:val="目次（ja）"/>
    <w:basedOn w:val="a"/>
    <w:rsid w:val="0051670E"/>
    <w:rPr>
      <w:rFonts w:ascii="ＭＳ 明朝" w:eastAsia="ＭＳ 明朝" w:hAnsi="ＭＳ 明朝"/>
    </w:rPr>
  </w:style>
  <w:style w:type="paragraph" w:customStyle="1" w:styleId="enf0">
    <w:name w:val="目次（en）"/>
    <w:basedOn w:val="jaf0"/>
    <w:rsid w:val="0051670E"/>
    <w:rPr>
      <w:rFonts w:ascii="Century" w:eastAsia="Century" w:hAnsi="Century"/>
    </w:rPr>
  </w:style>
  <w:style w:type="paragraph" w:customStyle="1" w:styleId="jaf1">
    <w:name w:val="編（ja）"/>
    <w:basedOn w:val="a"/>
    <w:rsid w:val="0051670E"/>
    <w:pPr>
      <w:widowControl w:val="0"/>
      <w:ind w:left="661" w:hanging="221"/>
    </w:pPr>
    <w:rPr>
      <w:rFonts w:ascii="ＭＳ 明朝" w:eastAsia="ＭＳ 明朝" w:hAnsi="ＭＳ 明朝" w:cs="ＭＳ 明朝"/>
      <w:b/>
    </w:rPr>
  </w:style>
  <w:style w:type="paragraph" w:customStyle="1" w:styleId="enf1">
    <w:name w:val="編（en）"/>
    <w:basedOn w:val="jaf1"/>
    <w:rsid w:val="0051670E"/>
    <w:rPr>
      <w:rFonts w:ascii="Century" w:eastAsia="Century" w:hAnsi="Century" w:cs="Century"/>
    </w:rPr>
  </w:style>
  <w:style w:type="paragraph" w:customStyle="1" w:styleId="jaf2">
    <w:name w:val="節（ja）"/>
    <w:basedOn w:val="a"/>
    <w:rsid w:val="0051670E"/>
    <w:pPr>
      <w:widowControl w:val="0"/>
      <w:ind w:left="1101" w:hanging="221"/>
    </w:pPr>
    <w:rPr>
      <w:rFonts w:ascii="ＭＳ 明朝" w:eastAsia="ＭＳ 明朝" w:hAnsi="ＭＳ 明朝" w:cs="ＭＳ 明朝"/>
      <w:b/>
    </w:rPr>
  </w:style>
  <w:style w:type="paragraph" w:customStyle="1" w:styleId="enf2">
    <w:name w:val="節（en）"/>
    <w:basedOn w:val="jaf2"/>
    <w:rsid w:val="0051670E"/>
    <w:rPr>
      <w:rFonts w:ascii="Century" w:eastAsia="Century" w:hAnsi="Century" w:cs="Century"/>
    </w:rPr>
  </w:style>
  <w:style w:type="paragraph" w:customStyle="1" w:styleId="jaf3">
    <w:name w:val="条（ja）"/>
    <w:basedOn w:val="a"/>
    <w:rsid w:val="0051670E"/>
    <w:pPr>
      <w:widowControl w:val="0"/>
      <w:ind w:left="219" w:hanging="219"/>
    </w:pPr>
    <w:rPr>
      <w:rFonts w:ascii="ＭＳ 明朝" w:eastAsia="ＭＳ 明朝" w:hAnsi="ＭＳ 明朝" w:cs="ＭＳ 明朝"/>
    </w:rPr>
  </w:style>
  <w:style w:type="paragraph" w:customStyle="1" w:styleId="enf3">
    <w:name w:val="条（en）"/>
    <w:basedOn w:val="jaf3"/>
    <w:rsid w:val="0051670E"/>
    <w:rPr>
      <w:rFonts w:ascii="Century" w:eastAsia="Century" w:hAnsi="Century" w:cs="Century"/>
    </w:rPr>
  </w:style>
  <w:style w:type="paragraph" w:customStyle="1" w:styleId="jaf4">
    <w:name w:val="項（ja）"/>
    <w:basedOn w:val="a"/>
    <w:rsid w:val="0051670E"/>
    <w:pPr>
      <w:widowControl w:val="0"/>
      <w:ind w:left="219" w:hanging="219"/>
    </w:pPr>
    <w:rPr>
      <w:rFonts w:ascii="ＭＳ 明朝" w:eastAsia="ＭＳ 明朝" w:hAnsi="ＭＳ 明朝" w:cs="ＭＳ 明朝"/>
    </w:rPr>
  </w:style>
  <w:style w:type="paragraph" w:customStyle="1" w:styleId="enf4">
    <w:name w:val="項（en）"/>
    <w:basedOn w:val="jaf4"/>
    <w:rsid w:val="0051670E"/>
    <w:rPr>
      <w:rFonts w:ascii="Century" w:eastAsia="Century" w:hAnsi="Century" w:cs="Century"/>
    </w:rPr>
  </w:style>
  <w:style w:type="paragraph" w:customStyle="1" w:styleId="jaf5">
    <w:name w:val="項　番号なし（ja）"/>
    <w:basedOn w:val="a"/>
    <w:rsid w:val="0051670E"/>
    <w:pPr>
      <w:widowControl w:val="0"/>
      <w:ind w:firstLine="221"/>
    </w:pPr>
    <w:rPr>
      <w:rFonts w:ascii="ＭＳ 明朝" w:eastAsia="ＭＳ 明朝" w:hAnsi="ＭＳ 明朝" w:cs="ＭＳ 明朝"/>
    </w:rPr>
  </w:style>
  <w:style w:type="paragraph" w:customStyle="1" w:styleId="enf5">
    <w:name w:val="項　番号なし（en）"/>
    <w:basedOn w:val="jaf5"/>
    <w:rsid w:val="0051670E"/>
    <w:rPr>
      <w:rFonts w:ascii="Century" w:eastAsia="Century" w:hAnsi="Century" w:cs="Century"/>
    </w:rPr>
  </w:style>
  <w:style w:type="paragraph" w:customStyle="1" w:styleId="jaf6">
    <w:name w:val="号（ja）"/>
    <w:basedOn w:val="a"/>
    <w:rsid w:val="0051670E"/>
    <w:pPr>
      <w:widowControl w:val="0"/>
      <w:ind w:left="439" w:hanging="219"/>
    </w:pPr>
    <w:rPr>
      <w:rFonts w:ascii="ＭＳ 明朝" w:eastAsia="ＭＳ 明朝" w:hAnsi="ＭＳ 明朝" w:cs="ＭＳ 明朝"/>
    </w:rPr>
  </w:style>
  <w:style w:type="paragraph" w:customStyle="1" w:styleId="enf6">
    <w:name w:val="号（en）"/>
    <w:basedOn w:val="jaf6"/>
    <w:rsid w:val="0051670E"/>
    <w:rPr>
      <w:rFonts w:ascii="Century" w:eastAsia="Century" w:hAnsi="Century" w:cs="Century"/>
    </w:rPr>
  </w:style>
  <w:style w:type="paragraph" w:customStyle="1" w:styleId="jaf7">
    <w:name w:val="号　番号なし（ja）"/>
    <w:basedOn w:val="a"/>
    <w:rsid w:val="0051670E"/>
    <w:pPr>
      <w:widowControl w:val="0"/>
      <w:ind w:left="221" w:firstLine="221"/>
    </w:pPr>
    <w:rPr>
      <w:rFonts w:ascii="ＭＳ 明朝" w:eastAsia="ＭＳ 明朝" w:hAnsi="ＭＳ 明朝" w:cs="ＭＳ 明朝"/>
    </w:rPr>
  </w:style>
  <w:style w:type="paragraph" w:customStyle="1" w:styleId="enf7">
    <w:name w:val="号　番号なし（en）"/>
    <w:basedOn w:val="jaf7"/>
    <w:rsid w:val="0051670E"/>
    <w:rPr>
      <w:rFonts w:ascii="Century" w:eastAsia="Century" w:hAnsi="Century" w:cs="Century"/>
    </w:rPr>
  </w:style>
  <w:style w:type="paragraph" w:customStyle="1" w:styleId="jaf8">
    <w:name w:val="備考号（ja）"/>
    <w:basedOn w:val="a"/>
    <w:rsid w:val="0051670E"/>
    <w:pPr>
      <w:widowControl w:val="0"/>
      <w:ind w:left="659" w:hanging="219"/>
    </w:pPr>
    <w:rPr>
      <w:rFonts w:ascii="ＭＳ 明朝" w:eastAsia="ＭＳ 明朝" w:hAnsi="ＭＳ 明朝" w:cs="ＭＳ 明朝"/>
    </w:rPr>
  </w:style>
  <w:style w:type="paragraph" w:customStyle="1" w:styleId="enf8">
    <w:name w:val="備考号（en）"/>
    <w:basedOn w:val="jaf8"/>
    <w:rsid w:val="0051670E"/>
    <w:rPr>
      <w:rFonts w:ascii="Century" w:eastAsia="Century" w:hAnsi="Century" w:cs="Century"/>
    </w:rPr>
  </w:style>
  <w:style w:type="paragraph" w:customStyle="1" w:styleId="jaf9">
    <w:name w:val="号細分（ja）"/>
    <w:basedOn w:val="a"/>
    <w:rsid w:val="0051670E"/>
    <w:pPr>
      <w:widowControl w:val="0"/>
      <w:ind w:left="659" w:hanging="219"/>
    </w:pPr>
    <w:rPr>
      <w:rFonts w:ascii="ＭＳ 明朝" w:eastAsia="ＭＳ 明朝" w:hAnsi="ＭＳ 明朝" w:cs="ＭＳ 明朝"/>
    </w:rPr>
  </w:style>
  <w:style w:type="paragraph" w:customStyle="1" w:styleId="enf9">
    <w:name w:val="号細分（en）"/>
    <w:basedOn w:val="jaf9"/>
    <w:rsid w:val="0051670E"/>
    <w:rPr>
      <w:rFonts w:ascii="Century" w:eastAsia="Century" w:hAnsi="Century" w:cs="Century"/>
    </w:rPr>
  </w:style>
  <w:style w:type="paragraph" w:customStyle="1" w:styleId="jafa">
    <w:name w:val="号細分　番号なし（ja）"/>
    <w:basedOn w:val="a"/>
    <w:rsid w:val="0051670E"/>
    <w:pPr>
      <w:widowControl w:val="0"/>
      <w:ind w:left="439"/>
    </w:pPr>
    <w:rPr>
      <w:rFonts w:ascii="ＭＳ 明朝" w:eastAsia="ＭＳ 明朝" w:hAnsi="ＭＳ 明朝" w:cs="ＭＳ 明朝"/>
    </w:rPr>
  </w:style>
  <w:style w:type="paragraph" w:customStyle="1" w:styleId="enfa">
    <w:name w:val="号細分　番号なし（en）"/>
    <w:basedOn w:val="jafa"/>
    <w:rsid w:val="0051670E"/>
    <w:rPr>
      <w:rFonts w:ascii="Century" w:eastAsia="Century" w:hAnsi="Century" w:cs="Century"/>
    </w:rPr>
  </w:style>
  <w:style w:type="paragraph" w:customStyle="1" w:styleId="jafb">
    <w:name w:val="備考号細分（ja）"/>
    <w:basedOn w:val="a"/>
    <w:rsid w:val="0051670E"/>
    <w:pPr>
      <w:widowControl w:val="0"/>
      <w:ind w:left="1099" w:hanging="439"/>
    </w:pPr>
    <w:rPr>
      <w:rFonts w:ascii="ＭＳ 明朝" w:eastAsia="ＭＳ 明朝" w:hAnsi="ＭＳ 明朝" w:cs="ＭＳ 明朝"/>
    </w:rPr>
  </w:style>
  <w:style w:type="paragraph" w:customStyle="1" w:styleId="enfb">
    <w:name w:val="備考号細分（en）"/>
    <w:basedOn w:val="jafb"/>
    <w:rsid w:val="0051670E"/>
    <w:rPr>
      <w:rFonts w:ascii="Century" w:eastAsia="Century" w:hAnsi="Century" w:cs="Century"/>
    </w:rPr>
  </w:style>
  <w:style w:type="paragraph" w:customStyle="1" w:styleId="jafc">
    <w:name w:val="号細細分（ja）"/>
    <w:basedOn w:val="a"/>
    <w:rsid w:val="0051670E"/>
    <w:pPr>
      <w:widowControl w:val="0"/>
      <w:ind w:left="1099" w:hanging="439"/>
    </w:pPr>
    <w:rPr>
      <w:rFonts w:ascii="ＭＳ 明朝" w:eastAsia="ＭＳ 明朝" w:hAnsi="ＭＳ 明朝" w:cs="ＭＳ 明朝"/>
    </w:rPr>
  </w:style>
  <w:style w:type="paragraph" w:customStyle="1" w:styleId="enfc">
    <w:name w:val="号細細分（en）"/>
    <w:basedOn w:val="jafc"/>
    <w:rsid w:val="0051670E"/>
    <w:rPr>
      <w:rFonts w:ascii="Century" w:eastAsia="Century" w:hAnsi="Century" w:cs="Century"/>
    </w:rPr>
  </w:style>
  <w:style w:type="paragraph" w:customStyle="1" w:styleId="jafd">
    <w:name w:val="号細細分　番号なし（ja）"/>
    <w:basedOn w:val="a"/>
    <w:rsid w:val="0051670E"/>
    <w:pPr>
      <w:widowControl w:val="0"/>
      <w:ind w:left="659"/>
    </w:pPr>
    <w:rPr>
      <w:rFonts w:ascii="ＭＳ 明朝" w:eastAsia="ＭＳ 明朝" w:hAnsi="ＭＳ 明朝" w:cs="ＭＳ 明朝"/>
    </w:rPr>
  </w:style>
  <w:style w:type="paragraph" w:customStyle="1" w:styleId="enfd">
    <w:name w:val="号細細分　番号なし（en）"/>
    <w:basedOn w:val="jafd"/>
    <w:rsid w:val="0051670E"/>
    <w:rPr>
      <w:rFonts w:ascii="Century" w:eastAsia="Century" w:hAnsi="Century" w:cs="Century"/>
    </w:rPr>
  </w:style>
  <w:style w:type="paragraph" w:customStyle="1" w:styleId="jafe">
    <w:name w:val="備考号細細分（ja）"/>
    <w:basedOn w:val="a"/>
    <w:rsid w:val="0051670E"/>
    <w:pPr>
      <w:widowControl w:val="0"/>
      <w:ind w:left="1319" w:hanging="439"/>
    </w:pPr>
    <w:rPr>
      <w:rFonts w:ascii="ＭＳ 明朝" w:eastAsia="ＭＳ 明朝" w:hAnsi="ＭＳ 明朝" w:cs="ＭＳ 明朝"/>
    </w:rPr>
  </w:style>
  <w:style w:type="paragraph" w:customStyle="1" w:styleId="enfe">
    <w:name w:val="備考号細細分（en）"/>
    <w:basedOn w:val="jafe"/>
    <w:rsid w:val="0051670E"/>
    <w:rPr>
      <w:rFonts w:ascii="Century" w:eastAsia="Century" w:hAnsi="Century" w:cs="Century"/>
    </w:rPr>
  </w:style>
  <w:style w:type="paragraph" w:customStyle="1" w:styleId="jaff">
    <w:name w:val="号細細細分（ja）"/>
    <w:basedOn w:val="a"/>
    <w:rsid w:val="0051670E"/>
    <w:pPr>
      <w:widowControl w:val="0"/>
      <w:ind w:left="1319" w:hanging="439"/>
    </w:pPr>
    <w:rPr>
      <w:rFonts w:ascii="ＭＳ 明朝" w:eastAsia="ＭＳ 明朝" w:hAnsi="ＭＳ 明朝" w:cs="ＭＳ 明朝"/>
    </w:rPr>
  </w:style>
  <w:style w:type="paragraph" w:customStyle="1" w:styleId="enff">
    <w:name w:val="号細細細分（en）"/>
    <w:basedOn w:val="jaff"/>
    <w:rsid w:val="0051670E"/>
    <w:rPr>
      <w:rFonts w:ascii="Century" w:eastAsia="Century" w:hAnsi="Century" w:cs="Century"/>
    </w:rPr>
  </w:style>
  <w:style w:type="paragraph" w:customStyle="1" w:styleId="jaff0">
    <w:name w:val="号細細細分　番号なし（ja）"/>
    <w:basedOn w:val="a"/>
    <w:rsid w:val="0051670E"/>
    <w:pPr>
      <w:widowControl w:val="0"/>
      <w:ind w:left="879"/>
    </w:pPr>
    <w:rPr>
      <w:rFonts w:ascii="ＭＳ 明朝" w:eastAsia="ＭＳ 明朝" w:hAnsi="ＭＳ 明朝" w:cs="ＭＳ 明朝"/>
    </w:rPr>
  </w:style>
  <w:style w:type="paragraph" w:customStyle="1" w:styleId="enff0">
    <w:name w:val="号細細細分　番号なし（en）"/>
    <w:basedOn w:val="jaff0"/>
    <w:rsid w:val="0051670E"/>
    <w:rPr>
      <w:rFonts w:ascii="Century" w:eastAsia="Century" w:hAnsi="Century" w:cs="Century"/>
    </w:rPr>
  </w:style>
  <w:style w:type="paragraph" w:customStyle="1" w:styleId="jaff1">
    <w:name w:val="備考号細細細分（ja）"/>
    <w:basedOn w:val="a"/>
    <w:rsid w:val="005167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70E"/>
    <w:rPr>
      <w:rFonts w:ascii="Century" w:eastAsia="Century" w:hAnsi="Century" w:cs="Century"/>
    </w:rPr>
  </w:style>
  <w:style w:type="paragraph" w:customStyle="1" w:styleId="jaff2">
    <w:name w:val="類（ja）"/>
    <w:basedOn w:val="a"/>
    <w:rsid w:val="0051670E"/>
    <w:pPr>
      <w:widowControl w:val="0"/>
      <w:ind w:left="439" w:hanging="219"/>
    </w:pPr>
    <w:rPr>
      <w:rFonts w:ascii="ＭＳ 明朝" w:eastAsia="ＭＳ 明朝" w:hAnsi="ＭＳ 明朝" w:cs="ＭＳ 明朝"/>
    </w:rPr>
  </w:style>
  <w:style w:type="paragraph" w:customStyle="1" w:styleId="enff2">
    <w:name w:val="類（en）"/>
    <w:basedOn w:val="jaff2"/>
    <w:rsid w:val="0051670E"/>
    <w:rPr>
      <w:rFonts w:ascii="Century" w:eastAsia="Century" w:hAnsi="Century" w:cs="Century"/>
    </w:rPr>
  </w:style>
  <w:style w:type="paragraph" w:customStyle="1" w:styleId="jaff3">
    <w:name w:val="公布文（ja）"/>
    <w:basedOn w:val="a"/>
    <w:rsid w:val="0051670E"/>
    <w:pPr>
      <w:widowControl w:val="0"/>
      <w:ind w:firstLine="219"/>
    </w:pPr>
    <w:rPr>
      <w:rFonts w:ascii="ＭＳ 明朝" w:eastAsia="ＭＳ 明朝" w:hAnsi="ＭＳ 明朝" w:cs="ＭＳ 明朝"/>
    </w:rPr>
  </w:style>
  <w:style w:type="paragraph" w:customStyle="1" w:styleId="enff3">
    <w:name w:val="公布文（en）"/>
    <w:basedOn w:val="jaff3"/>
    <w:rsid w:val="0051670E"/>
    <w:rPr>
      <w:rFonts w:ascii="Century" w:eastAsia="Century" w:hAnsi="Century" w:cs="Century"/>
    </w:rPr>
  </w:style>
  <w:style w:type="paragraph" w:customStyle="1" w:styleId="jaen">
    <w:name w:val="表（ja：en）"/>
    <w:basedOn w:val="a"/>
    <w:rsid w:val="0051670E"/>
    <w:pPr>
      <w:widowControl w:val="0"/>
      <w:snapToGrid w:val="0"/>
    </w:pPr>
    <w:rPr>
      <w:rFonts w:ascii="Century" w:eastAsia="ＭＳ 明朝" w:hAnsi="Century"/>
    </w:rPr>
  </w:style>
  <w:style w:type="paragraph" w:customStyle="1" w:styleId="jaff4">
    <w:name w:val="備考（ja）"/>
    <w:basedOn w:val="a"/>
    <w:rsid w:val="0051670E"/>
    <w:pPr>
      <w:widowControl w:val="0"/>
      <w:ind w:left="439" w:hanging="219"/>
    </w:pPr>
    <w:rPr>
      <w:rFonts w:ascii="ＭＳ 明朝" w:eastAsia="ＭＳ 明朝" w:hAnsi="ＭＳ 明朝" w:cs="ＭＳ 明朝"/>
    </w:rPr>
  </w:style>
  <w:style w:type="paragraph" w:customStyle="1" w:styleId="enff4">
    <w:name w:val="備考（en）"/>
    <w:basedOn w:val="jaff4"/>
    <w:rsid w:val="0051670E"/>
    <w:rPr>
      <w:rFonts w:ascii="Century" w:eastAsia="Century" w:hAnsi="Century" w:cs="Century"/>
    </w:rPr>
  </w:style>
  <w:style w:type="paragraph" w:customStyle="1" w:styleId="jaff5">
    <w:name w:val="表タイトル（ja）"/>
    <w:basedOn w:val="a"/>
    <w:rsid w:val="0051670E"/>
    <w:pPr>
      <w:widowControl w:val="0"/>
      <w:ind w:left="219"/>
    </w:pPr>
    <w:rPr>
      <w:rFonts w:ascii="ＭＳ 明朝" w:eastAsia="ＭＳ 明朝" w:hAnsi="ＭＳ 明朝" w:cs="ＭＳ 明朝"/>
    </w:rPr>
  </w:style>
  <w:style w:type="paragraph" w:customStyle="1" w:styleId="enff5">
    <w:name w:val="表タイトル（en）"/>
    <w:basedOn w:val="jaff5"/>
    <w:rsid w:val="0051670E"/>
    <w:rPr>
      <w:rFonts w:ascii="Century" w:eastAsia="Century" w:hAnsi="Century" w:cs="Century"/>
    </w:rPr>
  </w:style>
  <w:style w:type="paragraph" w:customStyle="1" w:styleId="jaff6">
    <w:name w:val="改正規定文（ja）"/>
    <w:basedOn w:val="a"/>
    <w:rsid w:val="0051670E"/>
    <w:pPr>
      <w:widowControl w:val="0"/>
      <w:ind w:left="219" w:firstLine="219"/>
    </w:pPr>
    <w:rPr>
      <w:rFonts w:ascii="ＭＳ 明朝" w:eastAsia="ＭＳ 明朝" w:hAnsi="ＭＳ 明朝" w:cs="ＭＳ 明朝"/>
    </w:rPr>
  </w:style>
  <w:style w:type="paragraph" w:customStyle="1" w:styleId="enff6">
    <w:name w:val="改正規定文（en）"/>
    <w:basedOn w:val="jaff6"/>
    <w:rsid w:val="0051670E"/>
    <w:rPr>
      <w:rFonts w:ascii="Century" w:eastAsia="Century" w:hAnsi="Century" w:cs="Century"/>
    </w:rPr>
  </w:style>
  <w:style w:type="paragraph" w:customStyle="1" w:styleId="jaff7">
    <w:name w:val="付記（ja）"/>
    <w:basedOn w:val="a"/>
    <w:rsid w:val="0051670E"/>
    <w:pPr>
      <w:widowControl w:val="0"/>
      <w:ind w:left="219" w:firstLine="219"/>
    </w:pPr>
    <w:rPr>
      <w:rFonts w:ascii="ＭＳ 明朝" w:eastAsia="ＭＳ 明朝" w:hAnsi="ＭＳ 明朝" w:cs="ＭＳ 明朝"/>
    </w:rPr>
  </w:style>
  <w:style w:type="paragraph" w:customStyle="1" w:styleId="enff7">
    <w:name w:val="付記（en）"/>
    <w:basedOn w:val="jaff7"/>
    <w:rsid w:val="0051670E"/>
    <w:rPr>
      <w:rFonts w:ascii="Century" w:eastAsia="Century" w:hAnsi="Century" w:cs="Century"/>
    </w:rPr>
  </w:style>
  <w:style w:type="paragraph" w:customStyle="1" w:styleId="jaff8">
    <w:name w:val="様式名（ja）"/>
    <w:basedOn w:val="a"/>
    <w:rsid w:val="0051670E"/>
    <w:pPr>
      <w:widowControl w:val="0"/>
      <w:ind w:left="439" w:hanging="219"/>
    </w:pPr>
    <w:rPr>
      <w:rFonts w:ascii="ＭＳ 明朝" w:eastAsia="ＭＳ 明朝" w:hAnsi="ＭＳ 明朝" w:cs="ＭＳ 明朝"/>
    </w:rPr>
  </w:style>
  <w:style w:type="paragraph" w:customStyle="1" w:styleId="enff8">
    <w:name w:val="様式名（en）"/>
    <w:basedOn w:val="jaff8"/>
    <w:rsid w:val="0051670E"/>
    <w:rPr>
      <w:rFonts w:ascii="Century" w:eastAsia="Century" w:hAnsi="Century" w:cs="Century"/>
    </w:rPr>
  </w:style>
  <w:style w:type="paragraph" w:customStyle="1" w:styleId="jaff9">
    <w:name w:val="様式項目（ja）"/>
    <w:basedOn w:val="a"/>
    <w:rsid w:val="0051670E"/>
    <w:pPr>
      <w:widowControl w:val="0"/>
      <w:ind w:left="221" w:firstLine="221"/>
    </w:pPr>
    <w:rPr>
      <w:rFonts w:ascii="ＭＳ 明朝" w:eastAsia="ＭＳ 明朝" w:hAnsi="ＭＳ 明朝" w:cs="ＭＳ 明朝"/>
    </w:rPr>
  </w:style>
  <w:style w:type="paragraph" w:customStyle="1" w:styleId="enff9">
    <w:name w:val="様式項目（en）"/>
    <w:basedOn w:val="jaff9"/>
    <w:rsid w:val="0051670E"/>
    <w:rPr>
      <w:rFonts w:ascii="Century" w:eastAsia="Century" w:hAnsi="Century" w:cs="Century"/>
    </w:rPr>
  </w:style>
  <w:style w:type="table" w:customStyle="1" w:styleId="1">
    <w:name w:val="表1"/>
    <w:rsid w:val="0051670E"/>
    <w:tblPr>
      <w:tblInd w:w="340" w:type="dxa"/>
      <w:tblCellMar>
        <w:top w:w="0" w:type="dxa"/>
        <w:left w:w="0" w:type="dxa"/>
        <w:bottom w:w="0" w:type="dxa"/>
        <w:right w:w="0" w:type="dxa"/>
      </w:tblCellMar>
    </w:tblPr>
  </w:style>
  <w:style w:type="numbering" w:customStyle="1" w:styleId="WW8Num1">
    <w:name w:val="WW8Num1"/>
    <w:rsid w:val="0051670E"/>
    <w:pPr>
      <w:numPr>
        <w:numId w:val="2"/>
      </w:numPr>
    </w:pPr>
  </w:style>
  <w:style w:type="numbering" w:customStyle="1" w:styleId="WW8Num2">
    <w:name w:val="WW8Num2"/>
    <w:rsid w:val="0051670E"/>
    <w:pPr>
      <w:numPr>
        <w:numId w:val="3"/>
      </w:numPr>
    </w:pPr>
  </w:style>
  <w:style w:type="numbering" w:customStyle="1" w:styleId="WW8Num3">
    <w:name w:val="WW8Num3"/>
    <w:rsid w:val="0051670E"/>
    <w:pPr>
      <w:numPr>
        <w:numId w:val="4"/>
      </w:numPr>
    </w:pPr>
  </w:style>
  <w:style w:type="numbering" w:customStyle="1" w:styleId="WW8Num4">
    <w:name w:val="WW8Num4"/>
    <w:rsid w:val="0051670E"/>
    <w:pPr>
      <w:numPr>
        <w:numId w:val="5"/>
      </w:numPr>
    </w:pPr>
  </w:style>
  <w:style w:type="numbering" w:customStyle="1" w:styleId="WW8Num5">
    <w:name w:val="WW8Num5"/>
    <w:rsid w:val="0051670E"/>
    <w:pPr>
      <w:numPr>
        <w:numId w:val="6"/>
      </w:numPr>
    </w:pPr>
  </w:style>
  <w:style w:type="numbering" w:customStyle="1" w:styleId="WW8Num6">
    <w:name w:val="WW8Num6"/>
    <w:rsid w:val="0051670E"/>
    <w:pPr>
      <w:numPr>
        <w:numId w:val="7"/>
      </w:numPr>
    </w:pPr>
  </w:style>
  <w:style w:type="numbering" w:customStyle="1" w:styleId="WW8Num7">
    <w:name w:val="WW8Num7"/>
    <w:rsid w:val="0051670E"/>
    <w:pPr>
      <w:numPr>
        <w:numId w:val="8"/>
      </w:numPr>
    </w:pPr>
  </w:style>
  <w:style w:type="numbering" w:customStyle="1" w:styleId="WW8Num8">
    <w:name w:val="WW8Num8"/>
    <w:rsid w:val="0051670E"/>
    <w:pPr>
      <w:numPr>
        <w:numId w:val="9"/>
      </w:numPr>
    </w:pPr>
  </w:style>
  <w:style w:type="numbering" w:customStyle="1" w:styleId="WW8Num9">
    <w:name w:val="WW8Num9"/>
    <w:rsid w:val="0051670E"/>
    <w:pPr>
      <w:numPr>
        <w:numId w:val="10"/>
      </w:numPr>
    </w:pPr>
  </w:style>
  <w:style w:type="numbering" w:customStyle="1" w:styleId="WW8Num10">
    <w:name w:val="WW8Num10"/>
    <w:rsid w:val="0051670E"/>
    <w:pPr>
      <w:numPr>
        <w:numId w:val="11"/>
      </w:numPr>
    </w:pPr>
  </w:style>
  <w:style w:type="numbering" w:customStyle="1" w:styleId="WW8Num11">
    <w:name w:val="WW8Num11"/>
    <w:rsid w:val="0051670E"/>
    <w:pPr>
      <w:numPr>
        <w:numId w:val="12"/>
      </w:numPr>
    </w:pPr>
  </w:style>
  <w:style w:type="numbering" w:customStyle="1" w:styleId="WW8Num12">
    <w:name w:val="WW8Num12"/>
    <w:rsid w:val="0051670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2024-02-14T00:29:00Z</dcterms:created>
  <dcterms:modified xsi:type="dcterms:W3CDTF">2024-02-14T00:29:00Z</dcterms:modified>
</cp:coreProperties>
</file>