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12EB" w:rsidRDefault="00821BEB">
      <w:pPr>
        <w:pStyle w:val="en"/>
      </w:pPr>
      <w:r>
        <w:t>Ministerial Order to Specify the Method of Providing Information on the Properties and Handling of Designated Chemical Substances (Tentative translation)</w:t>
      </w:r>
    </w:p>
    <w:p w:rsidR="00F112EB" w:rsidRDefault="00F112EB"/>
    <w:p w:rsidR="00F112EB" w:rsidRDefault="00821BEB">
      <w:pPr>
        <w:pStyle w:val="enf"/>
      </w:pPr>
      <w:r>
        <w:t>(Order of the Ministry of International Trade and Industry No. 401 of December 22, 2000)</w:t>
      </w:r>
    </w:p>
    <w:p w:rsidR="00F112EB" w:rsidRDefault="00F112EB"/>
    <w:p w:rsidR="00F112EB" w:rsidRDefault="00821BEB">
      <w:pPr>
        <w:pStyle w:val="ena"/>
      </w:pPr>
      <w:r>
        <w:t>(Terminology)</w:t>
      </w:r>
    </w:p>
    <w:p w:rsidR="00F112EB" w:rsidRDefault="00821BEB">
      <w:pPr>
        <w:pStyle w:val="enf3"/>
      </w:pPr>
      <w:r>
        <w:t>Article 1  The terms used in this Ministerial Order have the same meaning as the terms used in the Act on the Assessment of Releases of Specified Chemical Substances in the Environment and the Promotion of Management Improvement (hereinafter referred to as the "Act") and the Order for Enforcement of the Act on the Assessment of Releases of Specified Chemical Substances in the Environment and the Promotion of Management Improvement (Cabinet Order No. 138 of 2000; hereinafter referred to as the "Order").</w:t>
      </w:r>
    </w:p>
    <w:p w:rsidR="00F112EB" w:rsidRDefault="00F112EB"/>
    <w:p w:rsidR="00F112EB" w:rsidRDefault="00821BEB">
      <w:pPr>
        <w:pStyle w:val="ena"/>
      </w:pPr>
      <w:r>
        <w:t>(Method of Providing Information on the Properties and Handling of Designated Chemical Substances)</w:t>
      </w:r>
    </w:p>
    <w:p w:rsidR="00F112EB" w:rsidRDefault="00821BEB">
      <w:pPr>
        <w:pStyle w:val="enf3"/>
      </w:pPr>
      <w:r>
        <w:t>Article 2  The method specified by Order of the Ministry of Economy, Trade and Industry as specified in Article 14, paragraphs (1) and (2) of the Act is the method of transmission by using a facsimile machine, an e-mail, the internet or any other method where the counterparty to which a designated chemical substance, etc. is transferred or provided is able to easily inspect.</w:t>
      </w:r>
    </w:p>
    <w:p w:rsidR="00F112EB" w:rsidRDefault="00F112EB"/>
    <w:p w:rsidR="00F112EB" w:rsidRDefault="00821BEB">
      <w:pPr>
        <w:pStyle w:val="ena"/>
      </w:pPr>
      <w:r>
        <w:t>(Information that Must Be Provided)</w:t>
      </w:r>
    </w:p>
    <w:p w:rsidR="00F112EB" w:rsidRDefault="00821BEB">
      <w:pPr>
        <w:pStyle w:val="enf3"/>
      </w:pPr>
      <w:r>
        <w:t>Article 3  A business operator handling a designated chemical substance, etc. must include the following particulars in the information on the properties and handling of a designated chemical substance, etc. (hereinafter referred to as "information on the properties and handling") to be provided pursuant to the provisions of Article 14, paragraph (1) or (2) of the Act:</w:t>
      </w:r>
    </w:p>
    <w:p w:rsidR="00F112EB" w:rsidRDefault="00821BEB">
      <w:pPr>
        <w:pStyle w:val="enf6"/>
      </w:pPr>
      <w:r>
        <w:t>(i) in the following cases set forth in (a) and (b), the particular set forth respectively in (a) and (b):</w:t>
      </w:r>
    </w:p>
    <w:p w:rsidR="00F112EB" w:rsidRDefault="00821BEB">
      <w:pPr>
        <w:pStyle w:val="enf9"/>
      </w:pPr>
      <w:r>
        <w:t>(jj) If the designated chemical substance, etc. is a class I designated chemical substance or a class II designated chemical substance: the particular set forth in 1. Through 2. Below:</w:t>
      </w:r>
    </w:p>
    <w:p w:rsidR="00F112EB" w:rsidRDefault="00821BEB">
      <w:pPr>
        <w:pStyle w:val="enfc"/>
      </w:pPr>
      <w:r>
        <w:t>1. The name of the class I designated chemical substance or the class II designated chemical substance;</w:t>
      </w:r>
    </w:p>
    <w:p w:rsidR="00F112EB" w:rsidRDefault="00821BEB">
      <w:pPr>
        <w:pStyle w:val="enfc"/>
      </w:pPr>
      <w:r>
        <w:t xml:space="preserve">2. the class I designated chemical substance or the class II designated </w:t>
      </w:r>
      <w:r>
        <w:lastRenderedPageBreak/>
        <w:t>chemical substance which is classified into a class I designated chemical substance (excluding a specific class I designated chemical substance), a specific class I designated chemical substance, or a class II designated chemical substance; or</w:t>
      </w:r>
    </w:p>
    <w:p w:rsidR="00F112EB" w:rsidRDefault="00821BEB">
      <w:pPr>
        <w:pStyle w:val="enf9"/>
      </w:pPr>
      <w:r>
        <w:t>(a) If the designated chemical substance, etc. is the product containing a class I designated chemical substance or a class II designated chemical substance: the particulars set forth in 1. Through 4. Below:</w:t>
      </w:r>
    </w:p>
    <w:p w:rsidR="00F112EB" w:rsidRDefault="00821BEB">
      <w:pPr>
        <w:pStyle w:val="enfc"/>
      </w:pPr>
      <w:r>
        <w:t>1. The name of the product;</w:t>
      </w:r>
    </w:p>
    <w:p w:rsidR="00F112EB" w:rsidRDefault="00821BEB">
      <w:pPr>
        <w:pStyle w:val="enfc"/>
      </w:pPr>
      <w:r>
        <w:t>2. the name of the class I designated chemical substance or the class II designated chemical substance contained in the product (hereinafter referred to as the "designated chemical substance being contained") (limited to the product that the amount of a class I designated chemical substance or the amount of a class II designated chemical substance (hereinafter referred to as the "amount of a class II designated chemical substance") pertaining to the designated chemical substance being contained to the weigh</w:t>
      </w:r>
      <w:r>
        <w:t>t of the product is greater than 1 percent, or the amount of a specific class I designated chemical substance pertaining to the designated chemical substance being contained to the weight of the product is greater than 0.1 percent);</w:t>
      </w:r>
    </w:p>
    <w:p w:rsidR="00F112EB" w:rsidRDefault="00821BEB">
      <w:pPr>
        <w:pStyle w:val="enfc"/>
      </w:pPr>
      <w:r>
        <w:t>3. The designated chemical substance being contained, which is classified into a class I designated chemical substance (excluding a specific class I designated chemical substance), a specific class I designated chemical substance, or a class II designated chemical substance; and</w:t>
      </w:r>
    </w:p>
    <w:p w:rsidR="00F112EB" w:rsidRDefault="00821BEB">
      <w:pPr>
        <w:pStyle w:val="enfc"/>
      </w:pPr>
      <w:r>
        <w:t>4. The percentage of the amount of class I designated chemical substance, a specific class I designated chemical substance, or class II designated chemical substance of the designated chemical substance being contained respectively to the weight of the product;</w:t>
      </w:r>
    </w:p>
    <w:p w:rsidR="00F112EB" w:rsidRDefault="00821BEB">
      <w:pPr>
        <w:pStyle w:val="enf6"/>
      </w:pPr>
      <w:r>
        <w:t>(ii) the name, address, and contact information of the business operator handling a designated chemical substance, etc.;</w:t>
      </w:r>
    </w:p>
    <w:p w:rsidR="00F112EB" w:rsidRDefault="00821BEB">
      <w:pPr>
        <w:pStyle w:val="enf6"/>
      </w:pPr>
      <w:r>
        <w:t>(iii) first-aid measures to be given to a person who has been injured by the designated chemical substance, etc.;</w:t>
      </w:r>
    </w:p>
    <w:p w:rsidR="00F112EB" w:rsidRDefault="00821BEB">
      <w:pPr>
        <w:pStyle w:val="enf6"/>
      </w:pPr>
      <w:r>
        <w:t>(iv) fire-fighting measures at a place of business that handles the designated chemical substance, etc.;</w:t>
      </w:r>
    </w:p>
    <w:p w:rsidR="00F112EB" w:rsidRDefault="00821BEB">
      <w:pPr>
        <w:pStyle w:val="enf6"/>
      </w:pPr>
      <w:r>
        <w:t>(v) measures required for a leak or accidental release of the designated chemical substance, etc.;</w:t>
      </w:r>
    </w:p>
    <w:p w:rsidR="00F112EB" w:rsidRDefault="00821BEB">
      <w:pPr>
        <w:pStyle w:val="enf6"/>
      </w:pPr>
      <w:r>
        <w:t>(vi) precautions for handling and storage of the designated chemical substance, etc.;</w:t>
      </w:r>
    </w:p>
    <w:p w:rsidR="00F112EB" w:rsidRDefault="00821BEB">
      <w:pPr>
        <w:pStyle w:val="enf6"/>
      </w:pPr>
      <w:r>
        <w:t>(vii) preventive measures against a human body being exposed to the designated chemical substance, etc. at a place of business that handles it;</w:t>
      </w:r>
    </w:p>
    <w:p w:rsidR="00F112EB" w:rsidRDefault="00821BEB">
      <w:pPr>
        <w:pStyle w:val="enf6"/>
      </w:pPr>
      <w:r>
        <w:t>(viii) physical and chemical properties of the designated chemical substance, etc.;</w:t>
      </w:r>
    </w:p>
    <w:p w:rsidR="00F112EB" w:rsidRDefault="00821BEB">
      <w:pPr>
        <w:pStyle w:val="enf6"/>
      </w:pPr>
      <w:r>
        <w:lastRenderedPageBreak/>
        <w:t>(ix) stability and reactivity of the designated chemical substance, etc.;</w:t>
      </w:r>
    </w:p>
    <w:p w:rsidR="00F112EB" w:rsidRDefault="00821BEB">
      <w:pPr>
        <w:pStyle w:val="enf6"/>
      </w:pPr>
      <w:r>
        <w:t>(x) toxicological information of the designated chemical substance, etc.;</w:t>
      </w:r>
    </w:p>
    <w:p w:rsidR="00F112EB" w:rsidRDefault="00821BEB">
      <w:pPr>
        <w:pStyle w:val="enf6"/>
      </w:pPr>
      <w:r>
        <w:t xml:space="preserve">(xi) impact of the designated chemical substance, etc. on </w:t>
      </w:r>
      <w:r>
        <w:t>the environment;</w:t>
      </w:r>
    </w:p>
    <w:p w:rsidR="00F112EB" w:rsidRDefault="00821BEB">
      <w:pPr>
        <w:pStyle w:val="enf6"/>
      </w:pPr>
      <w:r>
        <w:t>(xii) a summary of the information provided in the preceding items from (viii) to (xi);</w:t>
      </w:r>
    </w:p>
    <w:p w:rsidR="00F112EB" w:rsidRDefault="00821BEB">
      <w:pPr>
        <w:pStyle w:val="enf6"/>
      </w:pPr>
      <w:r>
        <w:t>(xiii) precautions to be taken when disposing of the designated chemical substance, etc.;</w:t>
      </w:r>
    </w:p>
    <w:p w:rsidR="00F112EB" w:rsidRDefault="00821BEB">
      <w:pPr>
        <w:pStyle w:val="enf6"/>
      </w:pPr>
      <w:r>
        <w:t>(xiv) precautions to be taken when transporting the designated chemical substance, etc.;</w:t>
      </w:r>
    </w:p>
    <w:p w:rsidR="00F112EB" w:rsidRDefault="00821BEB">
      <w:pPr>
        <w:pStyle w:val="enf6"/>
      </w:pPr>
      <w:r>
        <w:t>(xv) laws and regulations applicable to the designated chemical substance, etc.; and</w:t>
      </w:r>
    </w:p>
    <w:p w:rsidR="00F112EB" w:rsidRDefault="00821BEB">
      <w:pPr>
        <w:pStyle w:val="enf6"/>
      </w:pPr>
      <w:r>
        <w:t>(xvi) what is set forth in the preceding items, the information which the business operator handling a designated chemical substance, etc. finds necessary.</w:t>
      </w:r>
    </w:p>
    <w:p w:rsidR="00F112EB" w:rsidRDefault="00F112EB"/>
    <w:p w:rsidR="00F112EB" w:rsidRDefault="00821BEB">
      <w:pPr>
        <w:pStyle w:val="ena"/>
      </w:pPr>
      <w:r>
        <w:t>(Method to Provide the Information Specified in Items of Article 3)</w:t>
      </w:r>
    </w:p>
    <w:p w:rsidR="00F112EB" w:rsidRDefault="00821BEB">
      <w:pPr>
        <w:pStyle w:val="enf3"/>
      </w:pPr>
      <w:r>
        <w:t>Article 4  (1) A business operator handling a designated chemical substance, etc. is to endeavor to state or record the physical and chemical properties referred to in the preceding Article in accordance with the JIS Z7253 (meaning the Japanese Industrial Standards specified in Article 20, paragraph (1) of the Industrial Standardization Act (Act No. 185, 1949);the same applies hereafter.)</w:t>
      </w:r>
    </w:p>
    <w:p w:rsidR="00F112EB" w:rsidRDefault="00821BEB">
      <w:pPr>
        <w:pStyle w:val="enf4"/>
      </w:pPr>
      <w:r>
        <w:t>(2) The information set forth in each item of Article 3 must be stated or recorded in the Japanese language.</w:t>
      </w:r>
    </w:p>
    <w:p w:rsidR="00F112EB" w:rsidRDefault="00821BEB">
      <w:pPr>
        <w:pStyle w:val="enf4"/>
      </w:pPr>
      <w:r>
        <w:t>(3) The percentage of the amount of a class I designated chemical substance, the amount of a specific class I designated chemical substance, or the amount of a class II designated chemical substance of the designated chemical substance being contained to the weight of the product as specified in Article 3, item (i), (a), 4. must be provided as a numerical figure calculated by regarding the first two digits of the percentage as effective digits.</w:t>
      </w:r>
    </w:p>
    <w:p w:rsidR="00F112EB" w:rsidRDefault="00F112EB"/>
    <w:p w:rsidR="00F112EB" w:rsidRDefault="00821BEB">
      <w:pPr>
        <w:pStyle w:val="ena"/>
      </w:pPr>
      <w:r>
        <w:t>(Labeling)</w:t>
      </w:r>
    </w:p>
    <w:p w:rsidR="00F112EB" w:rsidRDefault="00821BEB">
      <w:pPr>
        <w:pStyle w:val="enf3"/>
      </w:pPr>
      <w:r>
        <w:t>Article 5  When a business operator handling a designated chemical substance, etc. transfers or provides a designated chemical substance, etc., by putting them into the containers or in packages, when providing the information on the properties and handling, the business operator is to endeavor to affix a label in accordance with JIS Z7253 on the container or the package (when putting them into the containers and in packages to transfer or provide it; its container).:</w:t>
      </w:r>
    </w:p>
    <w:p w:rsidR="00F112EB" w:rsidRDefault="00821BEB">
      <w:pPr>
        <w:pStyle w:val="enf6"/>
      </w:pPr>
      <w:r>
        <w:t>(i) In the following cases set forth in (a) and (b), the information listed respectively in (a) and (b);</w:t>
      </w:r>
    </w:p>
    <w:p w:rsidR="00F112EB" w:rsidRDefault="00821BEB">
      <w:pPr>
        <w:pStyle w:val="enf9"/>
      </w:pPr>
      <w:r>
        <w:t xml:space="preserve">(jj) if the designated chemical substance, etc. is a class I designated chemical substance or a class II designated chemical substance: the name of the </w:t>
      </w:r>
      <w:r>
        <w:lastRenderedPageBreak/>
        <w:t>class I designated chemical substance or the class II designated chemical substance;</w:t>
      </w:r>
    </w:p>
    <w:p w:rsidR="00F112EB" w:rsidRDefault="00821BEB">
      <w:pPr>
        <w:pStyle w:val="enf9"/>
      </w:pPr>
      <w:r>
        <w:t>(a) if the designated chemical substance, etc. is the product containing a class I designated chemical substance or a class II designated chemical substance; the name of the product;</w:t>
      </w:r>
    </w:p>
    <w:p w:rsidR="00F112EB" w:rsidRDefault="00821BEB">
      <w:pPr>
        <w:pStyle w:val="enf6"/>
      </w:pPr>
      <w:r>
        <w:t>(ii) physical and chemical properties, stability, reactivity, toxicological information of the designated chemical substance, etc. and the harmful effects thereof on the environment;</w:t>
      </w:r>
    </w:p>
    <w:p w:rsidR="00F112EB" w:rsidRDefault="00821BEB">
      <w:pPr>
        <w:pStyle w:val="enf6"/>
      </w:pPr>
      <w:r>
        <w:t>(iii) precautions for storage or handling of the designated chemical substance, etc.;</w:t>
      </w:r>
    </w:p>
    <w:p w:rsidR="00F112EB" w:rsidRDefault="00821BEB">
      <w:pPr>
        <w:pStyle w:val="enf6"/>
      </w:pPr>
      <w:r>
        <w:t>(iv) pictograms corresponding to physical and chemical properties, stability, reactivity, toxicological information of the designated chemical substance, etc. and the harmful effects on the environment;</w:t>
      </w:r>
    </w:p>
    <w:p w:rsidR="00F112EB" w:rsidRDefault="00821BEB">
      <w:pPr>
        <w:pStyle w:val="enf6"/>
      </w:pPr>
      <w:r>
        <w:t>(v) the name (for a juridical person, its name), address and telephone number of a person who indicates;</w:t>
      </w:r>
    </w:p>
    <w:p w:rsidR="00F112EB" w:rsidRDefault="00821BEB">
      <w:pPr>
        <w:pStyle w:val="enf6"/>
      </w:pPr>
      <w:r>
        <w:t>(vi) signal words.</w:t>
      </w:r>
    </w:p>
    <w:p w:rsidR="00F112EB" w:rsidRDefault="00F112EB"/>
    <w:p w:rsidR="00F112EB" w:rsidRDefault="00821BEB">
      <w:pPr>
        <w:pStyle w:val="ena"/>
      </w:pPr>
      <w:r>
        <w:t>(Cases in Which Information on the Properties and Handling Needs to Be Provided)</w:t>
      </w:r>
    </w:p>
    <w:p w:rsidR="00F112EB" w:rsidRDefault="00821BEB">
      <w:pPr>
        <w:pStyle w:val="enf3"/>
      </w:pPr>
      <w:r>
        <w:t>Article 6  (1) Information on the properties and handling must be provided each time a designated chemical substance, etc. is transferred or provided.</w:t>
      </w:r>
    </w:p>
    <w:p w:rsidR="00F112EB" w:rsidRDefault="00821BEB">
      <w:pPr>
        <w:pStyle w:val="enf4"/>
      </w:pPr>
      <w:r>
        <w:t>(2) The provisions of the preceding paragraph do not apply when the same type of designated chemical substance, etc. is transferred or provided to the same business operator continuously or repeatedly and the information on the properties and handling of the designated chemical substance, etc. has already been provided; provided, however, that this does not apply when the counterparty to which the designated chemical substance, etc. is to be transferred or provided requests to provide the information on the</w:t>
      </w:r>
      <w:r>
        <w:t xml:space="preserve"> properties and handling of the designated chemical substance, etc.</w:t>
      </w:r>
    </w:p>
    <w:p w:rsidR="00F112EB" w:rsidRDefault="00F112EB"/>
    <w:p w:rsidR="00F112EB" w:rsidRDefault="00821BEB">
      <w:pPr>
        <w:pStyle w:val="en2"/>
      </w:pPr>
      <w:r>
        <w:t>Supplementary Provisions</w:t>
      </w:r>
    </w:p>
    <w:p w:rsidR="00F112EB" w:rsidRDefault="00F112EB"/>
    <w:p w:rsidR="00F112EB" w:rsidRDefault="00821BEB">
      <w:pPr>
        <w:pStyle w:val="enf4"/>
      </w:pPr>
      <w:r>
        <w:t xml:space="preserve">(1) This Ministerial Order comes into effect as of the date on which the provisions of Article 1, item </w:t>
      </w:r>
      <w:r>
        <w:t>(ii) of the Supplementary Provisions of the Act (January 1, 2001) come into effect.</w:t>
      </w:r>
    </w:p>
    <w:p w:rsidR="00F112EB" w:rsidRDefault="00821BEB">
      <w:pPr>
        <w:pStyle w:val="enf4"/>
      </w:pPr>
      <w:r>
        <w:t>(2) The measures provided in the paragraphs of Article 15 of the Act do not apply to a business operator handling a designated chemical substance, etc. that transfers or provides a designated chemical substance, etc. prior to the date on which the provisions of Article 1, item (iii) of the Supplementary Provisions of the Act come into effect.</w:t>
      </w:r>
    </w:p>
    <w:p w:rsidR="00F112EB" w:rsidRDefault="00F112EB"/>
    <w:p w:rsidR="00F112EB" w:rsidRDefault="00821BEB">
      <w:pPr>
        <w:pStyle w:val="en2"/>
      </w:pPr>
      <w:r>
        <w:lastRenderedPageBreak/>
        <w:t>Supplementary Provisions  [Order of the Ministry of Economy, Trade and Industry No. 402 of 2002]</w:t>
      </w:r>
    </w:p>
    <w:p w:rsidR="00F112EB" w:rsidRDefault="00F112EB"/>
    <w:p w:rsidR="00F112EB" w:rsidRDefault="00821BEB">
      <w:pPr>
        <w:pStyle w:val="enf5"/>
      </w:pPr>
      <w:r>
        <w:t>This Ministerial Order comes into effect as of January 6, 2003.</w:t>
      </w:r>
    </w:p>
    <w:p w:rsidR="00F112EB" w:rsidRDefault="00F112EB"/>
    <w:p w:rsidR="00F112EB" w:rsidRDefault="00821BEB">
      <w:pPr>
        <w:pStyle w:val="en2"/>
      </w:pPr>
      <w:r>
        <w:t>Supplementary Provisions  [Order of the Ministry of Economy, Trade and Industry No. 27 of 2009]</w:t>
      </w:r>
    </w:p>
    <w:p w:rsidR="00F112EB" w:rsidRDefault="00F112EB"/>
    <w:p w:rsidR="00F112EB" w:rsidRDefault="00821BEB">
      <w:pPr>
        <w:pStyle w:val="enf5"/>
      </w:pPr>
      <w:r>
        <w:t>This Ministerial Order comes into effect as of October 1, 2009.</w:t>
      </w:r>
    </w:p>
    <w:p w:rsidR="00F112EB" w:rsidRDefault="00F112EB"/>
    <w:p w:rsidR="00F112EB" w:rsidRDefault="00821BEB">
      <w:pPr>
        <w:pStyle w:val="en2"/>
      </w:pPr>
      <w:r>
        <w:t>Supplementary Provisions  [Order of the Ministry of Economy, Trade and Industry No. 36 of 2012]</w:t>
      </w:r>
    </w:p>
    <w:p w:rsidR="00F112EB" w:rsidRDefault="00F112EB"/>
    <w:p w:rsidR="00F112EB" w:rsidRDefault="00821BEB">
      <w:pPr>
        <w:pStyle w:val="ena"/>
      </w:pPr>
      <w:r>
        <w:t>(Effective Date)</w:t>
      </w:r>
    </w:p>
    <w:p w:rsidR="00F112EB" w:rsidRDefault="00821BEB">
      <w:pPr>
        <w:pStyle w:val="enf3"/>
      </w:pPr>
      <w:r>
        <w:t xml:space="preserve">Article 1  This Ministerial Order comes into effect as of June 1, 2012; provided, however, that the provisions of Article 4, paragraph (1), and Article 5 of the Ministerial Order to specify the method of providing information on the properties and handling of designated chemical substances, etc. after revision by this Ministerial Order (hereinafter referred to as the "New Ministerial Order") apply to products that contain Class I designated chemical substances as stipulated in Article 2, Paragraph 5 of the </w:t>
      </w:r>
      <w:r>
        <w:t>Act and meet the requirements specified by Cabinet Order, and products that contain Class II designated chemical substances as stipulated in Paragraph 6 of the same Article and meet the requirements specified by Cabinet Order, as of April 1, 2015.</w:t>
      </w:r>
    </w:p>
    <w:p w:rsidR="00F112EB" w:rsidRDefault="00F112EB"/>
    <w:p w:rsidR="00F112EB" w:rsidRDefault="00821BEB">
      <w:pPr>
        <w:pStyle w:val="ena"/>
      </w:pPr>
      <w:r>
        <w:t>(Transitional Measures)</w:t>
      </w:r>
    </w:p>
    <w:p w:rsidR="00F112EB" w:rsidRDefault="00821BEB">
      <w:pPr>
        <w:pStyle w:val="enf3"/>
      </w:pPr>
      <w:r>
        <w:t>Article 2  Prior laws continue to govern the information regarding the properties and handling of designated chemical substances, etc. which were transferred or provided by a designated chemical substance handling business operator pursuant to the provisions of Article 14, paragraph (1) or (2) of the Act prior to the enforcement of this Ministerial Order.</w:t>
      </w:r>
    </w:p>
    <w:p w:rsidR="00F112EB" w:rsidRDefault="00F112EB"/>
    <w:p w:rsidR="00F112EB" w:rsidRDefault="00821BEB">
      <w:pPr>
        <w:pStyle w:val="en2"/>
      </w:pPr>
      <w:r>
        <w:t>Supplementary Provisions  [Order of the Ministry of Economy, Trade and Industry No. 17 of 2019]</w:t>
      </w:r>
    </w:p>
    <w:p w:rsidR="00F112EB" w:rsidRDefault="00F112EB"/>
    <w:p w:rsidR="00F112EB" w:rsidRDefault="00821BEB">
      <w:pPr>
        <w:pStyle w:val="enf5"/>
      </w:pPr>
      <w:r>
        <w:t>This Ministerial Order comes into effect as of the date on which the Act Partially Amending the Unfair Competition Prevention Act, etc. comes into effect (July 1, 2019).</w:t>
      </w:r>
    </w:p>
    <w:p w:rsidR="00F112EB" w:rsidRDefault="00F112EB"/>
    <w:p w:rsidR="00F112EB" w:rsidRDefault="00821BEB">
      <w:pPr>
        <w:pStyle w:val="en2"/>
      </w:pPr>
      <w:r>
        <w:t>Supplementary Provisions  [Order of the Ministry of Economy, Trade and Industry No. 35 of 2022]</w:t>
      </w:r>
    </w:p>
    <w:p w:rsidR="00F112EB" w:rsidRDefault="00F112EB"/>
    <w:p w:rsidR="00F112EB" w:rsidRDefault="00821BEB">
      <w:pPr>
        <w:pStyle w:val="enf5"/>
      </w:pPr>
      <w:r>
        <w:t>This Ministerial Order comes into effect as of the date of promulgation (March 31, 2022).</w:t>
      </w:r>
    </w:p>
    <w:sectPr w:rsidR="00F112EB" w:rsidSect="00F112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12EB" w:rsidRDefault="00F112EB" w:rsidP="00F112EB">
      <w:r>
        <w:separator/>
      </w:r>
    </w:p>
  </w:endnote>
  <w:endnote w:type="continuationSeparator" w:id="0">
    <w:p w:rsidR="00F112EB" w:rsidRDefault="00F112EB" w:rsidP="00F1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12EB" w:rsidRDefault="00F112EB">
    <w:pPr>
      <w:pStyle w:val="a3"/>
    </w:pPr>
    <w:r>
      <w:fldChar w:fldCharType="begin"/>
    </w:r>
    <w:r>
      <w:instrText xml:space="preserve"> PAGE  \* MERGEFORMAT </w:instrText>
    </w:r>
    <w:r>
      <w:fldChar w:fldCharType="separate"/>
    </w:r>
    <w:r w:rsidR="00821B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12EB" w:rsidRDefault="00F112EB" w:rsidP="00F112EB">
      <w:r>
        <w:separator/>
      </w:r>
    </w:p>
  </w:footnote>
  <w:footnote w:type="continuationSeparator" w:id="0">
    <w:p w:rsidR="00F112EB" w:rsidRDefault="00F112EB" w:rsidP="00F11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7814"/>
    <w:multiLevelType w:val="multilevel"/>
    <w:tmpl w:val="C6D8E8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123F84"/>
    <w:multiLevelType w:val="multilevel"/>
    <w:tmpl w:val="F8D809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140C1D"/>
    <w:multiLevelType w:val="multilevel"/>
    <w:tmpl w:val="E788F4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645298"/>
    <w:multiLevelType w:val="multilevel"/>
    <w:tmpl w:val="AF76C3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D2179B"/>
    <w:multiLevelType w:val="multilevel"/>
    <w:tmpl w:val="A81A87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095BE5"/>
    <w:multiLevelType w:val="multilevel"/>
    <w:tmpl w:val="44B67B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A837D8"/>
    <w:multiLevelType w:val="multilevel"/>
    <w:tmpl w:val="33AA53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6725E56"/>
    <w:multiLevelType w:val="multilevel"/>
    <w:tmpl w:val="C9F096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105C84"/>
    <w:multiLevelType w:val="multilevel"/>
    <w:tmpl w:val="FED4BF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856F22"/>
    <w:multiLevelType w:val="multilevel"/>
    <w:tmpl w:val="816EC0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6A064D"/>
    <w:multiLevelType w:val="multilevel"/>
    <w:tmpl w:val="D96A30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BB42F9"/>
    <w:multiLevelType w:val="multilevel"/>
    <w:tmpl w:val="0BAC47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602C3"/>
    <w:multiLevelType w:val="multilevel"/>
    <w:tmpl w:val="2416A6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259244">
    <w:abstractNumId w:val="12"/>
  </w:num>
  <w:num w:numId="2" w16cid:durableId="644552687">
    <w:abstractNumId w:val="0"/>
  </w:num>
  <w:num w:numId="3" w16cid:durableId="907425960">
    <w:abstractNumId w:val="9"/>
  </w:num>
  <w:num w:numId="4" w16cid:durableId="575633650">
    <w:abstractNumId w:val="3"/>
  </w:num>
  <w:num w:numId="5" w16cid:durableId="759452107">
    <w:abstractNumId w:val="1"/>
  </w:num>
  <w:num w:numId="6" w16cid:durableId="1472939614">
    <w:abstractNumId w:val="8"/>
  </w:num>
  <w:num w:numId="7" w16cid:durableId="1929264399">
    <w:abstractNumId w:val="4"/>
  </w:num>
  <w:num w:numId="8" w16cid:durableId="1130393495">
    <w:abstractNumId w:val="11"/>
  </w:num>
  <w:num w:numId="9" w16cid:durableId="1156265092">
    <w:abstractNumId w:val="2"/>
  </w:num>
  <w:num w:numId="10" w16cid:durableId="429401420">
    <w:abstractNumId w:val="10"/>
  </w:num>
  <w:num w:numId="11" w16cid:durableId="2133939591">
    <w:abstractNumId w:val="5"/>
  </w:num>
  <w:num w:numId="12" w16cid:durableId="2056657938">
    <w:abstractNumId w:val="6"/>
  </w:num>
  <w:num w:numId="13" w16cid:durableId="366874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12EB"/>
    <w:rsid w:val="00821BEB"/>
    <w:rsid w:val="00D750F6"/>
    <w:rsid w:val="00F112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2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12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12EB"/>
    <w:rPr>
      <w:rFonts w:ascii="Century" w:eastAsia="Century" w:hAnsi="Century"/>
    </w:rPr>
  </w:style>
  <w:style w:type="paragraph" w:customStyle="1" w:styleId="ja0">
    <w:name w:val="款（ja）"/>
    <w:basedOn w:val="a"/>
    <w:rsid w:val="00F112EB"/>
    <w:pPr>
      <w:widowControl w:val="0"/>
      <w:ind w:left="1321" w:hanging="221"/>
    </w:pPr>
    <w:rPr>
      <w:rFonts w:ascii="ＭＳ 明朝" w:eastAsia="ＭＳ 明朝" w:hAnsi="ＭＳ 明朝" w:cs="ＭＳ 明朝"/>
      <w:b/>
    </w:rPr>
  </w:style>
  <w:style w:type="paragraph" w:customStyle="1" w:styleId="en0">
    <w:name w:val="款（en）"/>
    <w:basedOn w:val="ja0"/>
    <w:rsid w:val="00F112EB"/>
    <w:rPr>
      <w:rFonts w:ascii="Century" w:eastAsia="Century" w:hAnsi="Century" w:cs="Century"/>
    </w:rPr>
  </w:style>
  <w:style w:type="paragraph" w:customStyle="1" w:styleId="ja1">
    <w:name w:val="前文（ja）"/>
    <w:basedOn w:val="a"/>
    <w:rsid w:val="00F112EB"/>
    <w:pPr>
      <w:widowControl w:val="0"/>
      <w:ind w:firstLine="219"/>
    </w:pPr>
    <w:rPr>
      <w:rFonts w:ascii="ＭＳ 明朝" w:eastAsia="ＭＳ 明朝" w:hAnsi="ＭＳ 明朝" w:cs="ＭＳ 明朝"/>
    </w:rPr>
  </w:style>
  <w:style w:type="paragraph" w:customStyle="1" w:styleId="en1">
    <w:name w:val="前文（en）"/>
    <w:basedOn w:val="ja1"/>
    <w:rsid w:val="00F112EB"/>
    <w:rPr>
      <w:rFonts w:ascii="Century" w:eastAsia="Century" w:hAnsi="Century" w:cs="Century"/>
    </w:rPr>
  </w:style>
  <w:style w:type="paragraph" w:customStyle="1" w:styleId="ja2">
    <w:name w:val="附則（ja）"/>
    <w:basedOn w:val="a"/>
    <w:rsid w:val="00F112EB"/>
    <w:pPr>
      <w:widowControl w:val="0"/>
      <w:ind w:left="881" w:hanging="221"/>
    </w:pPr>
    <w:rPr>
      <w:rFonts w:ascii="ＭＳ 明朝" w:eastAsia="ＭＳ 明朝" w:hAnsi="ＭＳ 明朝" w:cs="ＭＳ 明朝"/>
      <w:b/>
    </w:rPr>
  </w:style>
  <w:style w:type="paragraph" w:customStyle="1" w:styleId="en2">
    <w:name w:val="附則（en）"/>
    <w:basedOn w:val="ja2"/>
    <w:rsid w:val="00F112EB"/>
    <w:rPr>
      <w:rFonts w:ascii="Century" w:hAnsi="Century" w:cs="Century"/>
    </w:rPr>
  </w:style>
  <w:style w:type="paragraph" w:customStyle="1" w:styleId="ja3">
    <w:name w:val="章（ja）"/>
    <w:basedOn w:val="a"/>
    <w:rsid w:val="00F112EB"/>
    <w:pPr>
      <w:widowControl w:val="0"/>
      <w:ind w:left="881" w:hanging="221"/>
    </w:pPr>
    <w:rPr>
      <w:rFonts w:ascii="ＭＳ 明朝" w:eastAsia="ＭＳ 明朝" w:hAnsi="ＭＳ 明朝" w:cs="ＭＳ 明朝"/>
      <w:b/>
    </w:rPr>
  </w:style>
  <w:style w:type="paragraph" w:customStyle="1" w:styleId="en3">
    <w:name w:val="章（en）"/>
    <w:basedOn w:val="ja3"/>
    <w:rsid w:val="00F112EB"/>
    <w:rPr>
      <w:rFonts w:ascii="Century" w:eastAsia="Century" w:hAnsi="Century" w:cs="Century"/>
    </w:rPr>
  </w:style>
  <w:style w:type="paragraph" w:customStyle="1" w:styleId="ja4">
    <w:name w:val="目次編（ja）"/>
    <w:basedOn w:val="a"/>
    <w:rsid w:val="00F112EB"/>
    <w:pPr>
      <w:widowControl w:val="0"/>
      <w:ind w:left="219" w:hanging="219"/>
    </w:pPr>
    <w:rPr>
      <w:rFonts w:ascii="ＭＳ 明朝" w:eastAsia="ＭＳ 明朝" w:hAnsi="ＭＳ 明朝"/>
    </w:rPr>
  </w:style>
  <w:style w:type="paragraph" w:customStyle="1" w:styleId="en4">
    <w:name w:val="目次編（en）"/>
    <w:basedOn w:val="ja4"/>
    <w:rsid w:val="00F112EB"/>
    <w:rPr>
      <w:rFonts w:ascii="Century" w:eastAsia="Century" w:hAnsi="Century"/>
    </w:rPr>
  </w:style>
  <w:style w:type="paragraph" w:customStyle="1" w:styleId="ja5">
    <w:name w:val="目次章（ja）"/>
    <w:basedOn w:val="a"/>
    <w:rsid w:val="00F112EB"/>
    <w:pPr>
      <w:widowControl w:val="0"/>
      <w:ind w:left="439" w:hanging="219"/>
    </w:pPr>
    <w:rPr>
      <w:rFonts w:ascii="ＭＳ 明朝" w:eastAsia="ＭＳ 明朝" w:hAnsi="ＭＳ 明朝"/>
    </w:rPr>
  </w:style>
  <w:style w:type="paragraph" w:customStyle="1" w:styleId="en5">
    <w:name w:val="目次章（en）"/>
    <w:basedOn w:val="ja5"/>
    <w:rsid w:val="00F112EB"/>
    <w:rPr>
      <w:rFonts w:ascii="Century" w:eastAsia="Century" w:hAnsi="Century"/>
    </w:rPr>
  </w:style>
  <w:style w:type="paragraph" w:customStyle="1" w:styleId="ja6">
    <w:name w:val="目次節（ja）"/>
    <w:basedOn w:val="a"/>
    <w:rsid w:val="00F112EB"/>
    <w:pPr>
      <w:widowControl w:val="0"/>
      <w:ind w:left="659" w:hanging="219"/>
    </w:pPr>
    <w:rPr>
      <w:rFonts w:ascii="ＭＳ 明朝" w:eastAsia="ＭＳ 明朝" w:hAnsi="ＭＳ 明朝"/>
    </w:rPr>
  </w:style>
  <w:style w:type="paragraph" w:customStyle="1" w:styleId="en6">
    <w:name w:val="目次節（en）"/>
    <w:basedOn w:val="ja6"/>
    <w:rsid w:val="00F112EB"/>
    <w:rPr>
      <w:rFonts w:ascii="Century" w:eastAsia="Century" w:hAnsi="Century"/>
    </w:rPr>
  </w:style>
  <w:style w:type="paragraph" w:customStyle="1" w:styleId="ja7">
    <w:name w:val="目次款（ja）"/>
    <w:basedOn w:val="a"/>
    <w:rsid w:val="00F112EB"/>
    <w:pPr>
      <w:widowControl w:val="0"/>
      <w:ind w:left="879" w:hanging="219"/>
    </w:pPr>
    <w:rPr>
      <w:rFonts w:ascii="ＭＳ 明朝" w:eastAsia="ＭＳ 明朝" w:hAnsi="ＭＳ 明朝" w:cs="Kochi Mincho"/>
    </w:rPr>
  </w:style>
  <w:style w:type="paragraph" w:customStyle="1" w:styleId="en7">
    <w:name w:val="目次款（en）"/>
    <w:basedOn w:val="ja7"/>
    <w:rsid w:val="00F112EB"/>
    <w:rPr>
      <w:rFonts w:ascii="Century" w:eastAsia="Century" w:hAnsi="Century"/>
    </w:rPr>
  </w:style>
  <w:style w:type="paragraph" w:customStyle="1" w:styleId="ja8">
    <w:name w:val="別表名（ja）"/>
    <w:basedOn w:val="a"/>
    <w:rsid w:val="00F112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12EB"/>
    <w:rPr>
      <w:rFonts w:ascii="Century" w:eastAsia="Century" w:hAnsi="Century" w:cs="Century"/>
    </w:rPr>
  </w:style>
  <w:style w:type="paragraph" w:customStyle="1" w:styleId="ja9">
    <w:name w:val="目（ja）"/>
    <w:basedOn w:val="a"/>
    <w:rsid w:val="00F112EB"/>
    <w:pPr>
      <w:widowControl w:val="0"/>
      <w:ind w:left="1541" w:hanging="221"/>
    </w:pPr>
    <w:rPr>
      <w:rFonts w:ascii="ＭＳ 明朝" w:eastAsia="ＭＳ 明朝" w:hAnsi="ＭＳ 明朝" w:cs="ＭＳ 明朝"/>
      <w:b/>
    </w:rPr>
  </w:style>
  <w:style w:type="paragraph" w:customStyle="1" w:styleId="en9">
    <w:name w:val="目（en）"/>
    <w:basedOn w:val="ja9"/>
    <w:rsid w:val="00F112EB"/>
    <w:rPr>
      <w:rFonts w:ascii="Century" w:eastAsia="Century" w:hAnsi="Century" w:cs="Century"/>
    </w:rPr>
  </w:style>
  <w:style w:type="paragraph" w:customStyle="1" w:styleId="jaa">
    <w:name w:val="見出し（ja）"/>
    <w:basedOn w:val="a"/>
    <w:rsid w:val="00F112EB"/>
    <w:pPr>
      <w:widowControl w:val="0"/>
      <w:ind w:left="439" w:hanging="219"/>
    </w:pPr>
    <w:rPr>
      <w:rFonts w:ascii="ＭＳ 明朝" w:eastAsia="ＭＳ 明朝" w:hAnsi="ＭＳ 明朝" w:cs="ＭＳ 明朝"/>
    </w:rPr>
  </w:style>
  <w:style w:type="paragraph" w:customStyle="1" w:styleId="ena">
    <w:name w:val="見出し（en）"/>
    <w:basedOn w:val="jaa"/>
    <w:rsid w:val="00F112EB"/>
    <w:rPr>
      <w:rFonts w:ascii="Century" w:eastAsia="Century" w:hAnsi="Century" w:cs="Century"/>
    </w:rPr>
  </w:style>
  <w:style w:type="paragraph" w:styleId="a3">
    <w:name w:val="footer"/>
    <w:basedOn w:val="a"/>
    <w:rsid w:val="00F112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12EB"/>
    <w:pPr>
      <w:widowControl w:val="0"/>
      <w:ind w:left="1099" w:hanging="219"/>
    </w:pPr>
    <w:rPr>
      <w:rFonts w:ascii="ＭＳ 明朝" w:eastAsia="ＭＳ 明朝" w:hAnsi="ＭＳ 明朝" w:cs="Kochi Mincho"/>
    </w:rPr>
  </w:style>
  <w:style w:type="paragraph" w:customStyle="1" w:styleId="enb">
    <w:name w:val="目次目（en）"/>
    <w:basedOn w:val="jab"/>
    <w:rsid w:val="00F112EB"/>
    <w:rPr>
      <w:rFonts w:ascii="Century" w:eastAsia="Century" w:hAnsi="Century"/>
    </w:rPr>
  </w:style>
  <w:style w:type="paragraph" w:customStyle="1" w:styleId="jac">
    <w:name w:val="目次附則（ja）"/>
    <w:basedOn w:val="a"/>
    <w:rsid w:val="00F112EB"/>
    <w:pPr>
      <w:widowControl w:val="0"/>
      <w:ind w:left="439" w:hanging="219"/>
    </w:pPr>
    <w:rPr>
      <w:rFonts w:ascii="ＭＳ 明朝" w:eastAsia="ＭＳ 明朝" w:hAnsi="ＭＳ 明朝" w:cs="Kochi Mincho"/>
    </w:rPr>
  </w:style>
  <w:style w:type="paragraph" w:customStyle="1" w:styleId="enc">
    <w:name w:val="目次附則（en）"/>
    <w:basedOn w:val="jac"/>
    <w:rsid w:val="00F112EB"/>
    <w:rPr>
      <w:rFonts w:ascii="Century" w:eastAsia="Century" w:hAnsi="Century" w:cs="Century"/>
    </w:rPr>
  </w:style>
  <w:style w:type="paragraph" w:customStyle="1" w:styleId="jad">
    <w:name w:val="目次前文（ja）"/>
    <w:basedOn w:val="jac"/>
    <w:rsid w:val="00F112EB"/>
  </w:style>
  <w:style w:type="paragraph" w:customStyle="1" w:styleId="end">
    <w:name w:val="目次前文（en）"/>
    <w:basedOn w:val="enc"/>
    <w:rsid w:val="00F112EB"/>
  </w:style>
  <w:style w:type="paragraph" w:customStyle="1" w:styleId="jae">
    <w:name w:val="制定文（ja）"/>
    <w:basedOn w:val="a"/>
    <w:rsid w:val="00F112EB"/>
    <w:pPr>
      <w:widowControl w:val="0"/>
      <w:ind w:firstLine="219"/>
    </w:pPr>
    <w:rPr>
      <w:rFonts w:ascii="ＭＳ 明朝" w:eastAsia="ＭＳ 明朝" w:hAnsi="ＭＳ 明朝" w:cs="ＭＳ 明朝"/>
    </w:rPr>
  </w:style>
  <w:style w:type="paragraph" w:customStyle="1" w:styleId="ene">
    <w:name w:val="制定文（en）"/>
    <w:basedOn w:val="jae"/>
    <w:rsid w:val="00F112EB"/>
    <w:rPr>
      <w:rFonts w:ascii="Century" w:eastAsia="Century" w:hAnsi="Century" w:cs="Century"/>
    </w:rPr>
  </w:style>
  <w:style w:type="paragraph" w:customStyle="1" w:styleId="jaf">
    <w:name w:val="法令番号（ja）"/>
    <w:basedOn w:val="a"/>
    <w:rsid w:val="00F112EB"/>
    <w:pPr>
      <w:widowControl w:val="0"/>
      <w:jc w:val="right"/>
    </w:pPr>
    <w:rPr>
      <w:rFonts w:ascii="ＭＳ 明朝" w:eastAsia="ＭＳ 明朝" w:hAnsi="ＭＳ 明朝" w:cs="Kochi Mincho"/>
    </w:rPr>
  </w:style>
  <w:style w:type="paragraph" w:customStyle="1" w:styleId="enf">
    <w:name w:val="法令番号（en）"/>
    <w:basedOn w:val="jaf"/>
    <w:rsid w:val="00F112EB"/>
    <w:rPr>
      <w:rFonts w:ascii="Century" w:eastAsia="Century" w:hAnsi="Century" w:cs="Century"/>
    </w:rPr>
  </w:style>
  <w:style w:type="paragraph" w:customStyle="1" w:styleId="jaf0">
    <w:name w:val="目次（ja）"/>
    <w:basedOn w:val="a"/>
    <w:rsid w:val="00F112EB"/>
    <w:rPr>
      <w:rFonts w:ascii="ＭＳ 明朝" w:eastAsia="ＭＳ 明朝" w:hAnsi="ＭＳ 明朝"/>
    </w:rPr>
  </w:style>
  <w:style w:type="paragraph" w:customStyle="1" w:styleId="enf0">
    <w:name w:val="目次（en）"/>
    <w:basedOn w:val="jaf0"/>
    <w:rsid w:val="00F112EB"/>
    <w:rPr>
      <w:rFonts w:ascii="Century" w:eastAsia="Century" w:hAnsi="Century"/>
    </w:rPr>
  </w:style>
  <w:style w:type="paragraph" w:customStyle="1" w:styleId="jaf1">
    <w:name w:val="編（ja）"/>
    <w:basedOn w:val="a"/>
    <w:rsid w:val="00F112EB"/>
    <w:pPr>
      <w:widowControl w:val="0"/>
      <w:ind w:left="661" w:hanging="221"/>
    </w:pPr>
    <w:rPr>
      <w:rFonts w:ascii="ＭＳ 明朝" w:eastAsia="ＭＳ 明朝" w:hAnsi="ＭＳ 明朝" w:cs="ＭＳ 明朝"/>
      <w:b/>
    </w:rPr>
  </w:style>
  <w:style w:type="paragraph" w:customStyle="1" w:styleId="enf1">
    <w:name w:val="編（en）"/>
    <w:basedOn w:val="jaf1"/>
    <w:rsid w:val="00F112EB"/>
    <w:rPr>
      <w:rFonts w:ascii="Century" w:eastAsia="Century" w:hAnsi="Century" w:cs="Century"/>
    </w:rPr>
  </w:style>
  <w:style w:type="paragraph" w:customStyle="1" w:styleId="jaf2">
    <w:name w:val="節（ja）"/>
    <w:basedOn w:val="a"/>
    <w:rsid w:val="00F112EB"/>
    <w:pPr>
      <w:widowControl w:val="0"/>
      <w:ind w:left="1101" w:hanging="221"/>
    </w:pPr>
    <w:rPr>
      <w:rFonts w:ascii="ＭＳ 明朝" w:eastAsia="ＭＳ 明朝" w:hAnsi="ＭＳ 明朝" w:cs="ＭＳ 明朝"/>
      <w:b/>
    </w:rPr>
  </w:style>
  <w:style w:type="paragraph" w:customStyle="1" w:styleId="enf2">
    <w:name w:val="節（en）"/>
    <w:basedOn w:val="jaf2"/>
    <w:rsid w:val="00F112EB"/>
    <w:rPr>
      <w:rFonts w:ascii="Century" w:eastAsia="Century" w:hAnsi="Century" w:cs="Century"/>
    </w:rPr>
  </w:style>
  <w:style w:type="paragraph" w:customStyle="1" w:styleId="jaf3">
    <w:name w:val="条（ja）"/>
    <w:basedOn w:val="a"/>
    <w:rsid w:val="00F112EB"/>
    <w:pPr>
      <w:widowControl w:val="0"/>
      <w:ind w:left="219" w:hanging="219"/>
    </w:pPr>
    <w:rPr>
      <w:rFonts w:ascii="ＭＳ 明朝" w:eastAsia="ＭＳ 明朝" w:hAnsi="ＭＳ 明朝" w:cs="ＭＳ 明朝"/>
    </w:rPr>
  </w:style>
  <w:style w:type="paragraph" w:customStyle="1" w:styleId="enf3">
    <w:name w:val="条（en）"/>
    <w:basedOn w:val="jaf3"/>
    <w:rsid w:val="00F112EB"/>
    <w:rPr>
      <w:rFonts w:ascii="Century" w:eastAsia="Century" w:hAnsi="Century" w:cs="Century"/>
    </w:rPr>
  </w:style>
  <w:style w:type="paragraph" w:customStyle="1" w:styleId="jaf4">
    <w:name w:val="項（ja）"/>
    <w:basedOn w:val="a"/>
    <w:rsid w:val="00F112EB"/>
    <w:pPr>
      <w:widowControl w:val="0"/>
      <w:ind w:left="219" w:hanging="219"/>
    </w:pPr>
    <w:rPr>
      <w:rFonts w:ascii="ＭＳ 明朝" w:eastAsia="ＭＳ 明朝" w:hAnsi="ＭＳ 明朝" w:cs="ＭＳ 明朝"/>
    </w:rPr>
  </w:style>
  <w:style w:type="paragraph" w:customStyle="1" w:styleId="enf4">
    <w:name w:val="項（en）"/>
    <w:basedOn w:val="jaf4"/>
    <w:rsid w:val="00F112EB"/>
    <w:rPr>
      <w:rFonts w:ascii="Century" w:eastAsia="Century" w:hAnsi="Century" w:cs="Century"/>
    </w:rPr>
  </w:style>
  <w:style w:type="paragraph" w:customStyle="1" w:styleId="jaf5">
    <w:name w:val="項　番号なし（ja）"/>
    <w:basedOn w:val="a"/>
    <w:rsid w:val="00F112EB"/>
    <w:pPr>
      <w:widowControl w:val="0"/>
      <w:ind w:firstLine="221"/>
    </w:pPr>
    <w:rPr>
      <w:rFonts w:ascii="ＭＳ 明朝" w:eastAsia="ＭＳ 明朝" w:hAnsi="ＭＳ 明朝" w:cs="ＭＳ 明朝"/>
    </w:rPr>
  </w:style>
  <w:style w:type="paragraph" w:customStyle="1" w:styleId="enf5">
    <w:name w:val="項　番号なし（en）"/>
    <w:basedOn w:val="jaf5"/>
    <w:rsid w:val="00F112EB"/>
    <w:rPr>
      <w:rFonts w:ascii="Century" w:eastAsia="Century" w:hAnsi="Century" w:cs="Century"/>
    </w:rPr>
  </w:style>
  <w:style w:type="paragraph" w:customStyle="1" w:styleId="jaf6">
    <w:name w:val="号（ja）"/>
    <w:basedOn w:val="a"/>
    <w:rsid w:val="00F112EB"/>
    <w:pPr>
      <w:widowControl w:val="0"/>
      <w:ind w:left="439" w:hanging="219"/>
    </w:pPr>
    <w:rPr>
      <w:rFonts w:ascii="ＭＳ 明朝" w:eastAsia="ＭＳ 明朝" w:hAnsi="ＭＳ 明朝" w:cs="ＭＳ 明朝"/>
    </w:rPr>
  </w:style>
  <w:style w:type="paragraph" w:customStyle="1" w:styleId="enf6">
    <w:name w:val="号（en）"/>
    <w:basedOn w:val="jaf6"/>
    <w:rsid w:val="00F112EB"/>
    <w:rPr>
      <w:rFonts w:ascii="Century" w:eastAsia="Century" w:hAnsi="Century" w:cs="Century"/>
    </w:rPr>
  </w:style>
  <w:style w:type="paragraph" w:customStyle="1" w:styleId="jaf7">
    <w:name w:val="号　番号なし（ja）"/>
    <w:basedOn w:val="a"/>
    <w:rsid w:val="00F112EB"/>
    <w:pPr>
      <w:widowControl w:val="0"/>
      <w:ind w:left="221" w:firstLine="221"/>
    </w:pPr>
    <w:rPr>
      <w:rFonts w:ascii="ＭＳ 明朝" w:eastAsia="ＭＳ 明朝" w:hAnsi="ＭＳ 明朝" w:cs="ＭＳ 明朝"/>
    </w:rPr>
  </w:style>
  <w:style w:type="paragraph" w:customStyle="1" w:styleId="enf7">
    <w:name w:val="号　番号なし（en）"/>
    <w:basedOn w:val="jaf7"/>
    <w:rsid w:val="00F112EB"/>
    <w:rPr>
      <w:rFonts w:ascii="Century" w:eastAsia="Century" w:hAnsi="Century" w:cs="Century"/>
    </w:rPr>
  </w:style>
  <w:style w:type="paragraph" w:customStyle="1" w:styleId="jaf8">
    <w:name w:val="備考号（ja）"/>
    <w:basedOn w:val="a"/>
    <w:rsid w:val="00F112EB"/>
    <w:pPr>
      <w:widowControl w:val="0"/>
      <w:ind w:left="659" w:hanging="219"/>
    </w:pPr>
    <w:rPr>
      <w:rFonts w:ascii="ＭＳ 明朝" w:eastAsia="ＭＳ 明朝" w:hAnsi="ＭＳ 明朝" w:cs="ＭＳ 明朝"/>
    </w:rPr>
  </w:style>
  <w:style w:type="paragraph" w:customStyle="1" w:styleId="enf8">
    <w:name w:val="備考号（en）"/>
    <w:basedOn w:val="jaf8"/>
    <w:rsid w:val="00F112EB"/>
    <w:rPr>
      <w:rFonts w:ascii="Century" w:eastAsia="Century" w:hAnsi="Century" w:cs="Century"/>
    </w:rPr>
  </w:style>
  <w:style w:type="paragraph" w:customStyle="1" w:styleId="jaf9">
    <w:name w:val="号細分（ja）"/>
    <w:basedOn w:val="a"/>
    <w:rsid w:val="00F112EB"/>
    <w:pPr>
      <w:widowControl w:val="0"/>
      <w:ind w:left="659" w:hanging="219"/>
    </w:pPr>
    <w:rPr>
      <w:rFonts w:ascii="ＭＳ 明朝" w:eastAsia="ＭＳ 明朝" w:hAnsi="ＭＳ 明朝" w:cs="ＭＳ 明朝"/>
    </w:rPr>
  </w:style>
  <w:style w:type="paragraph" w:customStyle="1" w:styleId="enf9">
    <w:name w:val="号細分（en）"/>
    <w:basedOn w:val="jaf9"/>
    <w:rsid w:val="00F112EB"/>
    <w:rPr>
      <w:rFonts w:ascii="Century" w:eastAsia="Century" w:hAnsi="Century" w:cs="Century"/>
    </w:rPr>
  </w:style>
  <w:style w:type="paragraph" w:customStyle="1" w:styleId="jafa">
    <w:name w:val="号細分　番号なし（ja）"/>
    <w:basedOn w:val="a"/>
    <w:rsid w:val="00F112EB"/>
    <w:pPr>
      <w:widowControl w:val="0"/>
      <w:ind w:left="439"/>
    </w:pPr>
    <w:rPr>
      <w:rFonts w:ascii="ＭＳ 明朝" w:eastAsia="ＭＳ 明朝" w:hAnsi="ＭＳ 明朝" w:cs="ＭＳ 明朝"/>
    </w:rPr>
  </w:style>
  <w:style w:type="paragraph" w:customStyle="1" w:styleId="enfa">
    <w:name w:val="号細分　番号なし（en）"/>
    <w:basedOn w:val="jafa"/>
    <w:rsid w:val="00F112EB"/>
    <w:rPr>
      <w:rFonts w:ascii="Century" w:eastAsia="Century" w:hAnsi="Century" w:cs="Century"/>
    </w:rPr>
  </w:style>
  <w:style w:type="paragraph" w:customStyle="1" w:styleId="jafb">
    <w:name w:val="備考号細分（ja）"/>
    <w:basedOn w:val="a"/>
    <w:rsid w:val="00F112EB"/>
    <w:pPr>
      <w:widowControl w:val="0"/>
      <w:ind w:left="1099" w:hanging="439"/>
    </w:pPr>
    <w:rPr>
      <w:rFonts w:ascii="ＭＳ 明朝" w:eastAsia="ＭＳ 明朝" w:hAnsi="ＭＳ 明朝" w:cs="ＭＳ 明朝"/>
    </w:rPr>
  </w:style>
  <w:style w:type="paragraph" w:customStyle="1" w:styleId="enfb">
    <w:name w:val="備考号細分（en）"/>
    <w:basedOn w:val="jafb"/>
    <w:rsid w:val="00F112EB"/>
    <w:rPr>
      <w:rFonts w:ascii="Century" w:eastAsia="Century" w:hAnsi="Century" w:cs="Century"/>
    </w:rPr>
  </w:style>
  <w:style w:type="paragraph" w:customStyle="1" w:styleId="jafc">
    <w:name w:val="号細細分（ja）"/>
    <w:basedOn w:val="a"/>
    <w:rsid w:val="00F112EB"/>
    <w:pPr>
      <w:widowControl w:val="0"/>
      <w:ind w:left="1099" w:hanging="439"/>
    </w:pPr>
    <w:rPr>
      <w:rFonts w:ascii="ＭＳ 明朝" w:eastAsia="ＭＳ 明朝" w:hAnsi="ＭＳ 明朝" w:cs="ＭＳ 明朝"/>
    </w:rPr>
  </w:style>
  <w:style w:type="paragraph" w:customStyle="1" w:styleId="enfc">
    <w:name w:val="号細細分（en）"/>
    <w:basedOn w:val="jafc"/>
    <w:rsid w:val="00F112EB"/>
    <w:rPr>
      <w:rFonts w:ascii="Century" w:eastAsia="Century" w:hAnsi="Century" w:cs="Century"/>
    </w:rPr>
  </w:style>
  <w:style w:type="paragraph" w:customStyle="1" w:styleId="jafd">
    <w:name w:val="号細細分　番号なし（ja）"/>
    <w:basedOn w:val="a"/>
    <w:rsid w:val="00F112EB"/>
    <w:pPr>
      <w:widowControl w:val="0"/>
      <w:ind w:left="659"/>
    </w:pPr>
    <w:rPr>
      <w:rFonts w:ascii="ＭＳ 明朝" w:eastAsia="ＭＳ 明朝" w:hAnsi="ＭＳ 明朝" w:cs="ＭＳ 明朝"/>
    </w:rPr>
  </w:style>
  <w:style w:type="paragraph" w:customStyle="1" w:styleId="enfd">
    <w:name w:val="号細細分　番号なし（en）"/>
    <w:basedOn w:val="jafd"/>
    <w:rsid w:val="00F112EB"/>
    <w:rPr>
      <w:rFonts w:ascii="Century" w:eastAsia="Century" w:hAnsi="Century" w:cs="Century"/>
    </w:rPr>
  </w:style>
  <w:style w:type="paragraph" w:customStyle="1" w:styleId="jafe">
    <w:name w:val="備考号細細分（ja）"/>
    <w:basedOn w:val="a"/>
    <w:rsid w:val="00F112EB"/>
    <w:pPr>
      <w:widowControl w:val="0"/>
      <w:ind w:left="1319" w:hanging="439"/>
    </w:pPr>
    <w:rPr>
      <w:rFonts w:ascii="ＭＳ 明朝" w:eastAsia="ＭＳ 明朝" w:hAnsi="ＭＳ 明朝" w:cs="ＭＳ 明朝"/>
    </w:rPr>
  </w:style>
  <w:style w:type="paragraph" w:customStyle="1" w:styleId="enfe">
    <w:name w:val="備考号細細分（en）"/>
    <w:basedOn w:val="jafe"/>
    <w:rsid w:val="00F112EB"/>
    <w:rPr>
      <w:rFonts w:ascii="Century" w:eastAsia="Century" w:hAnsi="Century" w:cs="Century"/>
    </w:rPr>
  </w:style>
  <w:style w:type="paragraph" w:customStyle="1" w:styleId="jaff">
    <w:name w:val="号細細細分（ja）"/>
    <w:basedOn w:val="a"/>
    <w:rsid w:val="00F112EB"/>
    <w:pPr>
      <w:widowControl w:val="0"/>
      <w:ind w:left="1319" w:hanging="439"/>
    </w:pPr>
    <w:rPr>
      <w:rFonts w:ascii="ＭＳ 明朝" w:eastAsia="ＭＳ 明朝" w:hAnsi="ＭＳ 明朝" w:cs="ＭＳ 明朝"/>
    </w:rPr>
  </w:style>
  <w:style w:type="paragraph" w:customStyle="1" w:styleId="enff">
    <w:name w:val="号細細細分（en）"/>
    <w:basedOn w:val="jaff"/>
    <w:rsid w:val="00F112EB"/>
    <w:rPr>
      <w:rFonts w:ascii="Century" w:eastAsia="Century" w:hAnsi="Century" w:cs="Century"/>
    </w:rPr>
  </w:style>
  <w:style w:type="paragraph" w:customStyle="1" w:styleId="jaff0">
    <w:name w:val="号細細細分　番号なし（ja）"/>
    <w:basedOn w:val="a"/>
    <w:rsid w:val="00F112EB"/>
    <w:pPr>
      <w:widowControl w:val="0"/>
      <w:ind w:left="879"/>
    </w:pPr>
    <w:rPr>
      <w:rFonts w:ascii="ＭＳ 明朝" w:eastAsia="ＭＳ 明朝" w:hAnsi="ＭＳ 明朝" w:cs="ＭＳ 明朝"/>
    </w:rPr>
  </w:style>
  <w:style w:type="paragraph" w:customStyle="1" w:styleId="enff0">
    <w:name w:val="号細細細分　番号なし（en）"/>
    <w:basedOn w:val="jaff0"/>
    <w:rsid w:val="00F112EB"/>
    <w:rPr>
      <w:rFonts w:ascii="Century" w:eastAsia="Century" w:hAnsi="Century" w:cs="Century"/>
    </w:rPr>
  </w:style>
  <w:style w:type="paragraph" w:customStyle="1" w:styleId="jaff1">
    <w:name w:val="備考号細細細分（ja）"/>
    <w:basedOn w:val="a"/>
    <w:rsid w:val="00F112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12EB"/>
    <w:rPr>
      <w:rFonts w:ascii="Century" w:eastAsia="Century" w:hAnsi="Century" w:cs="Century"/>
    </w:rPr>
  </w:style>
  <w:style w:type="paragraph" w:customStyle="1" w:styleId="jaff2">
    <w:name w:val="類（ja）"/>
    <w:basedOn w:val="a"/>
    <w:rsid w:val="00F112EB"/>
    <w:pPr>
      <w:widowControl w:val="0"/>
      <w:ind w:left="439" w:hanging="219"/>
    </w:pPr>
    <w:rPr>
      <w:rFonts w:ascii="ＭＳ 明朝" w:eastAsia="ＭＳ 明朝" w:hAnsi="ＭＳ 明朝" w:cs="ＭＳ 明朝"/>
    </w:rPr>
  </w:style>
  <w:style w:type="paragraph" w:customStyle="1" w:styleId="enff2">
    <w:name w:val="類（en）"/>
    <w:basedOn w:val="jaff2"/>
    <w:rsid w:val="00F112EB"/>
    <w:rPr>
      <w:rFonts w:ascii="Century" w:eastAsia="Century" w:hAnsi="Century" w:cs="Century"/>
    </w:rPr>
  </w:style>
  <w:style w:type="paragraph" w:customStyle="1" w:styleId="jaff3">
    <w:name w:val="公布文（ja）"/>
    <w:basedOn w:val="a"/>
    <w:rsid w:val="00F112EB"/>
    <w:pPr>
      <w:widowControl w:val="0"/>
      <w:ind w:firstLine="219"/>
    </w:pPr>
    <w:rPr>
      <w:rFonts w:ascii="ＭＳ 明朝" w:eastAsia="ＭＳ 明朝" w:hAnsi="ＭＳ 明朝" w:cs="ＭＳ 明朝"/>
    </w:rPr>
  </w:style>
  <w:style w:type="paragraph" w:customStyle="1" w:styleId="enff3">
    <w:name w:val="公布文（en）"/>
    <w:basedOn w:val="jaff3"/>
    <w:rsid w:val="00F112EB"/>
    <w:rPr>
      <w:rFonts w:ascii="Century" w:eastAsia="Century" w:hAnsi="Century" w:cs="Century"/>
    </w:rPr>
  </w:style>
  <w:style w:type="paragraph" w:customStyle="1" w:styleId="jaen">
    <w:name w:val="表（ja：en）"/>
    <w:basedOn w:val="a"/>
    <w:rsid w:val="00F112EB"/>
    <w:pPr>
      <w:widowControl w:val="0"/>
      <w:snapToGrid w:val="0"/>
    </w:pPr>
    <w:rPr>
      <w:rFonts w:ascii="Century" w:eastAsia="ＭＳ 明朝" w:hAnsi="Century"/>
    </w:rPr>
  </w:style>
  <w:style w:type="paragraph" w:customStyle="1" w:styleId="jaff4">
    <w:name w:val="備考（ja）"/>
    <w:basedOn w:val="a"/>
    <w:rsid w:val="00F112EB"/>
    <w:pPr>
      <w:widowControl w:val="0"/>
      <w:ind w:left="439" w:hanging="219"/>
    </w:pPr>
    <w:rPr>
      <w:rFonts w:ascii="ＭＳ 明朝" w:eastAsia="ＭＳ 明朝" w:hAnsi="ＭＳ 明朝" w:cs="ＭＳ 明朝"/>
    </w:rPr>
  </w:style>
  <w:style w:type="paragraph" w:customStyle="1" w:styleId="enff4">
    <w:name w:val="備考（en）"/>
    <w:basedOn w:val="jaff4"/>
    <w:rsid w:val="00F112EB"/>
    <w:rPr>
      <w:rFonts w:ascii="Century" w:eastAsia="Century" w:hAnsi="Century" w:cs="Century"/>
    </w:rPr>
  </w:style>
  <w:style w:type="paragraph" w:customStyle="1" w:styleId="jaff5">
    <w:name w:val="表タイトル（ja）"/>
    <w:basedOn w:val="a"/>
    <w:rsid w:val="00F112EB"/>
    <w:pPr>
      <w:widowControl w:val="0"/>
      <w:ind w:left="219"/>
    </w:pPr>
    <w:rPr>
      <w:rFonts w:ascii="ＭＳ 明朝" w:eastAsia="ＭＳ 明朝" w:hAnsi="ＭＳ 明朝" w:cs="ＭＳ 明朝"/>
    </w:rPr>
  </w:style>
  <w:style w:type="paragraph" w:customStyle="1" w:styleId="enff5">
    <w:name w:val="表タイトル（en）"/>
    <w:basedOn w:val="jaff5"/>
    <w:rsid w:val="00F112EB"/>
    <w:rPr>
      <w:rFonts w:ascii="Century" w:eastAsia="Century" w:hAnsi="Century" w:cs="Century"/>
    </w:rPr>
  </w:style>
  <w:style w:type="paragraph" w:customStyle="1" w:styleId="jaff6">
    <w:name w:val="改正規定文（ja）"/>
    <w:basedOn w:val="a"/>
    <w:rsid w:val="00F112EB"/>
    <w:pPr>
      <w:widowControl w:val="0"/>
      <w:ind w:left="219" w:firstLine="219"/>
    </w:pPr>
    <w:rPr>
      <w:rFonts w:ascii="ＭＳ 明朝" w:eastAsia="ＭＳ 明朝" w:hAnsi="ＭＳ 明朝" w:cs="ＭＳ 明朝"/>
    </w:rPr>
  </w:style>
  <w:style w:type="paragraph" w:customStyle="1" w:styleId="enff6">
    <w:name w:val="改正規定文（en）"/>
    <w:basedOn w:val="jaff6"/>
    <w:rsid w:val="00F112EB"/>
    <w:rPr>
      <w:rFonts w:ascii="Century" w:eastAsia="Century" w:hAnsi="Century" w:cs="Century"/>
    </w:rPr>
  </w:style>
  <w:style w:type="paragraph" w:customStyle="1" w:styleId="jaff7">
    <w:name w:val="付記（ja）"/>
    <w:basedOn w:val="a"/>
    <w:rsid w:val="00F112EB"/>
    <w:pPr>
      <w:widowControl w:val="0"/>
      <w:ind w:left="219" w:firstLine="219"/>
    </w:pPr>
    <w:rPr>
      <w:rFonts w:ascii="ＭＳ 明朝" w:eastAsia="ＭＳ 明朝" w:hAnsi="ＭＳ 明朝" w:cs="ＭＳ 明朝"/>
    </w:rPr>
  </w:style>
  <w:style w:type="paragraph" w:customStyle="1" w:styleId="enff7">
    <w:name w:val="付記（en）"/>
    <w:basedOn w:val="jaff7"/>
    <w:rsid w:val="00F112EB"/>
    <w:rPr>
      <w:rFonts w:ascii="Century" w:eastAsia="Century" w:hAnsi="Century" w:cs="Century"/>
    </w:rPr>
  </w:style>
  <w:style w:type="paragraph" w:customStyle="1" w:styleId="jaff8">
    <w:name w:val="様式名（ja）"/>
    <w:basedOn w:val="a"/>
    <w:rsid w:val="00F112EB"/>
    <w:pPr>
      <w:widowControl w:val="0"/>
      <w:ind w:left="439" w:hanging="219"/>
    </w:pPr>
    <w:rPr>
      <w:rFonts w:ascii="ＭＳ 明朝" w:eastAsia="ＭＳ 明朝" w:hAnsi="ＭＳ 明朝" w:cs="ＭＳ 明朝"/>
    </w:rPr>
  </w:style>
  <w:style w:type="paragraph" w:customStyle="1" w:styleId="enff8">
    <w:name w:val="様式名（en）"/>
    <w:basedOn w:val="jaff8"/>
    <w:rsid w:val="00F112EB"/>
    <w:rPr>
      <w:rFonts w:ascii="Century" w:eastAsia="Century" w:hAnsi="Century" w:cs="Century"/>
    </w:rPr>
  </w:style>
  <w:style w:type="paragraph" w:customStyle="1" w:styleId="jaff9">
    <w:name w:val="様式項目（ja）"/>
    <w:basedOn w:val="a"/>
    <w:rsid w:val="00F112EB"/>
    <w:pPr>
      <w:widowControl w:val="0"/>
      <w:ind w:left="221" w:firstLine="221"/>
    </w:pPr>
    <w:rPr>
      <w:rFonts w:ascii="ＭＳ 明朝" w:eastAsia="ＭＳ 明朝" w:hAnsi="ＭＳ 明朝" w:cs="ＭＳ 明朝"/>
    </w:rPr>
  </w:style>
  <w:style w:type="paragraph" w:customStyle="1" w:styleId="enff9">
    <w:name w:val="様式項目（en）"/>
    <w:basedOn w:val="jaff9"/>
    <w:rsid w:val="00F112EB"/>
    <w:rPr>
      <w:rFonts w:ascii="Century" w:eastAsia="Century" w:hAnsi="Century" w:cs="Century"/>
    </w:rPr>
  </w:style>
  <w:style w:type="table" w:customStyle="1" w:styleId="1">
    <w:name w:val="表1"/>
    <w:rsid w:val="00F112EB"/>
    <w:tblPr>
      <w:tblInd w:w="340" w:type="dxa"/>
      <w:tblCellMar>
        <w:top w:w="0" w:type="dxa"/>
        <w:left w:w="0" w:type="dxa"/>
        <w:bottom w:w="0" w:type="dxa"/>
        <w:right w:w="0" w:type="dxa"/>
      </w:tblCellMar>
    </w:tblPr>
  </w:style>
  <w:style w:type="numbering" w:customStyle="1" w:styleId="WW8Num1">
    <w:name w:val="WW8Num1"/>
    <w:rsid w:val="00F112EB"/>
    <w:pPr>
      <w:numPr>
        <w:numId w:val="2"/>
      </w:numPr>
    </w:pPr>
  </w:style>
  <w:style w:type="numbering" w:customStyle="1" w:styleId="WW8Num2">
    <w:name w:val="WW8Num2"/>
    <w:rsid w:val="00F112EB"/>
    <w:pPr>
      <w:numPr>
        <w:numId w:val="3"/>
      </w:numPr>
    </w:pPr>
  </w:style>
  <w:style w:type="numbering" w:customStyle="1" w:styleId="WW8Num3">
    <w:name w:val="WW8Num3"/>
    <w:rsid w:val="00F112EB"/>
    <w:pPr>
      <w:numPr>
        <w:numId w:val="4"/>
      </w:numPr>
    </w:pPr>
  </w:style>
  <w:style w:type="numbering" w:customStyle="1" w:styleId="WW8Num4">
    <w:name w:val="WW8Num4"/>
    <w:rsid w:val="00F112EB"/>
    <w:pPr>
      <w:numPr>
        <w:numId w:val="5"/>
      </w:numPr>
    </w:pPr>
  </w:style>
  <w:style w:type="numbering" w:customStyle="1" w:styleId="WW8Num5">
    <w:name w:val="WW8Num5"/>
    <w:rsid w:val="00F112EB"/>
    <w:pPr>
      <w:numPr>
        <w:numId w:val="6"/>
      </w:numPr>
    </w:pPr>
  </w:style>
  <w:style w:type="numbering" w:customStyle="1" w:styleId="WW8Num6">
    <w:name w:val="WW8Num6"/>
    <w:rsid w:val="00F112EB"/>
    <w:pPr>
      <w:numPr>
        <w:numId w:val="7"/>
      </w:numPr>
    </w:pPr>
  </w:style>
  <w:style w:type="numbering" w:customStyle="1" w:styleId="WW8Num7">
    <w:name w:val="WW8Num7"/>
    <w:rsid w:val="00F112EB"/>
    <w:pPr>
      <w:numPr>
        <w:numId w:val="8"/>
      </w:numPr>
    </w:pPr>
  </w:style>
  <w:style w:type="numbering" w:customStyle="1" w:styleId="WW8Num8">
    <w:name w:val="WW8Num8"/>
    <w:rsid w:val="00F112EB"/>
    <w:pPr>
      <w:numPr>
        <w:numId w:val="9"/>
      </w:numPr>
    </w:pPr>
  </w:style>
  <w:style w:type="numbering" w:customStyle="1" w:styleId="WW8Num9">
    <w:name w:val="WW8Num9"/>
    <w:rsid w:val="00F112EB"/>
    <w:pPr>
      <w:numPr>
        <w:numId w:val="10"/>
      </w:numPr>
    </w:pPr>
  </w:style>
  <w:style w:type="numbering" w:customStyle="1" w:styleId="WW8Num10">
    <w:name w:val="WW8Num10"/>
    <w:rsid w:val="00F112EB"/>
    <w:pPr>
      <w:numPr>
        <w:numId w:val="11"/>
      </w:numPr>
    </w:pPr>
  </w:style>
  <w:style w:type="numbering" w:customStyle="1" w:styleId="WW8Num11">
    <w:name w:val="WW8Num11"/>
    <w:rsid w:val="00F112EB"/>
    <w:pPr>
      <w:numPr>
        <w:numId w:val="12"/>
      </w:numPr>
    </w:pPr>
  </w:style>
  <w:style w:type="numbering" w:customStyle="1" w:styleId="WW8Num12">
    <w:name w:val="WW8Num12"/>
    <w:rsid w:val="00F112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2024-08-29T04:59:00Z</dcterms:created>
  <dcterms:modified xsi:type="dcterms:W3CDTF">2024-08-29T04:59:00Z</dcterms:modified>
</cp:coreProperties>
</file>