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7DF0" w:rsidRDefault="008A7412">
      <w:pPr>
        <w:pStyle w:val="ja"/>
      </w:pPr>
      <w:r>
        <w:t>経済施策を一体的に講ずることによる安全保障の確保の推進に関する法律に基づく特許出願の非公開に関する内閣府令（暫定版）</w:t>
      </w:r>
    </w:p>
    <w:p w:rsidR="00817DF0" w:rsidRDefault="00817DF0"/>
    <w:p w:rsidR="00817DF0" w:rsidRDefault="008A7412">
      <w:pPr>
        <w:pStyle w:val="jaf"/>
      </w:pPr>
      <w:r>
        <w:t>（令和五年十二月十八日内閣府令第七十八号）</w:t>
      </w:r>
    </w:p>
    <w:p w:rsidR="00817DF0" w:rsidRDefault="00817DF0"/>
    <w:p w:rsidR="00817DF0" w:rsidRDefault="008A7412">
      <w:pPr>
        <w:pStyle w:val="jae"/>
      </w:pPr>
      <w:r>
        <w:t>経済施策を一体的に講ずることによる安全保障の確保の推進に関する法律（令和四年法律第四十三号）第六十七条第一項、第九項及び第十項、第七十条第一項及び第三項、第七十三条第二項、第七十五条第一項、第七十六条第一項及び第二項並びに第八十条第二項の規定に基づき、並びに同法を実施するため、経済施策を一体的に講ずることによる安全保障の確保の推進に関する法律に基づく特許出願の非公開に関する内閣府令を次のように定める。</w:t>
      </w:r>
    </w:p>
    <w:p w:rsidR="00817DF0" w:rsidRDefault="00817DF0"/>
    <w:p w:rsidR="00817DF0" w:rsidRDefault="008A7412">
      <w:pPr>
        <w:pStyle w:val="jaa"/>
      </w:pPr>
      <w:r>
        <w:t>（定義）</w:t>
      </w:r>
    </w:p>
    <w:p w:rsidR="00817DF0" w:rsidRDefault="008A7412">
      <w:pPr>
        <w:pStyle w:val="jaf3"/>
      </w:pPr>
      <w:r>
        <w:t>第一条　この府令において使用する用語は、経済施策を一体的に講ずることによる安全保障の確保の推進に関する法律（以下「法」という。）において使用する用語の例による。</w:t>
      </w:r>
    </w:p>
    <w:p w:rsidR="00817DF0" w:rsidRDefault="00817DF0"/>
    <w:p w:rsidR="00817DF0" w:rsidRDefault="008A7412">
      <w:pPr>
        <w:pStyle w:val="jaa"/>
      </w:pPr>
      <w:r>
        <w:t>（書面による手続等）</w:t>
      </w:r>
    </w:p>
    <w:p w:rsidR="00817DF0" w:rsidRDefault="008A7412">
      <w:pPr>
        <w:pStyle w:val="jaf3"/>
      </w:pPr>
      <w:r>
        <w:t>第二条　特許出願人は、法第五章又はこの府令の規定により内閣総理大臣に対して書面をもってするものとされている手続をするときは、当該書面に提出者の氏名（法人にあっては、その名称及び代表者の氏名）及び住所又は居所並びに特許出願の番号を記載しなければならない。</w:t>
      </w:r>
    </w:p>
    <w:p w:rsidR="00817DF0" w:rsidRDefault="008A7412">
      <w:pPr>
        <w:pStyle w:val="jaf4"/>
      </w:pPr>
      <w:r>
        <w:t>２　前項の書面は、日本語で書かなければならない。</w:t>
      </w:r>
    </w:p>
    <w:p w:rsidR="00817DF0" w:rsidRDefault="00817DF0"/>
    <w:p w:rsidR="00817DF0" w:rsidRDefault="008A7412">
      <w:pPr>
        <w:pStyle w:val="jaa"/>
      </w:pPr>
      <w:r>
        <w:t>（保全審査における意見の聴取）</w:t>
      </w:r>
    </w:p>
    <w:p w:rsidR="00817DF0" w:rsidRDefault="008A7412">
      <w:pPr>
        <w:pStyle w:val="jaf3"/>
      </w:pPr>
      <w:r>
        <w:t>第三条　法第六十七条第一項の規定により保全審査をするに当たっては、明細書等に記載されている発明を公にすることにより外部から行われる行為によって国家及び国民の安全を損なう事態を生ずるおそれの程度及び保全指定をした場合に産業の発達に及ぼす影響その他の事情について、特許出願人の意見を聴くものとする。ただし、同条第二項の規定により特許出願人に対して資料の提出又は説明を求めることなく保全指定をする必要がないと判断できる場合は、この限りでない。</w:t>
      </w:r>
    </w:p>
    <w:p w:rsidR="00817DF0" w:rsidRDefault="00817DF0"/>
    <w:p w:rsidR="00817DF0" w:rsidRDefault="008A7412">
      <w:pPr>
        <w:pStyle w:val="jaa"/>
      </w:pPr>
      <w:r>
        <w:t>（保全対象発明となり得る発明の内容の通知）</w:t>
      </w:r>
    </w:p>
    <w:p w:rsidR="00817DF0" w:rsidRDefault="008A7412">
      <w:pPr>
        <w:pStyle w:val="jaf3"/>
      </w:pPr>
      <w:r>
        <w:t>第四条　法第六十七条第九項の規定による通知は、保全対象発明となり得る発明の内容及び明細書等において当該発明が記載されている箇所を記載した書面により行うものとする。</w:t>
      </w:r>
    </w:p>
    <w:p w:rsidR="00817DF0" w:rsidRDefault="00817DF0"/>
    <w:p w:rsidR="00817DF0" w:rsidRDefault="008A7412">
      <w:pPr>
        <w:pStyle w:val="jaa"/>
      </w:pPr>
      <w:r>
        <w:t>（法第六十七条第九項第三号の内閣府令で定める事項）</w:t>
      </w:r>
    </w:p>
    <w:p w:rsidR="00817DF0" w:rsidRDefault="008A7412">
      <w:pPr>
        <w:pStyle w:val="jaf3"/>
      </w:pPr>
      <w:r>
        <w:t>第五条　法第六十七条第九項第三号の内閣府令で定める事項は、同項第一号又は第二号</w:t>
      </w:r>
      <w:r>
        <w:lastRenderedPageBreak/>
        <w:t>に規定する事項に変更の予定がある場合における当該変更の内容とする。</w:t>
      </w:r>
    </w:p>
    <w:p w:rsidR="00817DF0" w:rsidRDefault="00817DF0"/>
    <w:p w:rsidR="00817DF0" w:rsidRDefault="008A7412">
      <w:pPr>
        <w:pStyle w:val="jaa"/>
      </w:pPr>
      <w:r>
        <w:t>（特許出願を維持する場合の手続）</w:t>
      </w:r>
    </w:p>
    <w:p w:rsidR="00817DF0" w:rsidRDefault="008A7412">
      <w:pPr>
        <w:pStyle w:val="jaf3"/>
      </w:pPr>
      <w:r>
        <w:t>第六条　法第六十七条第十項の規定による書類の提出は、様式第一によりしなければならない。</w:t>
      </w:r>
    </w:p>
    <w:p w:rsidR="00817DF0" w:rsidRDefault="00817DF0"/>
    <w:p w:rsidR="00817DF0" w:rsidRDefault="008A7412">
      <w:pPr>
        <w:pStyle w:val="jaa"/>
      </w:pPr>
      <w:r>
        <w:t>（保全指定の通知）</w:t>
      </w:r>
    </w:p>
    <w:p w:rsidR="00817DF0" w:rsidRDefault="008A7412">
      <w:pPr>
        <w:pStyle w:val="jaf3"/>
      </w:pPr>
      <w:r>
        <w:t>第七条　法第七十条第一項の規定による特許出願人及び特許庁長官への通知は、次の各号に掲げる事項を記載した書面により行うものとする。</w:t>
      </w:r>
    </w:p>
    <w:p w:rsidR="00817DF0" w:rsidRDefault="008A7412">
      <w:pPr>
        <w:pStyle w:val="jaf6"/>
      </w:pPr>
      <w:r>
        <w:t>一　保全対象発明の内容及び明細書等において当該保全対象発明が記載されている箇所</w:t>
      </w:r>
    </w:p>
    <w:p w:rsidR="00817DF0" w:rsidRDefault="008A7412">
      <w:pPr>
        <w:pStyle w:val="jaf6"/>
      </w:pPr>
      <w:r>
        <w:t>二　法第七十条第二項の規定により定めた保全指定の期間</w:t>
      </w:r>
    </w:p>
    <w:p w:rsidR="00817DF0" w:rsidRDefault="008A7412">
      <w:pPr>
        <w:pStyle w:val="jaf6"/>
      </w:pPr>
      <w:r>
        <w:t>三　発明共有事業者に関する事項</w:t>
      </w:r>
    </w:p>
    <w:p w:rsidR="00817DF0" w:rsidRDefault="00817DF0"/>
    <w:p w:rsidR="00817DF0" w:rsidRDefault="008A7412">
      <w:pPr>
        <w:pStyle w:val="jaa"/>
      </w:pPr>
      <w:r>
        <w:t>（保全指定の期間の延長）</w:t>
      </w:r>
    </w:p>
    <w:p w:rsidR="00817DF0" w:rsidRDefault="008A7412">
      <w:pPr>
        <w:pStyle w:val="jaf3"/>
      </w:pPr>
      <w:r>
        <w:t>第八条　法第七十条第三項後段の規定により保全指定の期間を延長するときは、あらかじめ、指定特許出願人の意見を聴くものとする。</w:t>
      </w:r>
    </w:p>
    <w:p w:rsidR="00817DF0" w:rsidRDefault="00817DF0"/>
    <w:p w:rsidR="00817DF0" w:rsidRDefault="008A7412">
      <w:pPr>
        <w:pStyle w:val="jaa"/>
      </w:pPr>
      <w:r>
        <w:t>（保全対象発明の実施の許可の申請書の記載事項）</w:t>
      </w:r>
    </w:p>
    <w:p w:rsidR="00817DF0" w:rsidRDefault="008A7412">
      <w:pPr>
        <w:pStyle w:val="jaf3"/>
      </w:pPr>
      <w:r>
        <w:t>第九条　法第七十三条第二項の内閣府令で定める事項は、次に掲げる事項とする。</w:t>
      </w:r>
    </w:p>
    <w:p w:rsidR="00817DF0" w:rsidRDefault="008A7412">
      <w:pPr>
        <w:pStyle w:val="jaf6"/>
      </w:pPr>
      <w:r>
        <w:t>一　実施をしようとする者の氏名（法人にあっては、その名称及び代表者の氏名）及び住所又は居所</w:t>
      </w:r>
    </w:p>
    <w:p w:rsidR="00817DF0" w:rsidRDefault="008A7412">
      <w:pPr>
        <w:pStyle w:val="jaf6"/>
      </w:pPr>
      <w:r>
        <w:t>二　実施をすることが必要な理由</w:t>
      </w:r>
    </w:p>
    <w:p w:rsidR="00817DF0" w:rsidRDefault="008A7412">
      <w:pPr>
        <w:pStyle w:val="jaf6"/>
      </w:pPr>
      <w:r>
        <w:t>三　実施による保全対象発明に係る情報の漏えいの防止のために講ずる措置</w:t>
      </w:r>
    </w:p>
    <w:p w:rsidR="00817DF0" w:rsidRDefault="00817DF0"/>
    <w:p w:rsidR="00817DF0" w:rsidRDefault="008A7412">
      <w:pPr>
        <w:pStyle w:val="jaa"/>
      </w:pPr>
      <w:r>
        <w:t>（法第七十五条第一項の内閣府令で定める措置）</w:t>
      </w:r>
    </w:p>
    <w:p w:rsidR="00817DF0" w:rsidRDefault="008A7412">
      <w:pPr>
        <w:pStyle w:val="jaf3"/>
      </w:pPr>
      <w:r>
        <w:t>第十条　法第七十五条第一項の内閣府令で定める措置は、次に掲げる措置とする。</w:t>
      </w:r>
    </w:p>
    <w:p w:rsidR="00817DF0" w:rsidRDefault="008A7412">
      <w:pPr>
        <w:pStyle w:val="jaf6"/>
      </w:pPr>
      <w:r>
        <w:t>一　組織的な情報管理に関する措置として次に掲げるもの</w:t>
      </w:r>
    </w:p>
    <w:p w:rsidR="00817DF0" w:rsidRDefault="008A7412">
      <w:pPr>
        <w:pStyle w:val="jaf9"/>
      </w:pPr>
      <w:r>
        <w:t>イ　保全対象発明に係る情報（発明共有事業者が講ずる措置については、指定特許出願人が取り扱うことを認めた保全対象発明に係る情報に限る。以下この条において「保全対象発明情報」という。）を取り扱う者（以下この条において「情報取扱者」という。）を適正に管理するとともに、保全対象発明情報の漏えいを防止するための措置の適切な実施を一元的に管理する責任者（以下この条において「保全情報管理責任者」という。）を指名すること。</w:t>
      </w:r>
    </w:p>
    <w:p w:rsidR="00817DF0" w:rsidRDefault="008A7412">
      <w:pPr>
        <w:pStyle w:val="jaf9"/>
      </w:pPr>
      <w:r>
        <w:t>ロ　保全情報管理責任者及びその他の情報取扱者の責務及び業務を明確にすること。</w:t>
      </w:r>
    </w:p>
    <w:p w:rsidR="00817DF0" w:rsidRDefault="008A7412">
      <w:pPr>
        <w:pStyle w:val="jaf9"/>
      </w:pPr>
      <w:r>
        <w:t>ハ　保全指定の期間、保全情報管理責任者及びその他の情報取扱者並びにこれらであった者の氏名、実施の許可の状況その他保全対象発明情報を適正に管理するのに必要な情報を記載した管理簿を整備すること。</w:t>
      </w:r>
    </w:p>
    <w:p w:rsidR="00817DF0" w:rsidRDefault="008A7412">
      <w:pPr>
        <w:pStyle w:val="jaf9"/>
      </w:pPr>
      <w:r>
        <w:t>ニ　保全対象発明情報を営業秘密（不正競争防止法（平成五年法律第四十七号）第二条第六項に規定する営業秘密をいう。）として取り扱うこと。</w:t>
      </w:r>
    </w:p>
    <w:p w:rsidR="00817DF0" w:rsidRDefault="008A7412">
      <w:pPr>
        <w:pStyle w:val="jaf9"/>
      </w:pPr>
      <w:r>
        <w:t>ホ　保全対象発明情報の管理に関する措置を適切に講ずるため、保全対象発明情報</w:t>
      </w:r>
      <w:r>
        <w:lastRenderedPageBreak/>
        <w:t>の適正管理に関する規程の策定及び実施並びにその運用の評価及び改善を行うこと。</w:t>
      </w:r>
    </w:p>
    <w:p w:rsidR="00817DF0" w:rsidRDefault="008A7412">
      <w:pPr>
        <w:pStyle w:val="jaf9"/>
      </w:pPr>
      <w:r>
        <w:t>ヘ　発明共有事業者がホの規程を策定し、又はこれを変更する場合にあっては、あらかじめ、指定特許出願人の確認を受けること。</w:t>
      </w:r>
    </w:p>
    <w:p w:rsidR="00817DF0" w:rsidRDefault="008A7412">
      <w:pPr>
        <w:pStyle w:val="jaf9"/>
      </w:pPr>
      <w:r>
        <w:t>ト　保全対象発明情報の漏えいが発生し、又は発生するおそれがある場合における事務処理体制を整備すること。</w:t>
      </w:r>
    </w:p>
    <w:p w:rsidR="00817DF0" w:rsidRDefault="008A7412">
      <w:pPr>
        <w:pStyle w:val="jaf9"/>
      </w:pPr>
      <w:r>
        <w:t>チ　保全対象発明情報の漏えいが発生し、又は発生するおそれがあると認めたときは、指定特許出願人にあっては内閣総理大臣に、発明共有事業者にあっては指定特許出願人に、直ちにその旨を報告すること。</w:t>
      </w:r>
    </w:p>
    <w:p w:rsidR="00817DF0" w:rsidRDefault="008A7412">
      <w:pPr>
        <w:pStyle w:val="jaf6"/>
      </w:pPr>
      <w:r>
        <w:t>二　人的な情報管理に関する措置として次に掲げるもの</w:t>
      </w:r>
    </w:p>
    <w:p w:rsidR="00817DF0" w:rsidRDefault="008A7412">
      <w:pPr>
        <w:pStyle w:val="jaf9"/>
      </w:pPr>
      <w:r>
        <w:t>イ　情報取扱者の範囲を必要最小限にとどめること。</w:t>
      </w:r>
    </w:p>
    <w:p w:rsidR="00817DF0" w:rsidRDefault="008A7412">
      <w:pPr>
        <w:pStyle w:val="jaf9"/>
      </w:pPr>
      <w:r>
        <w:t>ロ　情報取扱者を追加するときは、あらかじめ、その者について、保全情報管理責任者に保全対象発明情報を漏えいさせるおそれがあるか否かについての確認を行わせ、そのおそれがあると認められる場合は、保全対象発明情報を取り扱わせないこと。</w:t>
      </w:r>
    </w:p>
    <w:p w:rsidR="00817DF0" w:rsidRDefault="008A7412">
      <w:pPr>
        <w:pStyle w:val="jaf9"/>
      </w:pPr>
      <w:r>
        <w:t>ハ　情報取扱者に対して、前号ホの規程を遵守させるための措置を講ずること。</w:t>
      </w:r>
    </w:p>
    <w:p w:rsidR="00817DF0" w:rsidRDefault="008A7412">
      <w:pPr>
        <w:pStyle w:val="jaf9"/>
      </w:pPr>
      <w:r>
        <w:t>ニ　保全情報管理責任者に他の情報取扱者に対する必要な教育及び訓練を行わせること。</w:t>
      </w:r>
    </w:p>
    <w:p w:rsidR="00817DF0" w:rsidRDefault="008A7412">
      <w:pPr>
        <w:pStyle w:val="jaf6"/>
      </w:pPr>
      <w:r>
        <w:t>三　物理的な情報管理に関する措置として次に掲げるもの</w:t>
      </w:r>
    </w:p>
    <w:p w:rsidR="00817DF0" w:rsidRDefault="008A7412">
      <w:pPr>
        <w:pStyle w:val="jaf9"/>
      </w:pPr>
      <w:r>
        <w:t>イ　保全対象発明情報を取り扱い、又は保全対象発明情報が記録された文書、図画、電磁的記録（電子的方式、磁気的方式その他人の知覚によっては認識することができない方式で作られる記録をいう。）若しくは物件若しくは当該保全対象発明情報を化体する物件（以下この号において「保全対象発明情報文書等」という。）を保管する区域を特定し、その特定された区域（以下この号において「特定区域」という。）への立入りの管理及び制限をするための措置を講ずること。</w:t>
      </w:r>
    </w:p>
    <w:p w:rsidR="00817DF0" w:rsidRDefault="008A7412">
      <w:pPr>
        <w:pStyle w:val="jaf9"/>
      </w:pPr>
      <w:r>
        <w:t>ロ　保全対象発明情報文書等の保管は、特定区域において、適切な保管設備を用いて保全対象発明情報の漏えいを防止するための措置を講じた上で行うこと。</w:t>
      </w:r>
    </w:p>
    <w:p w:rsidR="00817DF0" w:rsidRDefault="008A7412">
      <w:pPr>
        <w:pStyle w:val="jaf9"/>
      </w:pPr>
      <w:r>
        <w:t>ハ　新たに保全対象発明情報文書等を複製又は製作するときは、あらかじめ、その理由及び方法を示して、保全情報管理責任者の承認を得ることとし、その数は必要最小限にとどめること。</w:t>
      </w:r>
    </w:p>
    <w:p w:rsidR="00817DF0" w:rsidRDefault="008A7412">
      <w:pPr>
        <w:pStyle w:val="jaf9"/>
      </w:pPr>
      <w:r>
        <w:t>ニ　保全対象発明情報文書等を特定区域から持ち出すときは、あらかじめ、その理由及び方法を示して、保全情報管理責任者の承認を得ることとすること。</w:t>
      </w:r>
    </w:p>
    <w:p w:rsidR="00817DF0" w:rsidRDefault="008A7412">
      <w:pPr>
        <w:pStyle w:val="jaf9"/>
      </w:pPr>
      <w:r>
        <w:t>ホ　保全対象発明情報文書等を廃棄する場合には、復元不可能な手段で行うこと。</w:t>
      </w:r>
    </w:p>
    <w:p w:rsidR="00817DF0" w:rsidRDefault="008A7412">
      <w:pPr>
        <w:pStyle w:val="jaf9"/>
      </w:pPr>
      <w:r>
        <w:t>ヘ　イからホまでに掲げるもののほか、保全対象発明情報文書等の盗難及び紛失を防止するための措置を講ずること。</w:t>
      </w:r>
    </w:p>
    <w:p w:rsidR="00817DF0" w:rsidRDefault="008A7412">
      <w:pPr>
        <w:pStyle w:val="jaf6"/>
      </w:pPr>
      <w:r>
        <w:t>四　技術的な情報管理に関する措置として次に掲げるもの</w:t>
      </w:r>
    </w:p>
    <w:p w:rsidR="00817DF0" w:rsidRDefault="008A7412">
      <w:pPr>
        <w:pStyle w:val="jaf9"/>
      </w:pPr>
      <w:r>
        <w:t>イ　電子計算機において保全対象発明情報を取り扱うことができる者を限定するための措置を講ずること。</w:t>
      </w:r>
    </w:p>
    <w:p w:rsidR="00817DF0" w:rsidRDefault="008A7412">
      <w:pPr>
        <w:pStyle w:val="jaf9"/>
      </w:pPr>
      <w:r>
        <w:t>ロ　保全対象発明情報を取り扱う電子計算機が電気通信回線に接続している場合、不正アクセス行為（不正アクセス行為の禁止等に関する法律（平成十一年法律第百二十八号）第二条第四項に規定する不正アクセス行為をいう。）を防止するた</w:t>
      </w:r>
      <w:r>
        <w:lastRenderedPageBreak/>
        <w:t>めの措置を講ずること。</w:t>
      </w:r>
    </w:p>
    <w:p w:rsidR="00817DF0" w:rsidRDefault="008A7412">
      <w:pPr>
        <w:pStyle w:val="jaf9"/>
      </w:pPr>
      <w:r>
        <w:t>ハ　イ及びロに掲げるもののほか、電子計算機における保全対象発明情報の漏えいを防止するための措置を講ずること。</w:t>
      </w:r>
    </w:p>
    <w:p w:rsidR="00817DF0" w:rsidRDefault="00817DF0"/>
    <w:p w:rsidR="00817DF0" w:rsidRDefault="008A7412">
      <w:pPr>
        <w:pStyle w:val="jaa"/>
      </w:pPr>
      <w:r>
        <w:t>（発明共有事業者の変更の手続）</w:t>
      </w:r>
    </w:p>
    <w:p w:rsidR="00817DF0" w:rsidRDefault="008A7412">
      <w:pPr>
        <w:pStyle w:val="jaf3"/>
      </w:pPr>
      <w:r>
        <w:t>第十一条　法第七十六条第一項の規定による承認の申請は、次に掲げる事項を記載した様式第二による申請書によりしなければならない。</w:t>
      </w:r>
    </w:p>
    <w:p w:rsidR="00817DF0" w:rsidRDefault="008A7412">
      <w:pPr>
        <w:pStyle w:val="jaf6"/>
      </w:pPr>
      <w:r>
        <w:t>一　新たに保全対象発明に係る情報の取扱いを認める事業者の氏名（法人にあっては、その名称及び代表者の氏名）及び住所又は居所</w:t>
      </w:r>
    </w:p>
    <w:p w:rsidR="00817DF0" w:rsidRDefault="008A7412">
      <w:pPr>
        <w:pStyle w:val="jaf6"/>
      </w:pPr>
      <w:r>
        <w:t>二　新たに保全対象発明に係る情報の取扱いを認めることが必要な理由</w:t>
      </w:r>
    </w:p>
    <w:p w:rsidR="00817DF0" w:rsidRDefault="008A7412">
      <w:pPr>
        <w:pStyle w:val="jaf6"/>
      </w:pPr>
      <w:r>
        <w:t>三　新たに保全対象発明に係る情報の取扱いを認める事業者における情報の管理の予定</w:t>
      </w:r>
    </w:p>
    <w:p w:rsidR="00817DF0" w:rsidRDefault="008A7412">
      <w:pPr>
        <w:pStyle w:val="jaf4"/>
      </w:pPr>
      <w:r>
        <w:t>２　法第七十六条第二項の規定による変更の届出は、様式第三による届出書によりしなければならない。</w:t>
      </w:r>
    </w:p>
    <w:p w:rsidR="00817DF0" w:rsidRDefault="00817DF0"/>
    <w:p w:rsidR="00817DF0" w:rsidRDefault="008A7412">
      <w:pPr>
        <w:pStyle w:val="jaa"/>
      </w:pPr>
      <w:r>
        <w:t>（補償請求書）</w:t>
      </w:r>
    </w:p>
    <w:p w:rsidR="00817DF0" w:rsidRDefault="008A7412">
      <w:pPr>
        <w:pStyle w:val="jaf3"/>
      </w:pPr>
      <w:r>
        <w:t>第十二条　法第八十条第二項の規定により補償を請求しようとする者は、次の各号に掲げる事項を記載した様式第四による請求書に、当該事項を疎明するに足りる資料を添えて、これを内閣総理大臣に提出しなければならない。</w:t>
      </w:r>
    </w:p>
    <w:p w:rsidR="00817DF0" w:rsidRDefault="008A7412">
      <w:pPr>
        <w:pStyle w:val="jaf6"/>
      </w:pPr>
      <w:r>
        <w:t>一　補償請求額の総額及びその内訳</w:t>
      </w:r>
    </w:p>
    <w:p w:rsidR="00817DF0" w:rsidRDefault="008A7412">
      <w:pPr>
        <w:pStyle w:val="jaf6"/>
      </w:pPr>
      <w:r>
        <w:t>二　補償請求の理由</w:t>
      </w:r>
    </w:p>
    <w:p w:rsidR="00817DF0" w:rsidRDefault="00817DF0"/>
    <w:p w:rsidR="00817DF0" w:rsidRDefault="008A7412">
      <w:pPr>
        <w:pStyle w:val="jaa"/>
      </w:pPr>
      <w:r>
        <w:t>（立入検査の証明書）</w:t>
      </w:r>
    </w:p>
    <w:p w:rsidR="00817DF0" w:rsidRDefault="008A7412">
      <w:pPr>
        <w:pStyle w:val="jaf3"/>
      </w:pPr>
      <w:r>
        <w:t>第十三条　法第八十四条第一項の規定により立入検査をする職員の身分を示す証明書は、様式第五によるものとする。</w:t>
      </w:r>
    </w:p>
    <w:p w:rsidR="00817DF0" w:rsidRDefault="00817DF0"/>
    <w:p w:rsidR="00817DF0" w:rsidRDefault="008A7412">
      <w:pPr>
        <w:pStyle w:val="ja2"/>
      </w:pPr>
      <w:r>
        <w:t>附　則</w:t>
      </w:r>
    </w:p>
    <w:p w:rsidR="00817DF0" w:rsidRDefault="00817DF0"/>
    <w:p w:rsidR="00817DF0" w:rsidRDefault="008A7412">
      <w:pPr>
        <w:pStyle w:val="jaf5"/>
      </w:pPr>
      <w:r>
        <w:t>この府令は、法附則第一条第五号に掲げる規定の施行の日から施行する。</w:t>
      </w:r>
    </w:p>
    <w:sectPr w:rsidR="00817DF0" w:rsidSect="00817D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7DF0" w:rsidRDefault="00817DF0" w:rsidP="00817DF0">
      <w:r>
        <w:separator/>
      </w:r>
    </w:p>
  </w:endnote>
  <w:endnote w:type="continuationSeparator" w:id="0">
    <w:p w:rsidR="00817DF0" w:rsidRDefault="00817DF0" w:rsidP="0081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7DF0" w:rsidRDefault="00817DF0">
    <w:pPr>
      <w:pStyle w:val="a3"/>
    </w:pPr>
    <w:r>
      <w:fldChar w:fldCharType="begin"/>
    </w:r>
    <w:r>
      <w:instrText xml:space="preserve"> PAGE  \* MERGEFORMAT </w:instrText>
    </w:r>
    <w:r>
      <w:fldChar w:fldCharType="separate"/>
    </w:r>
    <w:r w:rsidR="008A74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7DF0" w:rsidRDefault="00817DF0" w:rsidP="00817DF0">
      <w:r>
        <w:separator/>
      </w:r>
    </w:p>
  </w:footnote>
  <w:footnote w:type="continuationSeparator" w:id="0">
    <w:p w:rsidR="00817DF0" w:rsidRDefault="00817DF0" w:rsidP="0081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171"/>
    <w:multiLevelType w:val="multilevel"/>
    <w:tmpl w:val="0C6604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20596"/>
    <w:multiLevelType w:val="multilevel"/>
    <w:tmpl w:val="5FC221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E67733"/>
    <w:multiLevelType w:val="multilevel"/>
    <w:tmpl w:val="5A56E9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C02841"/>
    <w:multiLevelType w:val="multilevel"/>
    <w:tmpl w:val="E668DF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DB1434"/>
    <w:multiLevelType w:val="multilevel"/>
    <w:tmpl w:val="66844B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42541F"/>
    <w:multiLevelType w:val="multilevel"/>
    <w:tmpl w:val="E690D9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E94C26"/>
    <w:multiLevelType w:val="multilevel"/>
    <w:tmpl w:val="0DB2CC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E04706"/>
    <w:multiLevelType w:val="multilevel"/>
    <w:tmpl w:val="DEECBB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3D7D7F"/>
    <w:multiLevelType w:val="multilevel"/>
    <w:tmpl w:val="8AEE2C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CA5FA4"/>
    <w:multiLevelType w:val="multilevel"/>
    <w:tmpl w:val="B4F21A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A76A5D"/>
    <w:multiLevelType w:val="multilevel"/>
    <w:tmpl w:val="962A61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3D3558"/>
    <w:multiLevelType w:val="multilevel"/>
    <w:tmpl w:val="6C02EB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611CF"/>
    <w:multiLevelType w:val="multilevel"/>
    <w:tmpl w:val="CDC6A6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36377666">
    <w:abstractNumId w:val="1"/>
  </w:num>
  <w:num w:numId="2" w16cid:durableId="397821532">
    <w:abstractNumId w:val="9"/>
  </w:num>
  <w:num w:numId="3" w16cid:durableId="330185351">
    <w:abstractNumId w:val="11"/>
  </w:num>
  <w:num w:numId="4" w16cid:durableId="1222836707">
    <w:abstractNumId w:val="3"/>
  </w:num>
  <w:num w:numId="5" w16cid:durableId="245652409">
    <w:abstractNumId w:val="7"/>
  </w:num>
  <w:num w:numId="6" w16cid:durableId="46881181">
    <w:abstractNumId w:val="6"/>
  </w:num>
  <w:num w:numId="7" w16cid:durableId="1240751484">
    <w:abstractNumId w:val="8"/>
  </w:num>
  <w:num w:numId="8" w16cid:durableId="830365892">
    <w:abstractNumId w:val="12"/>
  </w:num>
  <w:num w:numId="9" w16cid:durableId="662775758">
    <w:abstractNumId w:val="10"/>
  </w:num>
  <w:num w:numId="10" w16cid:durableId="783884610">
    <w:abstractNumId w:val="4"/>
  </w:num>
  <w:num w:numId="11" w16cid:durableId="924608572">
    <w:abstractNumId w:val="0"/>
  </w:num>
  <w:num w:numId="12" w16cid:durableId="144275330">
    <w:abstractNumId w:val="2"/>
  </w:num>
  <w:num w:numId="13" w16cid:durableId="1058747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DF0"/>
    <w:rsid w:val="00817DF0"/>
    <w:rsid w:val="008A7412"/>
    <w:rsid w:val="00F333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D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7D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7DF0"/>
    <w:rPr>
      <w:rFonts w:ascii="Century" w:eastAsia="Century" w:hAnsi="Century"/>
    </w:rPr>
  </w:style>
  <w:style w:type="paragraph" w:customStyle="1" w:styleId="ja0">
    <w:name w:val="款（ja）"/>
    <w:basedOn w:val="a"/>
    <w:rsid w:val="00817DF0"/>
    <w:pPr>
      <w:widowControl w:val="0"/>
      <w:ind w:left="1321" w:hanging="221"/>
    </w:pPr>
    <w:rPr>
      <w:rFonts w:ascii="ＭＳ 明朝" w:eastAsia="ＭＳ 明朝" w:hAnsi="ＭＳ 明朝" w:cs="ＭＳ 明朝"/>
      <w:b/>
    </w:rPr>
  </w:style>
  <w:style w:type="paragraph" w:customStyle="1" w:styleId="en0">
    <w:name w:val="款（en）"/>
    <w:basedOn w:val="ja0"/>
    <w:rsid w:val="00817DF0"/>
    <w:rPr>
      <w:rFonts w:ascii="Century" w:eastAsia="Century" w:hAnsi="Century" w:cs="Century"/>
    </w:rPr>
  </w:style>
  <w:style w:type="paragraph" w:customStyle="1" w:styleId="ja1">
    <w:name w:val="前文（ja）"/>
    <w:basedOn w:val="a"/>
    <w:rsid w:val="00817DF0"/>
    <w:pPr>
      <w:widowControl w:val="0"/>
      <w:ind w:firstLine="219"/>
    </w:pPr>
    <w:rPr>
      <w:rFonts w:ascii="ＭＳ 明朝" w:eastAsia="ＭＳ 明朝" w:hAnsi="ＭＳ 明朝" w:cs="ＭＳ 明朝"/>
    </w:rPr>
  </w:style>
  <w:style w:type="paragraph" w:customStyle="1" w:styleId="en1">
    <w:name w:val="前文（en）"/>
    <w:basedOn w:val="ja1"/>
    <w:rsid w:val="00817DF0"/>
    <w:rPr>
      <w:rFonts w:ascii="Century" w:eastAsia="Century" w:hAnsi="Century" w:cs="Century"/>
    </w:rPr>
  </w:style>
  <w:style w:type="paragraph" w:customStyle="1" w:styleId="ja2">
    <w:name w:val="附則（ja）"/>
    <w:basedOn w:val="a"/>
    <w:rsid w:val="00817DF0"/>
    <w:pPr>
      <w:widowControl w:val="0"/>
      <w:ind w:left="881" w:hanging="221"/>
    </w:pPr>
    <w:rPr>
      <w:rFonts w:ascii="ＭＳ 明朝" w:eastAsia="ＭＳ 明朝" w:hAnsi="ＭＳ 明朝" w:cs="ＭＳ 明朝"/>
      <w:b/>
    </w:rPr>
  </w:style>
  <w:style w:type="paragraph" w:customStyle="1" w:styleId="en2">
    <w:name w:val="附則（en）"/>
    <w:basedOn w:val="ja2"/>
    <w:rsid w:val="00817DF0"/>
    <w:rPr>
      <w:rFonts w:ascii="Century" w:hAnsi="Century" w:cs="Century"/>
    </w:rPr>
  </w:style>
  <w:style w:type="paragraph" w:customStyle="1" w:styleId="ja3">
    <w:name w:val="章（ja）"/>
    <w:basedOn w:val="a"/>
    <w:rsid w:val="00817DF0"/>
    <w:pPr>
      <w:widowControl w:val="0"/>
      <w:ind w:left="881" w:hanging="221"/>
    </w:pPr>
    <w:rPr>
      <w:rFonts w:ascii="ＭＳ 明朝" w:eastAsia="ＭＳ 明朝" w:hAnsi="ＭＳ 明朝" w:cs="ＭＳ 明朝"/>
      <w:b/>
    </w:rPr>
  </w:style>
  <w:style w:type="paragraph" w:customStyle="1" w:styleId="en3">
    <w:name w:val="章（en）"/>
    <w:basedOn w:val="ja3"/>
    <w:rsid w:val="00817DF0"/>
    <w:rPr>
      <w:rFonts w:ascii="Century" w:eastAsia="Century" w:hAnsi="Century" w:cs="Century"/>
    </w:rPr>
  </w:style>
  <w:style w:type="paragraph" w:customStyle="1" w:styleId="ja4">
    <w:name w:val="目次編（ja）"/>
    <w:basedOn w:val="a"/>
    <w:rsid w:val="00817DF0"/>
    <w:pPr>
      <w:widowControl w:val="0"/>
      <w:ind w:left="219" w:hanging="219"/>
    </w:pPr>
    <w:rPr>
      <w:rFonts w:ascii="ＭＳ 明朝" w:eastAsia="ＭＳ 明朝" w:hAnsi="ＭＳ 明朝"/>
    </w:rPr>
  </w:style>
  <w:style w:type="paragraph" w:customStyle="1" w:styleId="en4">
    <w:name w:val="目次編（en）"/>
    <w:basedOn w:val="ja4"/>
    <w:rsid w:val="00817DF0"/>
    <w:rPr>
      <w:rFonts w:ascii="Century" w:eastAsia="Century" w:hAnsi="Century"/>
    </w:rPr>
  </w:style>
  <w:style w:type="paragraph" w:customStyle="1" w:styleId="ja5">
    <w:name w:val="目次章（ja）"/>
    <w:basedOn w:val="a"/>
    <w:rsid w:val="00817DF0"/>
    <w:pPr>
      <w:widowControl w:val="0"/>
      <w:ind w:left="439" w:hanging="219"/>
    </w:pPr>
    <w:rPr>
      <w:rFonts w:ascii="ＭＳ 明朝" w:eastAsia="ＭＳ 明朝" w:hAnsi="ＭＳ 明朝"/>
    </w:rPr>
  </w:style>
  <w:style w:type="paragraph" w:customStyle="1" w:styleId="en5">
    <w:name w:val="目次章（en）"/>
    <w:basedOn w:val="ja5"/>
    <w:rsid w:val="00817DF0"/>
    <w:rPr>
      <w:rFonts w:ascii="Century" w:eastAsia="Century" w:hAnsi="Century"/>
    </w:rPr>
  </w:style>
  <w:style w:type="paragraph" w:customStyle="1" w:styleId="ja6">
    <w:name w:val="目次節（ja）"/>
    <w:basedOn w:val="a"/>
    <w:rsid w:val="00817DF0"/>
    <w:pPr>
      <w:widowControl w:val="0"/>
      <w:ind w:left="659" w:hanging="219"/>
    </w:pPr>
    <w:rPr>
      <w:rFonts w:ascii="ＭＳ 明朝" w:eastAsia="ＭＳ 明朝" w:hAnsi="ＭＳ 明朝"/>
    </w:rPr>
  </w:style>
  <w:style w:type="paragraph" w:customStyle="1" w:styleId="en6">
    <w:name w:val="目次節（en）"/>
    <w:basedOn w:val="ja6"/>
    <w:rsid w:val="00817DF0"/>
    <w:rPr>
      <w:rFonts w:ascii="Century" w:eastAsia="Century" w:hAnsi="Century"/>
    </w:rPr>
  </w:style>
  <w:style w:type="paragraph" w:customStyle="1" w:styleId="ja7">
    <w:name w:val="目次款（ja）"/>
    <w:basedOn w:val="a"/>
    <w:rsid w:val="00817DF0"/>
    <w:pPr>
      <w:widowControl w:val="0"/>
      <w:ind w:left="879" w:hanging="219"/>
    </w:pPr>
    <w:rPr>
      <w:rFonts w:ascii="ＭＳ 明朝" w:eastAsia="ＭＳ 明朝" w:hAnsi="ＭＳ 明朝" w:cs="Kochi Mincho"/>
    </w:rPr>
  </w:style>
  <w:style w:type="paragraph" w:customStyle="1" w:styleId="en7">
    <w:name w:val="目次款（en）"/>
    <w:basedOn w:val="ja7"/>
    <w:rsid w:val="00817DF0"/>
    <w:rPr>
      <w:rFonts w:ascii="Century" w:eastAsia="Century" w:hAnsi="Century"/>
    </w:rPr>
  </w:style>
  <w:style w:type="paragraph" w:customStyle="1" w:styleId="ja8">
    <w:name w:val="別表名（ja）"/>
    <w:basedOn w:val="a"/>
    <w:rsid w:val="00817D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7DF0"/>
    <w:rPr>
      <w:rFonts w:ascii="Century" w:eastAsia="Century" w:hAnsi="Century" w:cs="Century"/>
    </w:rPr>
  </w:style>
  <w:style w:type="paragraph" w:customStyle="1" w:styleId="ja9">
    <w:name w:val="目（ja）"/>
    <w:basedOn w:val="a"/>
    <w:rsid w:val="00817DF0"/>
    <w:pPr>
      <w:widowControl w:val="0"/>
      <w:ind w:left="1541" w:hanging="221"/>
    </w:pPr>
    <w:rPr>
      <w:rFonts w:ascii="ＭＳ 明朝" w:eastAsia="ＭＳ 明朝" w:hAnsi="ＭＳ 明朝" w:cs="ＭＳ 明朝"/>
      <w:b/>
    </w:rPr>
  </w:style>
  <w:style w:type="paragraph" w:customStyle="1" w:styleId="en9">
    <w:name w:val="目（en）"/>
    <w:basedOn w:val="ja9"/>
    <w:rsid w:val="00817DF0"/>
    <w:rPr>
      <w:rFonts w:ascii="Century" w:eastAsia="Century" w:hAnsi="Century" w:cs="Century"/>
    </w:rPr>
  </w:style>
  <w:style w:type="paragraph" w:customStyle="1" w:styleId="jaa">
    <w:name w:val="見出し（ja）"/>
    <w:basedOn w:val="a"/>
    <w:rsid w:val="00817DF0"/>
    <w:pPr>
      <w:widowControl w:val="0"/>
      <w:ind w:left="439" w:hanging="219"/>
    </w:pPr>
    <w:rPr>
      <w:rFonts w:ascii="ＭＳ 明朝" w:eastAsia="ＭＳ 明朝" w:hAnsi="ＭＳ 明朝" w:cs="ＭＳ 明朝"/>
    </w:rPr>
  </w:style>
  <w:style w:type="paragraph" w:customStyle="1" w:styleId="ena">
    <w:name w:val="見出し（en）"/>
    <w:basedOn w:val="jaa"/>
    <w:rsid w:val="00817DF0"/>
    <w:rPr>
      <w:rFonts w:ascii="Century" w:eastAsia="Century" w:hAnsi="Century" w:cs="Century"/>
    </w:rPr>
  </w:style>
  <w:style w:type="paragraph" w:styleId="a3">
    <w:name w:val="footer"/>
    <w:basedOn w:val="a"/>
    <w:rsid w:val="00817D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7DF0"/>
    <w:pPr>
      <w:widowControl w:val="0"/>
      <w:ind w:left="1099" w:hanging="219"/>
    </w:pPr>
    <w:rPr>
      <w:rFonts w:ascii="ＭＳ 明朝" w:eastAsia="ＭＳ 明朝" w:hAnsi="ＭＳ 明朝" w:cs="Kochi Mincho"/>
    </w:rPr>
  </w:style>
  <w:style w:type="paragraph" w:customStyle="1" w:styleId="enb">
    <w:name w:val="目次目（en）"/>
    <w:basedOn w:val="jab"/>
    <w:rsid w:val="00817DF0"/>
    <w:rPr>
      <w:rFonts w:ascii="Century" w:eastAsia="Century" w:hAnsi="Century"/>
    </w:rPr>
  </w:style>
  <w:style w:type="paragraph" w:customStyle="1" w:styleId="jac">
    <w:name w:val="目次附則（ja）"/>
    <w:basedOn w:val="a"/>
    <w:rsid w:val="00817DF0"/>
    <w:pPr>
      <w:widowControl w:val="0"/>
      <w:ind w:left="439" w:hanging="219"/>
    </w:pPr>
    <w:rPr>
      <w:rFonts w:ascii="ＭＳ 明朝" w:eastAsia="ＭＳ 明朝" w:hAnsi="ＭＳ 明朝" w:cs="Kochi Mincho"/>
    </w:rPr>
  </w:style>
  <w:style w:type="paragraph" w:customStyle="1" w:styleId="enc">
    <w:name w:val="目次附則（en）"/>
    <w:basedOn w:val="jac"/>
    <w:rsid w:val="00817DF0"/>
    <w:rPr>
      <w:rFonts w:ascii="Century" w:eastAsia="Century" w:hAnsi="Century" w:cs="Century"/>
    </w:rPr>
  </w:style>
  <w:style w:type="paragraph" w:customStyle="1" w:styleId="jad">
    <w:name w:val="目次前文（ja）"/>
    <w:basedOn w:val="jac"/>
    <w:rsid w:val="00817DF0"/>
  </w:style>
  <w:style w:type="paragraph" w:customStyle="1" w:styleId="end">
    <w:name w:val="目次前文（en）"/>
    <w:basedOn w:val="enc"/>
    <w:rsid w:val="00817DF0"/>
  </w:style>
  <w:style w:type="paragraph" w:customStyle="1" w:styleId="jae">
    <w:name w:val="制定文（ja）"/>
    <w:basedOn w:val="a"/>
    <w:rsid w:val="00817DF0"/>
    <w:pPr>
      <w:widowControl w:val="0"/>
      <w:ind w:firstLine="219"/>
    </w:pPr>
    <w:rPr>
      <w:rFonts w:ascii="ＭＳ 明朝" w:eastAsia="ＭＳ 明朝" w:hAnsi="ＭＳ 明朝" w:cs="ＭＳ 明朝"/>
    </w:rPr>
  </w:style>
  <w:style w:type="paragraph" w:customStyle="1" w:styleId="ene">
    <w:name w:val="制定文（en）"/>
    <w:basedOn w:val="jae"/>
    <w:rsid w:val="00817DF0"/>
    <w:rPr>
      <w:rFonts w:ascii="Century" w:eastAsia="Century" w:hAnsi="Century" w:cs="Century"/>
    </w:rPr>
  </w:style>
  <w:style w:type="paragraph" w:customStyle="1" w:styleId="jaf">
    <w:name w:val="法令番号（ja）"/>
    <w:basedOn w:val="a"/>
    <w:rsid w:val="00817DF0"/>
    <w:pPr>
      <w:widowControl w:val="0"/>
      <w:jc w:val="right"/>
    </w:pPr>
    <w:rPr>
      <w:rFonts w:ascii="ＭＳ 明朝" w:eastAsia="ＭＳ 明朝" w:hAnsi="ＭＳ 明朝" w:cs="Kochi Mincho"/>
    </w:rPr>
  </w:style>
  <w:style w:type="paragraph" w:customStyle="1" w:styleId="enf">
    <w:name w:val="法令番号（en）"/>
    <w:basedOn w:val="jaf"/>
    <w:rsid w:val="00817DF0"/>
    <w:rPr>
      <w:rFonts w:ascii="Century" w:eastAsia="Century" w:hAnsi="Century" w:cs="Century"/>
    </w:rPr>
  </w:style>
  <w:style w:type="paragraph" w:customStyle="1" w:styleId="jaf0">
    <w:name w:val="目次（ja）"/>
    <w:basedOn w:val="a"/>
    <w:rsid w:val="00817DF0"/>
    <w:rPr>
      <w:rFonts w:ascii="ＭＳ 明朝" w:eastAsia="ＭＳ 明朝" w:hAnsi="ＭＳ 明朝"/>
    </w:rPr>
  </w:style>
  <w:style w:type="paragraph" w:customStyle="1" w:styleId="enf0">
    <w:name w:val="目次（en）"/>
    <w:basedOn w:val="jaf0"/>
    <w:rsid w:val="00817DF0"/>
    <w:rPr>
      <w:rFonts w:ascii="Century" w:eastAsia="Century" w:hAnsi="Century"/>
    </w:rPr>
  </w:style>
  <w:style w:type="paragraph" w:customStyle="1" w:styleId="jaf1">
    <w:name w:val="編（ja）"/>
    <w:basedOn w:val="a"/>
    <w:rsid w:val="00817DF0"/>
    <w:pPr>
      <w:widowControl w:val="0"/>
      <w:ind w:left="661" w:hanging="221"/>
    </w:pPr>
    <w:rPr>
      <w:rFonts w:ascii="ＭＳ 明朝" w:eastAsia="ＭＳ 明朝" w:hAnsi="ＭＳ 明朝" w:cs="ＭＳ 明朝"/>
      <w:b/>
    </w:rPr>
  </w:style>
  <w:style w:type="paragraph" w:customStyle="1" w:styleId="enf1">
    <w:name w:val="編（en）"/>
    <w:basedOn w:val="jaf1"/>
    <w:rsid w:val="00817DF0"/>
    <w:rPr>
      <w:rFonts w:ascii="Century" w:eastAsia="Century" w:hAnsi="Century" w:cs="Century"/>
    </w:rPr>
  </w:style>
  <w:style w:type="paragraph" w:customStyle="1" w:styleId="jaf2">
    <w:name w:val="節（ja）"/>
    <w:basedOn w:val="a"/>
    <w:rsid w:val="00817DF0"/>
    <w:pPr>
      <w:widowControl w:val="0"/>
      <w:ind w:left="1101" w:hanging="221"/>
    </w:pPr>
    <w:rPr>
      <w:rFonts w:ascii="ＭＳ 明朝" w:eastAsia="ＭＳ 明朝" w:hAnsi="ＭＳ 明朝" w:cs="ＭＳ 明朝"/>
      <w:b/>
    </w:rPr>
  </w:style>
  <w:style w:type="paragraph" w:customStyle="1" w:styleId="enf2">
    <w:name w:val="節（en）"/>
    <w:basedOn w:val="jaf2"/>
    <w:rsid w:val="00817DF0"/>
    <w:rPr>
      <w:rFonts w:ascii="Century" w:eastAsia="Century" w:hAnsi="Century" w:cs="Century"/>
    </w:rPr>
  </w:style>
  <w:style w:type="paragraph" w:customStyle="1" w:styleId="jaf3">
    <w:name w:val="条（ja）"/>
    <w:basedOn w:val="a"/>
    <w:rsid w:val="00817DF0"/>
    <w:pPr>
      <w:widowControl w:val="0"/>
      <w:ind w:left="219" w:hanging="219"/>
    </w:pPr>
    <w:rPr>
      <w:rFonts w:ascii="ＭＳ 明朝" w:eastAsia="ＭＳ 明朝" w:hAnsi="ＭＳ 明朝" w:cs="ＭＳ 明朝"/>
    </w:rPr>
  </w:style>
  <w:style w:type="paragraph" w:customStyle="1" w:styleId="enf3">
    <w:name w:val="条（en）"/>
    <w:basedOn w:val="jaf3"/>
    <w:rsid w:val="00817DF0"/>
    <w:rPr>
      <w:rFonts w:ascii="Century" w:eastAsia="Century" w:hAnsi="Century" w:cs="Century"/>
    </w:rPr>
  </w:style>
  <w:style w:type="paragraph" w:customStyle="1" w:styleId="jaf4">
    <w:name w:val="項（ja）"/>
    <w:basedOn w:val="a"/>
    <w:rsid w:val="00817DF0"/>
    <w:pPr>
      <w:widowControl w:val="0"/>
      <w:ind w:left="219" w:hanging="219"/>
    </w:pPr>
    <w:rPr>
      <w:rFonts w:ascii="ＭＳ 明朝" w:eastAsia="ＭＳ 明朝" w:hAnsi="ＭＳ 明朝" w:cs="ＭＳ 明朝"/>
    </w:rPr>
  </w:style>
  <w:style w:type="paragraph" w:customStyle="1" w:styleId="enf4">
    <w:name w:val="項（en）"/>
    <w:basedOn w:val="jaf4"/>
    <w:rsid w:val="00817DF0"/>
    <w:rPr>
      <w:rFonts w:ascii="Century" w:eastAsia="Century" w:hAnsi="Century" w:cs="Century"/>
    </w:rPr>
  </w:style>
  <w:style w:type="paragraph" w:customStyle="1" w:styleId="jaf5">
    <w:name w:val="項　番号なし（ja）"/>
    <w:basedOn w:val="a"/>
    <w:rsid w:val="00817DF0"/>
    <w:pPr>
      <w:widowControl w:val="0"/>
      <w:ind w:firstLine="221"/>
    </w:pPr>
    <w:rPr>
      <w:rFonts w:ascii="ＭＳ 明朝" w:eastAsia="ＭＳ 明朝" w:hAnsi="ＭＳ 明朝" w:cs="ＭＳ 明朝"/>
    </w:rPr>
  </w:style>
  <w:style w:type="paragraph" w:customStyle="1" w:styleId="enf5">
    <w:name w:val="項　番号なし（en）"/>
    <w:basedOn w:val="jaf5"/>
    <w:rsid w:val="00817DF0"/>
    <w:rPr>
      <w:rFonts w:ascii="Century" w:eastAsia="Century" w:hAnsi="Century" w:cs="Century"/>
    </w:rPr>
  </w:style>
  <w:style w:type="paragraph" w:customStyle="1" w:styleId="jaf6">
    <w:name w:val="号（ja）"/>
    <w:basedOn w:val="a"/>
    <w:rsid w:val="00817DF0"/>
    <w:pPr>
      <w:widowControl w:val="0"/>
      <w:ind w:left="439" w:hanging="219"/>
    </w:pPr>
    <w:rPr>
      <w:rFonts w:ascii="ＭＳ 明朝" w:eastAsia="ＭＳ 明朝" w:hAnsi="ＭＳ 明朝" w:cs="ＭＳ 明朝"/>
    </w:rPr>
  </w:style>
  <w:style w:type="paragraph" w:customStyle="1" w:styleId="enf6">
    <w:name w:val="号（en）"/>
    <w:basedOn w:val="jaf6"/>
    <w:rsid w:val="00817DF0"/>
    <w:rPr>
      <w:rFonts w:ascii="Century" w:eastAsia="Century" w:hAnsi="Century" w:cs="Century"/>
    </w:rPr>
  </w:style>
  <w:style w:type="paragraph" w:customStyle="1" w:styleId="jaf7">
    <w:name w:val="号　番号なし（ja）"/>
    <w:basedOn w:val="a"/>
    <w:rsid w:val="00817DF0"/>
    <w:pPr>
      <w:widowControl w:val="0"/>
      <w:ind w:left="221" w:firstLine="221"/>
    </w:pPr>
    <w:rPr>
      <w:rFonts w:ascii="ＭＳ 明朝" w:eastAsia="ＭＳ 明朝" w:hAnsi="ＭＳ 明朝" w:cs="ＭＳ 明朝"/>
    </w:rPr>
  </w:style>
  <w:style w:type="paragraph" w:customStyle="1" w:styleId="enf7">
    <w:name w:val="号　番号なし（en）"/>
    <w:basedOn w:val="jaf7"/>
    <w:rsid w:val="00817DF0"/>
    <w:rPr>
      <w:rFonts w:ascii="Century" w:eastAsia="Century" w:hAnsi="Century" w:cs="Century"/>
    </w:rPr>
  </w:style>
  <w:style w:type="paragraph" w:customStyle="1" w:styleId="jaf8">
    <w:name w:val="備考号（ja）"/>
    <w:basedOn w:val="a"/>
    <w:rsid w:val="00817DF0"/>
    <w:pPr>
      <w:widowControl w:val="0"/>
      <w:ind w:left="659" w:hanging="219"/>
    </w:pPr>
    <w:rPr>
      <w:rFonts w:ascii="ＭＳ 明朝" w:eastAsia="ＭＳ 明朝" w:hAnsi="ＭＳ 明朝" w:cs="ＭＳ 明朝"/>
    </w:rPr>
  </w:style>
  <w:style w:type="paragraph" w:customStyle="1" w:styleId="enf8">
    <w:name w:val="備考号（en）"/>
    <w:basedOn w:val="jaf8"/>
    <w:rsid w:val="00817DF0"/>
    <w:rPr>
      <w:rFonts w:ascii="Century" w:eastAsia="Century" w:hAnsi="Century" w:cs="Century"/>
    </w:rPr>
  </w:style>
  <w:style w:type="paragraph" w:customStyle="1" w:styleId="jaf9">
    <w:name w:val="号細分（ja）"/>
    <w:basedOn w:val="a"/>
    <w:rsid w:val="00817DF0"/>
    <w:pPr>
      <w:widowControl w:val="0"/>
      <w:ind w:left="659" w:hanging="219"/>
    </w:pPr>
    <w:rPr>
      <w:rFonts w:ascii="ＭＳ 明朝" w:eastAsia="ＭＳ 明朝" w:hAnsi="ＭＳ 明朝" w:cs="ＭＳ 明朝"/>
    </w:rPr>
  </w:style>
  <w:style w:type="paragraph" w:customStyle="1" w:styleId="enf9">
    <w:name w:val="号細分（en）"/>
    <w:basedOn w:val="jaf9"/>
    <w:rsid w:val="00817DF0"/>
    <w:rPr>
      <w:rFonts w:ascii="Century" w:eastAsia="Century" w:hAnsi="Century" w:cs="Century"/>
    </w:rPr>
  </w:style>
  <w:style w:type="paragraph" w:customStyle="1" w:styleId="jafa">
    <w:name w:val="号細分　番号なし（ja）"/>
    <w:basedOn w:val="a"/>
    <w:rsid w:val="00817DF0"/>
    <w:pPr>
      <w:widowControl w:val="0"/>
      <w:ind w:left="439"/>
    </w:pPr>
    <w:rPr>
      <w:rFonts w:ascii="ＭＳ 明朝" w:eastAsia="ＭＳ 明朝" w:hAnsi="ＭＳ 明朝" w:cs="ＭＳ 明朝"/>
    </w:rPr>
  </w:style>
  <w:style w:type="paragraph" w:customStyle="1" w:styleId="enfa">
    <w:name w:val="号細分　番号なし（en）"/>
    <w:basedOn w:val="jafa"/>
    <w:rsid w:val="00817DF0"/>
    <w:rPr>
      <w:rFonts w:ascii="Century" w:eastAsia="Century" w:hAnsi="Century" w:cs="Century"/>
    </w:rPr>
  </w:style>
  <w:style w:type="paragraph" w:customStyle="1" w:styleId="jafb">
    <w:name w:val="備考号細分（ja）"/>
    <w:basedOn w:val="a"/>
    <w:rsid w:val="00817DF0"/>
    <w:pPr>
      <w:widowControl w:val="0"/>
      <w:ind w:left="1099" w:hanging="439"/>
    </w:pPr>
    <w:rPr>
      <w:rFonts w:ascii="ＭＳ 明朝" w:eastAsia="ＭＳ 明朝" w:hAnsi="ＭＳ 明朝" w:cs="ＭＳ 明朝"/>
    </w:rPr>
  </w:style>
  <w:style w:type="paragraph" w:customStyle="1" w:styleId="enfb">
    <w:name w:val="備考号細分（en）"/>
    <w:basedOn w:val="jafb"/>
    <w:rsid w:val="00817DF0"/>
    <w:rPr>
      <w:rFonts w:ascii="Century" w:eastAsia="Century" w:hAnsi="Century" w:cs="Century"/>
    </w:rPr>
  </w:style>
  <w:style w:type="paragraph" w:customStyle="1" w:styleId="jafc">
    <w:name w:val="号細細分（ja）"/>
    <w:basedOn w:val="a"/>
    <w:rsid w:val="00817DF0"/>
    <w:pPr>
      <w:widowControl w:val="0"/>
      <w:ind w:left="1099" w:hanging="439"/>
    </w:pPr>
    <w:rPr>
      <w:rFonts w:ascii="ＭＳ 明朝" w:eastAsia="ＭＳ 明朝" w:hAnsi="ＭＳ 明朝" w:cs="ＭＳ 明朝"/>
    </w:rPr>
  </w:style>
  <w:style w:type="paragraph" w:customStyle="1" w:styleId="enfc">
    <w:name w:val="号細細分（en）"/>
    <w:basedOn w:val="jafc"/>
    <w:rsid w:val="00817DF0"/>
    <w:rPr>
      <w:rFonts w:ascii="Century" w:eastAsia="Century" w:hAnsi="Century" w:cs="Century"/>
    </w:rPr>
  </w:style>
  <w:style w:type="paragraph" w:customStyle="1" w:styleId="jafd">
    <w:name w:val="号細細分　番号なし（ja）"/>
    <w:basedOn w:val="a"/>
    <w:rsid w:val="00817DF0"/>
    <w:pPr>
      <w:widowControl w:val="0"/>
      <w:ind w:left="659"/>
    </w:pPr>
    <w:rPr>
      <w:rFonts w:ascii="ＭＳ 明朝" w:eastAsia="ＭＳ 明朝" w:hAnsi="ＭＳ 明朝" w:cs="ＭＳ 明朝"/>
    </w:rPr>
  </w:style>
  <w:style w:type="paragraph" w:customStyle="1" w:styleId="enfd">
    <w:name w:val="号細細分　番号なし（en）"/>
    <w:basedOn w:val="jafd"/>
    <w:rsid w:val="00817DF0"/>
    <w:rPr>
      <w:rFonts w:ascii="Century" w:eastAsia="Century" w:hAnsi="Century" w:cs="Century"/>
    </w:rPr>
  </w:style>
  <w:style w:type="paragraph" w:customStyle="1" w:styleId="jafe">
    <w:name w:val="備考号細細分（ja）"/>
    <w:basedOn w:val="a"/>
    <w:rsid w:val="00817DF0"/>
    <w:pPr>
      <w:widowControl w:val="0"/>
      <w:ind w:left="1319" w:hanging="439"/>
    </w:pPr>
    <w:rPr>
      <w:rFonts w:ascii="ＭＳ 明朝" w:eastAsia="ＭＳ 明朝" w:hAnsi="ＭＳ 明朝" w:cs="ＭＳ 明朝"/>
    </w:rPr>
  </w:style>
  <w:style w:type="paragraph" w:customStyle="1" w:styleId="enfe">
    <w:name w:val="備考号細細分（en）"/>
    <w:basedOn w:val="jafe"/>
    <w:rsid w:val="00817DF0"/>
    <w:rPr>
      <w:rFonts w:ascii="Century" w:eastAsia="Century" w:hAnsi="Century" w:cs="Century"/>
    </w:rPr>
  </w:style>
  <w:style w:type="paragraph" w:customStyle="1" w:styleId="jaff">
    <w:name w:val="号細細細分（ja）"/>
    <w:basedOn w:val="a"/>
    <w:rsid w:val="00817DF0"/>
    <w:pPr>
      <w:widowControl w:val="0"/>
      <w:ind w:left="1319" w:hanging="439"/>
    </w:pPr>
    <w:rPr>
      <w:rFonts w:ascii="ＭＳ 明朝" w:eastAsia="ＭＳ 明朝" w:hAnsi="ＭＳ 明朝" w:cs="ＭＳ 明朝"/>
    </w:rPr>
  </w:style>
  <w:style w:type="paragraph" w:customStyle="1" w:styleId="enff">
    <w:name w:val="号細細細分（en）"/>
    <w:basedOn w:val="jaff"/>
    <w:rsid w:val="00817DF0"/>
    <w:rPr>
      <w:rFonts w:ascii="Century" w:eastAsia="Century" w:hAnsi="Century" w:cs="Century"/>
    </w:rPr>
  </w:style>
  <w:style w:type="paragraph" w:customStyle="1" w:styleId="jaff0">
    <w:name w:val="号細細細分　番号なし（ja）"/>
    <w:basedOn w:val="a"/>
    <w:rsid w:val="00817DF0"/>
    <w:pPr>
      <w:widowControl w:val="0"/>
      <w:ind w:left="879"/>
    </w:pPr>
    <w:rPr>
      <w:rFonts w:ascii="ＭＳ 明朝" w:eastAsia="ＭＳ 明朝" w:hAnsi="ＭＳ 明朝" w:cs="ＭＳ 明朝"/>
    </w:rPr>
  </w:style>
  <w:style w:type="paragraph" w:customStyle="1" w:styleId="enff0">
    <w:name w:val="号細細細分　番号なし（en）"/>
    <w:basedOn w:val="jaff0"/>
    <w:rsid w:val="00817DF0"/>
    <w:rPr>
      <w:rFonts w:ascii="Century" w:eastAsia="Century" w:hAnsi="Century" w:cs="Century"/>
    </w:rPr>
  </w:style>
  <w:style w:type="paragraph" w:customStyle="1" w:styleId="jaff1">
    <w:name w:val="備考号細細細分（ja）"/>
    <w:basedOn w:val="a"/>
    <w:rsid w:val="00817D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7DF0"/>
    <w:rPr>
      <w:rFonts w:ascii="Century" w:eastAsia="Century" w:hAnsi="Century" w:cs="Century"/>
    </w:rPr>
  </w:style>
  <w:style w:type="paragraph" w:customStyle="1" w:styleId="jaff2">
    <w:name w:val="類（ja）"/>
    <w:basedOn w:val="a"/>
    <w:rsid w:val="00817DF0"/>
    <w:pPr>
      <w:widowControl w:val="0"/>
      <w:ind w:left="439" w:hanging="219"/>
    </w:pPr>
    <w:rPr>
      <w:rFonts w:ascii="ＭＳ 明朝" w:eastAsia="ＭＳ 明朝" w:hAnsi="ＭＳ 明朝" w:cs="ＭＳ 明朝"/>
    </w:rPr>
  </w:style>
  <w:style w:type="paragraph" w:customStyle="1" w:styleId="enff2">
    <w:name w:val="類（en）"/>
    <w:basedOn w:val="jaff2"/>
    <w:rsid w:val="00817DF0"/>
    <w:rPr>
      <w:rFonts w:ascii="Century" w:eastAsia="Century" w:hAnsi="Century" w:cs="Century"/>
    </w:rPr>
  </w:style>
  <w:style w:type="paragraph" w:customStyle="1" w:styleId="jaff3">
    <w:name w:val="公布文（ja）"/>
    <w:basedOn w:val="a"/>
    <w:rsid w:val="00817DF0"/>
    <w:pPr>
      <w:widowControl w:val="0"/>
      <w:ind w:firstLine="219"/>
    </w:pPr>
    <w:rPr>
      <w:rFonts w:ascii="ＭＳ 明朝" w:eastAsia="ＭＳ 明朝" w:hAnsi="ＭＳ 明朝" w:cs="ＭＳ 明朝"/>
    </w:rPr>
  </w:style>
  <w:style w:type="paragraph" w:customStyle="1" w:styleId="enff3">
    <w:name w:val="公布文（en）"/>
    <w:basedOn w:val="jaff3"/>
    <w:rsid w:val="00817DF0"/>
    <w:rPr>
      <w:rFonts w:ascii="Century" w:eastAsia="Century" w:hAnsi="Century" w:cs="Century"/>
    </w:rPr>
  </w:style>
  <w:style w:type="paragraph" w:customStyle="1" w:styleId="jaen">
    <w:name w:val="表（ja：en）"/>
    <w:basedOn w:val="a"/>
    <w:rsid w:val="00817DF0"/>
    <w:pPr>
      <w:widowControl w:val="0"/>
      <w:snapToGrid w:val="0"/>
    </w:pPr>
    <w:rPr>
      <w:rFonts w:ascii="Century" w:eastAsia="ＭＳ 明朝" w:hAnsi="Century"/>
    </w:rPr>
  </w:style>
  <w:style w:type="paragraph" w:customStyle="1" w:styleId="jaff4">
    <w:name w:val="備考（ja）"/>
    <w:basedOn w:val="a"/>
    <w:rsid w:val="00817DF0"/>
    <w:pPr>
      <w:widowControl w:val="0"/>
      <w:ind w:left="439" w:hanging="219"/>
    </w:pPr>
    <w:rPr>
      <w:rFonts w:ascii="ＭＳ 明朝" w:eastAsia="ＭＳ 明朝" w:hAnsi="ＭＳ 明朝" w:cs="ＭＳ 明朝"/>
    </w:rPr>
  </w:style>
  <w:style w:type="paragraph" w:customStyle="1" w:styleId="enff4">
    <w:name w:val="備考（en）"/>
    <w:basedOn w:val="jaff4"/>
    <w:rsid w:val="00817DF0"/>
    <w:rPr>
      <w:rFonts w:ascii="Century" w:eastAsia="Century" w:hAnsi="Century" w:cs="Century"/>
    </w:rPr>
  </w:style>
  <w:style w:type="paragraph" w:customStyle="1" w:styleId="jaff5">
    <w:name w:val="表タイトル（ja）"/>
    <w:basedOn w:val="a"/>
    <w:rsid w:val="00817DF0"/>
    <w:pPr>
      <w:widowControl w:val="0"/>
      <w:ind w:left="219"/>
    </w:pPr>
    <w:rPr>
      <w:rFonts w:ascii="ＭＳ 明朝" w:eastAsia="ＭＳ 明朝" w:hAnsi="ＭＳ 明朝" w:cs="ＭＳ 明朝"/>
    </w:rPr>
  </w:style>
  <w:style w:type="paragraph" w:customStyle="1" w:styleId="enff5">
    <w:name w:val="表タイトル（en）"/>
    <w:basedOn w:val="jaff5"/>
    <w:rsid w:val="00817DF0"/>
    <w:rPr>
      <w:rFonts w:ascii="Century" w:eastAsia="Century" w:hAnsi="Century" w:cs="Century"/>
    </w:rPr>
  </w:style>
  <w:style w:type="paragraph" w:customStyle="1" w:styleId="jaff6">
    <w:name w:val="改正規定文（ja）"/>
    <w:basedOn w:val="a"/>
    <w:rsid w:val="00817DF0"/>
    <w:pPr>
      <w:widowControl w:val="0"/>
      <w:ind w:left="219" w:firstLine="219"/>
    </w:pPr>
    <w:rPr>
      <w:rFonts w:ascii="ＭＳ 明朝" w:eastAsia="ＭＳ 明朝" w:hAnsi="ＭＳ 明朝" w:cs="ＭＳ 明朝"/>
    </w:rPr>
  </w:style>
  <w:style w:type="paragraph" w:customStyle="1" w:styleId="enff6">
    <w:name w:val="改正規定文（en）"/>
    <w:basedOn w:val="jaff6"/>
    <w:rsid w:val="00817DF0"/>
    <w:rPr>
      <w:rFonts w:ascii="Century" w:eastAsia="Century" w:hAnsi="Century" w:cs="Century"/>
    </w:rPr>
  </w:style>
  <w:style w:type="paragraph" w:customStyle="1" w:styleId="jaff7">
    <w:name w:val="付記（ja）"/>
    <w:basedOn w:val="a"/>
    <w:rsid w:val="00817DF0"/>
    <w:pPr>
      <w:widowControl w:val="0"/>
      <w:ind w:left="219" w:firstLine="219"/>
    </w:pPr>
    <w:rPr>
      <w:rFonts w:ascii="ＭＳ 明朝" w:eastAsia="ＭＳ 明朝" w:hAnsi="ＭＳ 明朝" w:cs="ＭＳ 明朝"/>
    </w:rPr>
  </w:style>
  <w:style w:type="paragraph" w:customStyle="1" w:styleId="enff7">
    <w:name w:val="付記（en）"/>
    <w:basedOn w:val="jaff7"/>
    <w:rsid w:val="00817DF0"/>
    <w:rPr>
      <w:rFonts w:ascii="Century" w:eastAsia="Century" w:hAnsi="Century" w:cs="Century"/>
    </w:rPr>
  </w:style>
  <w:style w:type="paragraph" w:customStyle="1" w:styleId="jaff8">
    <w:name w:val="様式名（ja）"/>
    <w:basedOn w:val="a"/>
    <w:rsid w:val="00817DF0"/>
    <w:pPr>
      <w:widowControl w:val="0"/>
      <w:ind w:left="439" w:hanging="219"/>
    </w:pPr>
    <w:rPr>
      <w:rFonts w:ascii="ＭＳ 明朝" w:eastAsia="ＭＳ 明朝" w:hAnsi="ＭＳ 明朝" w:cs="ＭＳ 明朝"/>
    </w:rPr>
  </w:style>
  <w:style w:type="paragraph" w:customStyle="1" w:styleId="enff8">
    <w:name w:val="様式名（en）"/>
    <w:basedOn w:val="jaff8"/>
    <w:rsid w:val="00817DF0"/>
    <w:rPr>
      <w:rFonts w:ascii="Century" w:eastAsia="Century" w:hAnsi="Century" w:cs="Century"/>
    </w:rPr>
  </w:style>
  <w:style w:type="paragraph" w:customStyle="1" w:styleId="jaff9">
    <w:name w:val="様式項目（ja）"/>
    <w:basedOn w:val="a"/>
    <w:rsid w:val="00817DF0"/>
    <w:pPr>
      <w:widowControl w:val="0"/>
      <w:ind w:left="221" w:firstLine="221"/>
    </w:pPr>
    <w:rPr>
      <w:rFonts w:ascii="ＭＳ 明朝" w:eastAsia="ＭＳ 明朝" w:hAnsi="ＭＳ 明朝" w:cs="ＭＳ 明朝"/>
    </w:rPr>
  </w:style>
  <w:style w:type="paragraph" w:customStyle="1" w:styleId="enff9">
    <w:name w:val="様式項目（en）"/>
    <w:basedOn w:val="jaff9"/>
    <w:rsid w:val="00817DF0"/>
    <w:rPr>
      <w:rFonts w:ascii="Century" w:eastAsia="Century" w:hAnsi="Century" w:cs="Century"/>
    </w:rPr>
  </w:style>
  <w:style w:type="table" w:customStyle="1" w:styleId="1">
    <w:name w:val="表1"/>
    <w:rsid w:val="00817DF0"/>
    <w:tblPr>
      <w:tblInd w:w="340" w:type="dxa"/>
      <w:tblCellMar>
        <w:top w:w="0" w:type="dxa"/>
        <w:left w:w="0" w:type="dxa"/>
        <w:bottom w:w="0" w:type="dxa"/>
        <w:right w:w="0" w:type="dxa"/>
      </w:tblCellMar>
    </w:tblPr>
  </w:style>
  <w:style w:type="numbering" w:customStyle="1" w:styleId="WW8Num1">
    <w:name w:val="WW8Num1"/>
    <w:rsid w:val="00817DF0"/>
    <w:pPr>
      <w:numPr>
        <w:numId w:val="2"/>
      </w:numPr>
    </w:pPr>
  </w:style>
  <w:style w:type="numbering" w:customStyle="1" w:styleId="WW8Num2">
    <w:name w:val="WW8Num2"/>
    <w:rsid w:val="00817DF0"/>
    <w:pPr>
      <w:numPr>
        <w:numId w:val="3"/>
      </w:numPr>
    </w:pPr>
  </w:style>
  <w:style w:type="numbering" w:customStyle="1" w:styleId="WW8Num3">
    <w:name w:val="WW8Num3"/>
    <w:rsid w:val="00817DF0"/>
    <w:pPr>
      <w:numPr>
        <w:numId w:val="4"/>
      </w:numPr>
    </w:pPr>
  </w:style>
  <w:style w:type="numbering" w:customStyle="1" w:styleId="WW8Num4">
    <w:name w:val="WW8Num4"/>
    <w:rsid w:val="00817DF0"/>
    <w:pPr>
      <w:numPr>
        <w:numId w:val="5"/>
      </w:numPr>
    </w:pPr>
  </w:style>
  <w:style w:type="numbering" w:customStyle="1" w:styleId="WW8Num5">
    <w:name w:val="WW8Num5"/>
    <w:rsid w:val="00817DF0"/>
    <w:pPr>
      <w:numPr>
        <w:numId w:val="6"/>
      </w:numPr>
    </w:pPr>
  </w:style>
  <w:style w:type="numbering" w:customStyle="1" w:styleId="WW8Num6">
    <w:name w:val="WW8Num6"/>
    <w:rsid w:val="00817DF0"/>
    <w:pPr>
      <w:numPr>
        <w:numId w:val="7"/>
      </w:numPr>
    </w:pPr>
  </w:style>
  <w:style w:type="numbering" w:customStyle="1" w:styleId="WW8Num7">
    <w:name w:val="WW8Num7"/>
    <w:rsid w:val="00817DF0"/>
    <w:pPr>
      <w:numPr>
        <w:numId w:val="8"/>
      </w:numPr>
    </w:pPr>
  </w:style>
  <w:style w:type="numbering" w:customStyle="1" w:styleId="WW8Num8">
    <w:name w:val="WW8Num8"/>
    <w:rsid w:val="00817DF0"/>
    <w:pPr>
      <w:numPr>
        <w:numId w:val="9"/>
      </w:numPr>
    </w:pPr>
  </w:style>
  <w:style w:type="numbering" w:customStyle="1" w:styleId="WW8Num9">
    <w:name w:val="WW8Num9"/>
    <w:rsid w:val="00817DF0"/>
    <w:pPr>
      <w:numPr>
        <w:numId w:val="10"/>
      </w:numPr>
    </w:pPr>
  </w:style>
  <w:style w:type="numbering" w:customStyle="1" w:styleId="WW8Num10">
    <w:name w:val="WW8Num10"/>
    <w:rsid w:val="00817DF0"/>
    <w:pPr>
      <w:numPr>
        <w:numId w:val="11"/>
      </w:numPr>
    </w:pPr>
  </w:style>
  <w:style w:type="numbering" w:customStyle="1" w:styleId="WW8Num11">
    <w:name w:val="WW8Num11"/>
    <w:rsid w:val="00817DF0"/>
    <w:pPr>
      <w:numPr>
        <w:numId w:val="12"/>
      </w:numPr>
    </w:pPr>
  </w:style>
  <w:style w:type="numbering" w:customStyle="1" w:styleId="WW8Num12">
    <w:name w:val="WW8Num12"/>
    <w:rsid w:val="00817DF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2024-12-19T06:33:00Z</dcterms:created>
  <dcterms:modified xsi:type="dcterms:W3CDTF">2024-12-19T06:33:00Z</dcterms:modified>
</cp:coreProperties>
</file>