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6FBB" w:rsidRDefault="00602AA1">
      <w:pPr>
        <w:pStyle w:val="ja"/>
      </w:pPr>
      <w:r>
        <w:t>性的指向及びジェンダーアイデンティティの多様性に関する国民の理解の増進に関する法律</w:t>
      </w:r>
    </w:p>
    <w:p w:rsidR="00F76FBB" w:rsidRDefault="00F76FBB"/>
    <w:p w:rsidR="00F76FBB" w:rsidRDefault="00602AA1">
      <w:pPr>
        <w:pStyle w:val="jaf"/>
      </w:pPr>
      <w:r>
        <w:t>（令和五年六月二十三日法律第六十八号）</w:t>
      </w:r>
    </w:p>
    <w:p w:rsidR="00F76FBB" w:rsidRDefault="00F76FBB"/>
    <w:p w:rsidR="00F76FBB" w:rsidRDefault="00602AA1">
      <w:pPr>
        <w:pStyle w:val="jaa"/>
      </w:pPr>
      <w:r>
        <w:t>（目的）</w:t>
      </w:r>
    </w:p>
    <w:p w:rsidR="00F76FBB" w:rsidRDefault="00602AA1">
      <w:pPr>
        <w:pStyle w:val="jaf3"/>
      </w:pPr>
      <w:r>
        <w:t>第一条　この法律は、性的指向及びジェンダーアイデンティティの多様性に関する国民の理解が必ずしも十分でない現状に鑑み、性的指向及びジェンダーアイデンティティの多様性に関する国民の理解の増進に関する施策の推進に関し、基本理念を定め、並びに国及び地方公共団体の役割等を明らかにするとともに、基本計画の策定その他の必要な事項を定めることにより、性的指向及びジェンダーアイデンティティの多様性を受け入れる精神を涵養し、もって性的指向及びジェンダーアイデンティティの多様性に寛容な社会の実現に資することを目的とする。</w:t>
      </w:r>
    </w:p>
    <w:p w:rsidR="00F76FBB" w:rsidRDefault="00F76FBB"/>
    <w:p w:rsidR="00F76FBB" w:rsidRDefault="00602AA1">
      <w:pPr>
        <w:pStyle w:val="jaa"/>
      </w:pPr>
      <w:r>
        <w:t>（定義）</w:t>
      </w:r>
    </w:p>
    <w:p w:rsidR="00F76FBB" w:rsidRDefault="00602AA1">
      <w:pPr>
        <w:pStyle w:val="jaf3"/>
      </w:pPr>
      <w:r>
        <w:t>第二条　この法律において「性的指向」とは、恋愛感情又は性的感情の対象となる性別についての指向をいう。</w:t>
      </w:r>
    </w:p>
    <w:p w:rsidR="00F76FBB" w:rsidRDefault="00602AA1">
      <w:pPr>
        <w:pStyle w:val="jaf4"/>
      </w:pPr>
      <w:r>
        <w:t>２　この法律において「ジェンダーアイデンティティ」とは、自己の属する性別についての認識に関するその同一性の有無又は程度に係る意識をいう。</w:t>
      </w:r>
    </w:p>
    <w:p w:rsidR="00F76FBB" w:rsidRDefault="00F76FBB"/>
    <w:p w:rsidR="00F76FBB" w:rsidRDefault="00602AA1">
      <w:pPr>
        <w:pStyle w:val="jaa"/>
      </w:pPr>
      <w:r>
        <w:t>（基本理念）</w:t>
      </w:r>
    </w:p>
    <w:p w:rsidR="00F76FBB" w:rsidRDefault="00602AA1">
      <w:pPr>
        <w:pStyle w:val="jaf3"/>
      </w:pPr>
      <w:r>
        <w:t>第三条　性的指向及びジェンダーアイデンティティの多様性に関する国民の理解の増進に関する施策は、全ての国民が、その性的指向又はジェンダーアイデンティティにかかわらず、等しく基本的人権を享有するかけがえのない個人として尊重されるものであるとの理念にのっとり、性的指向及びジェンダーアイデンティティを理由とする不当な差別はあってはならないものであるとの認識の下に、相互に人格と個性を尊重し合いながら共生する社会の実現に資することを旨として行われなければならない。</w:t>
      </w:r>
    </w:p>
    <w:p w:rsidR="00F76FBB" w:rsidRDefault="00F76FBB"/>
    <w:p w:rsidR="00F76FBB" w:rsidRDefault="00602AA1">
      <w:pPr>
        <w:pStyle w:val="jaa"/>
      </w:pPr>
      <w:r>
        <w:t>（国の役割）</w:t>
      </w:r>
    </w:p>
    <w:p w:rsidR="00F76FBB" w:rsidRDefault="00602AA1">
      <w:pPr>
        <w:pStyle w:val="jaf3"/>
      </w:pPr>
      <w:r>
        <w:t>第四条　国は、前条に定める基本理念（以下単に「基本理念」という。）にのっとり、性的指向及びジェンダーアイデンティティの多様性に関する国民の理解の増進に関する施策を策定し、及び実施するよう努めるものとする。</w:t>
      </w:r>
    </w:p>
    <w:p w:rsidR="00F76FBB" w:rsidRDefault="00F76FBB"/>
    <w:p w:rsidR="00F76FBB" w:rsidRDefault="00602AA1">
      <w:pPr>
        <w:pStyle w:val="jaa"/>
      </w:pPr>
      <w:r>
        <w:t>（地方公共団体の役割）</w:t>
      </w:r>
    </w:p>
    <w:p w:rsidR="00F76FBB" w:rsidRDefault="00602AA1">
      <w:pPr>
        <w:pStyle w:val="jaf3"/>
      </w:pPr>
      <w:r>
        <w:t>第五条　地方公共団体は、基本理念にのっとり、国との連携を図りつつ、その地域の実情を踏まえ、性的指向及びジェンダーアイデンティティの多様性に関する国民の理解の増進に関する施策を策定し、及び実施するよう努めるものとする。</w:t>
      </w:r>
    </w:p>
    <w:p w:rsidR="00F76FBB" w:rsidRDefault="00F76FBB"/>
    <w:p w:rsidR="00F76FBB" w:rsidRDefault="00602AA1">
      <w:pPr>
        <w:pStyle w:val="jaa"/>
      </w:pPr>
      <w:r>
        <w:t>（事業主等の努力）</w:t>
      </w:r>
    </w:p>
    <w:p w:rsidR="00F76FBB" w:rsidRDefault="00602AA1">
      <w:pPr>
        <w:pStyle w:val="jaf3"/>
      </w:pPr>
      <w:r>
        <w:t>第六条　事業主は、基本理念にのっとり、性的指向及びジェンダーアイデンティティの</w:t>
      </w:r>
      <w:r>
        <w:lastRenderedPageBreak/>
        <w:t>多様性に関するその雇用する労働者の理解の増進に関し、普及啓発、就業環境の整備、相談の機会の確保等を行うことにより性的指向及びジェンダーアイデンティティの多様性に関する当該労働者の理解の増進に自ら努めるとともに、国又は地方公共団体が実施する性的指向及びジェンダーアイデンティティの多様性に関する国民の理解の増進に関する施策に協力するよう努めるものとする。</w:t>
      </w:r>
    </w:p>
    <w:p w:rsidR="00F76FBB" w:rsidRDefault="00602AA1">
      <w:pPr>
        <w:pStyle w:val="jaf4"/>
      </w:pPr>
      <w:r>
        <w:t>２　学校（学校教育法（昭和二十二年法律第二十六号）第一条に規定する学校をいい、幼稚園及び特別支援学校の幼稚部を除く。以下同じ。）の設置者は、基本理念にのっとり、性的指向及びジェンダーアイデンティティの多様性に関するその設置する学校の児童、生徒又は学生（以下この項及び第十条第三項において「児童等」という。）の理解の増進に関し、家庭及び地域住民その他の関係者の協力を得つつ、教育又は啓発、教育環境の整備、相談の機会の確保等を行うことにより性的指向及びジェンダーアイデンティティの多様性に関する当該学校の児童等の理解の増進に自ら努めるとともに、国又は地方公共団体が実施する性的指向及びジェンダーアイデンティティの多様性に関する国民の理解の増進に関する施策に協力するよう努めるものとする。</w:t>
      </w:r>
    </w:p>
    <w:p w:rsidR="00F76FBB" w:rsidRDefault="00F76FBB"/>
    <w:p w:rsidR="00F76FBB" w:rsidRDefault="00602AA1">
      <w:pPr>
        <w:pStyle w:val="jaa"/>
      </w:pPr>
      <w:r>
        <w:t>（施策の実施の状況の公表）</w:t>
      </w:r>
    </w:p>
    <w:p w:rsidR="00F76FBB" w:rsidRDefault="00602AA1">
      <w:pPr>
        <w:pStyle w:val="jaf3"/>
      </w:pPr>
      <w:r>
        <w:t>第七条　政府は、毎年一回、性的指向及びジェンダーアイデンティティの多様性に関する国民の理解の増進に関する施策の実施の状況を公表しなければならない。</w:t>
      </w:r>
    </w:p>
    <w:p w:rsidR="00F76FBB" w:rsidRDefault="00F76FBB"/>
    <w:p w:rsidR="00F76FBB" w:rsidRDefault="00602AA1">
      <w:pPr>
        <w:pStyle w:val="jaa"/>
      </w:pPr>
      <w:r>
        <w:t>（基本計画）</w:t>
      </w:r>
    </w:p>
    <w:p w:rsidR="00F76FBB" w:rsidRDefault="00602AA1">
      <w:pPr>
        <w:pStyle w:val="jaf3"/>
      </w:pPr>
      <w:r>
        <w:t>第八条　政府は、基本理念にのっとり、性的指向及びジェンダーアイデンティティの多様性に関する国民の理解の増進に関する施策の総合的かつ計画的な推進を図るため、性的指向及びジェンダーアイデンティティの多様性に関する国民の理解の増進に関する基本的な計画（以下この条において「基本計画」という。）を策定しなければならない。</w:t>
      </w:r>
    </w:p>
    <w:p w:rsidR="00F76FBB" w:rsidRDefault="00602AA1">
      <w:pPr>
        <w:pStyle w:val="jaf4"/>
      </w:pPr>
      <w:r>
        <w:t>２　基本計画は、性的指向及びジェンダーアイデンティティの多様性に関する国民の理解を増進するための基本的な事項その他必要な事項について定めるものとする。</w:t>
      </w:r>
    </w:p>
    <w:p w:rsidR="00F76FBB" w:rsidRDefault="00602AA1">
      <w:pPr>
        <w:pStyle w:val="jaf4"/>
      </w:pPr>
      <w:r>
        <w:t>３　内閣総理大臣は、基本計画の案を作成し、閣議の決定を求めなければならない。</w:t>
      </w:r>
    </w:p>
    <w:p w:rsidR="00F76FBB" w:rsidRDefault="00602AA1">
      <w:pPr>
        <w:pStyle w:val="jaf4"/>
      </w:pPr>
      <w:r>
        <w:t>４　内閣総理大臣は、前項の規定による閣議の決定があったときは、遅滞なく、基本計画を公表しなければならない。</w:t>
      </w:r>
    </w:p>
    <w:p w:rsidR="00F76FBB" w:rsidRDefault="00602AA1">
      <w:pPr>
        <w:pStyle w:val="jaf4"/>
      </w:pPr>
      <w:r>
        <w:t>５　内閣総理大臣は、基本計画の案を作成するため必要があると認めるときは、関係行政機関の長に対し、資料の提出その他必要な協力を求めることができる。</w:t>
      </w:r>
    </w:p>
    <w:p w:rsidR="00F76FBB" w:rsidRDefault="00602AA1">
      <w:pPr>
        <w:pStyle w:val="jaf4"/>
      </w:pPr>
      <w:r>
        <w:t>６　政府は、性的指向及びジェンダーアイデンティティの多様性をめぐる情勢の変化を勘案し、並びに性的指向及びジェンダーアイデンティティの多様性に関する国民の理解の増進に関する施策の効果に関する評価を踏まえ、おおむね三年ごとに、基本計画に検討を加え、必要があると認めるときは、これを変更しなければならない。</w:t>
      </w:r>
    </w:p>
    <w:p w:rsidR="00F76FBB" w:rsidRDefault="00602AA1">
      <w:pPr>
        <w:pStyle w:val="jaf4"/>
      </w:pPr>
      <w:r>
        <w:t>７　第三項から第五項までの規定は、基本計画の変更について準用する。</w:t>
      </w:r>
    </w:p>
    <w:p w:rsidR="00F76FBB" w:rsidRDefault="00F76FBB"/>
    <w:p w:rsidR="00F76FBB" w:rsidRDefault="00602AA1">
      <w:pPr>
        <w:pStyle w:val="jaa"/>
      </w:pPr>
      <w:r>
        <w:t>（学術研究等）</w:t>
      </w:r>
    </w:p>
    <w:p w:rsidR="00F76FBB" w:rsidRDefault="00602AA1">
      <w:pPr>
        <w:pStyle w:val="jaf3"/>
      </w:pPr>
      <w:r>
        <w:t>第九条　国は、性的指向及びジェンダーアイデンティティの多様性に関する学術研究その他の性的指向及びジェンダーアイデンティティの多様性に関する国民の理解の増進</w:t>
      </w:r>
      <w:r>
        <w:lastRenderedPageBreak/>
        <w:t>に関する施策の策定に必要な研究を推進するものとする。</w:t>
      </w:r>
    </w:p>
    <w:p w:rsidR="00F76FBB" w:rsidRDefault="00F76FBB"/>
    <w:p w:rsidR="00F76FBB" w:rsidRDefault="00602AA1">
      <w:pPr>
        <w:pStyle w:val="jaa"/>
      </w:pPr>
      <w:r>
        <w:t>（知識の着実な普及等）</w:t>
      </w:r>
    </w:p>
    <w:p w:rsidR="00F76FBB" w:rsidRDefault="00602AA1">
      <w:pPr>
        <w:pStyle w:val="jaf3"/>
      </w:pPr>
      <w:r>
        <w:t>第十条　国及び地方公共団体は、前条の研究の進捗状況を踏まえつつ、学校、地域、家庭、職域その他の様々な場を通じて、国民が、性的指向及びジェンダーアイデンティティの多様性に関する理解を深めることができるよう、心身の発達に応じた教育及び学習の振興並びに広報活動等を通じた性的指向及びジェンダーアイデンティティの多様性に関する知識の着実な普及、各般の問題に対応するための相談体制の整備その他の必要な施策を講ずるよう努めるものとする。</w:t>
      </w:r>
    </w:p>
    <w:p w:rsidR="00F76FBB" w:rsidRDefault="00602AA1">
      <w:pPr>
        <w:pStyle w:val="jaf4"/>
      </w:pPr>
      <w:r>
        <w:t>２　事業主は、その雇用する労働者に対し、性的指向及びジェンダーアイデンティティの多様性に関する理解を深めるための情報の提供、研修の実施、普及啓発、就業環境に関する相談体制の整備その他の必要な措置を講ずるよう努めるものとする。</w:t>
      </w:r>
    </w:p>
    <w:p w:rsidR="00F76FBB" w:rsidRDefault="00602AA1">
      <w:pPr>
        <w:pStyle w:val="jaf4"/>
      </w:pPr>
      <w:r>
        <w:t>３　学校の設置者及びその設置する学校は、当該学校の児童等に対し、性的指向及びジェンダーアイデンティティの多様性に関する理解を深めるため、家庭及び地域住民その他の関係者の協力を得つつ、教育又は啓発、教育環境に関する相談体制の整備その他の必要な措置を講ずるよう努めるものとする。</w:t>
      </w:r>
    </w:p>
    <w:p w:rsidR="00F76FBB" w:rsidRDefault="00F76FBB"/>
    <w:p w:rsidR="00F76FBB" w:rsidRDefault="00602AA1">
      <w:pPr>
        <w:pStyle w:val="jaa"/>
      </w:pPr>
      <w:r>
        <w:t>（性的指向・ジェンダーアイデンティティ理解増進連絡会議）</w:t>
      </w:r>
    </w:p>
    <w:p w:rsidR="00F76FBB" w:rsidRDefault="00602AA1">
      <w:pPr>
        <w:pStyle w:val="jaf3"/>
      </w:pPr>
      <w:r>
        <w:t>第十一条　政府は、内閣官房、内閣府、総務省、法務省、外務省、文部科学省、厚生労働省、国土交通省その他の関係行政機関の職員をもって構成する性的指向・ジェンダーアイデンティティ理解増進連絡会議を設け、性的指向及びジェンダーアイデンティティの多様性に関する国民の理解の増進に関する施策の総合的かつ効果的な推進を図るための連絡調整を行うものとする。</w:t>
      </w:r>
    </w:p>
    <w:p w:rsidR="00F76FBB" w:rsidRDefault="00F76FBB"/>
    <w:p w:rsidR="00F76FBB" w:rsidRDefault="00602AA1">
      <w:pPr>
        <w:pStyle w:val="jaa"/>
      </w:pPr>
      <w:r>
        <w:t>（措置の実施等に当たっての留意）</w:t>
      </w:r>
    </w:p>
    <w:p w:rsidR="00F76FBB" w:rsidRDefault="00602AA1">
      <w:pPr>
        <w:pStyle w:val="jaf3"/>
      </w:pPr>
      <w:r>
        <w:t>第十二条　この法律に定める措置の実施等に当たっては、性的指向又はジェンダーアイデンティティにかかわらず、全ての国民が安心して生活することができることとなるよう、留意するものとする。この場合において、政府は、その運用に必要な指針を策定するものとする。</w:t>
      </w:r>
    </w:p>
    <w:p w:rsidR="00F76FBB" w:rsidRDefault="00F76FBB"/>
    <w:p w:rsidR="00F76FBB" w:rsidRDefault="00602AA1">
      <w:pPr>
        <w:pStyle w:val="ja2"/>
      </w:pPr>
      <w:r>
        <w:t>附　則　〔抄〕</w:t>
      </w:r>
    </w:p>
    <w:p w:rsidR="00F76FBB" w:rsidRDefault="00F76FBB"/>
    <w:p w:rsidR="00F76FBB" w:rsidRDefault="00602AA1">
      <w:pPr>
        <w:pStyle w:val="jaa"/>
      </w:pPr>
      <w:r>
        <w:t>（施行期日）</w:t>
      </w:r>
    </w:p>
    <w:p w:rsidR="00F76FBB" w:rsidRDefault="00602AA1">
      <w:pPr>
        <w:pStyle w:val="jaf3"/>
      </w:pPr>
      <w:r>
        <w:t>第一条　この法律は、公布の日から施行する。</w:t>
      </w:r>
    </w:p>
    <w:p w:rsidR="00F76FBB" w:rsidRDefault="00F76FBB"/>
    <w:p w:rsidR="00F76FBB" w:rsidRDefault="00602AA1">
      <w:pPr>
        <w:pStyle w:val="jaa"/>
      </w:pPr>
      <w:r>
        <w:t>（検討）</w:t>
      </w:r>
    </w:p>
    <w:p w:rsidR="00F76FBB" w:rsidRDefault="00602AA1">
      <w:pPr>
        <w:pStyle w:val="jaf3"/>
      </w:pPr>
      <w:r>
        <w:t>第二条　この法律の規定については、この法律の施行後三年を目途として、この法律の施行状況等を勘案し、検討が加えられ、その結果に基づいて必要な措置が講ぜられるものとする。</w:t>
      </w:r>
    </w:p>
    <w:p w:rsidR="00F76FBB" w:rsidRDefault="00F76FBB"/>
    <w:p w:rsidR="00F76FBB" w:rsidRDefault="00602AA1">
      <w:pPr>
        <w:pStyle w:val="jaa"/>
      </w:pPr>
      <w:r>
        <w:t>（内閣府設置法の一部改正）</w:t>
      </w:r>
    </w:p>
    <w:p w:rsidR="00F76FBB" w:rsidRDefault="00602AA1">
      <w:pPr>
        <w:pStyle w:val="jaf3"/>
      </w:pPr>
      <w:r>
        <w:t>第三条　内閣府設置法（平成十一年法律第八十九号）の一部を次のように改正する。</w:t>
      </w:r>
    </w:p>
    <w:p w:rsidR="00F76FBB" w:rsidRDefault="00602AA1">
      <w:pPr>
        <w:pStyle w:val="jaff6"/>
      </w:pPr>
      <w:r>
        <w:t>第四条第三項第四十五号の次に次の一号を加える。</w:t>
      </w:r>
    </w:p>
    <w:p w:rsidR="00F76FBB" w:rsidRDefault="00602AA1">
      <w:pPr>
        <w:pStyle w:val="jaf6"/>
        <w:ind w:left="659"/>
      </w:pPr>
      <w:r>
        <w:t>四十五の二　性的指向及びジェンダーアイデンティティの多様性に関する国民の理解の増進に関する基本的な計画（性的指向及びジェンダーアイデンティティの多様性に関する国民の理解の増進に関する法律（令和五年法律第六十八号）第八条第一項に規定するものをいう。）の策定及び推進に関すること。</w:t>
      </w:r>
    </w:p>
    <w:sectPr w:rsidR="00F76FBB" w:rsidSect="00F76F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6FBB" w:rsidRDefault="00F76FBB" w:rsidP="00F76FBB">
      <w:r>
        <w:separator/>
      </w:r>
    </w:p>
  </w:endnote>
  <w:endnote w:type="continuationSeparator" w:id="0">
    <w:p w:rsidR="00F76FBB" w:rsidRDefault="00F76FBB" w:rsidP="00F7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6FBB" w:rsidRDefault="00F76FBB">
    <w:pPr>
      <w:pStyle w:val="a3"/>
    </w:pPr>
    <w:r>
      <w:fldChar w:fldCharType="begin"/>
    </w:r>
    <w:r>
      <w:instrText xml:space="preserve"> PAGE  \* MERGEFORMAT </w:instrText>
    </w:r>
    <w:r>
      <w:fldChar w:fldCharType="separate"/>
    </w:r>
    <w:r w:rsidR="00602A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6FBB" w:rsidRDefault="00F76FBB" w:rsidP="00F76FBB">
      <w:r>
        <w:separator/>
      </w:r>
    </w:p>
  </w:footnote>
  <w:footnote w:type="continuationSeparator" w:id="0">
    <w:p w:rsidR="00F76FBB" w:rsidRDefault="00F76FBB" w:rsidP="00F76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C74"/>
    <w:multiLevelType w:val="multilevel"/>
    <w:tmpl w:val="6952E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C1F74"/>
    <w:multiLevelType w:val="multilevel"/>
    <w:tmpl w:val="B6EAD8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46EA8"/>
    <w:multiLevelType w:val="multilevel"/>
    <w:tmpl w:val="D50CAC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6C609D"/>
    <w:multiLevelType w:val="multilevel"/>
    <w:tmpl w:val="520C1F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B61D4"/>
    <w:multiLevelType w:val="multilevel"/>
    <w:tmpl w:val="89A28B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873061"/>
    <w:multiLevelType w:val="multilevel"/>
    <w:tmpl w:val="73421B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35421A"/>
    <w:multiLevelType w:val="multilevel"/>
    <w:tmpl w:val="3CCA9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6620F"/>
    <w:multiLevelType w:val="multilevel"/>
    <w:tmpl w:val="569AA6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8507F7"/>
    <w:multiLevelType w:val="multilevel"/>
    <w:tmpl w:val="A072B7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22795B"/>
    <w:multiLevelType w:val="multilevel"/>
    <w:tmpl w:val="C60C3B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5550C"/>
    <w:multiLevelType w:val="multilevel"/>
    <w:tmpl w:val="EE361F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A2D02"/>
    <w:multiLevelType w:val="multilevel"/>
    <w:tmpl w:val="1FC657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F8771D"/>
    <w:multiLevelType w:val="multilevel"/>
    <w:tmpl w:val="B6F0B6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1271747">
    <w:abstractNumId w:val="11"/>
  </w:num>
  <w:num w:numId="2" w16cid:durableId="1247308084">
    <w:abstractNumId w:val="12"/>
  </w:num>
  <w:num w:numId="3" w16cid:durableId="1752772195">
    <w:abstractNumId w:val="8"/>
  </w:num>
  <w:num w:numId="4" w16cid:durableId="1831478877">
    <w:abstractNumId w:val="2"/>
  </w:num>
  <w:num w:numId="5" w16cid:durableId="1800300389">
    <w:abstractNumId w:val="4"/>
  </w:num>
  <w:num w:numId="6" w16cid:durableId="465853520">
    <w:abstractNumId w:val="3"/>
  </w:num>
  <w:num w:numId="7" w16cid:durableId="925502380">
    <w:abstractNumId w:val="6"/>
  </w:num>
  <w:num w:numId="8" w16cid:durableId="1045788954">
    <w:abstractNumId w:val="9"/>
  </w:num>
  <w:num w:numId="9" w16cid:durableId="483395389">
    <w:abstractNumId w:val="10"/>
  </w:num>
  <w:num w:numId="10" w16cid:durableId="815682787">
    <w:abstractNumId w:val="7"/>
  </w:num>
  <w:num w:numId="11" w16cid:durableId="311180865">
    <w:abstractNumId w:val="1"/>
  </w:num>
  <w:num w:numId="12" w16cid:durableId="1283804845">
    <w:abstractNumId w:val="5"/>
  </w:num>
  <w:num w:numId="13" w16cid:durableId="74857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6FBB"/>
    <w:rsid w:val="003A0DB5"/>
    <w:rsid w:val="00602AA1"/>
    <w:rsid w:val="00F76F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F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6F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6FBB"/>
    <w:rPr>
      <w:rFonts w:ascii="Century" w:eastAsia="Century" w:hAnsi="Century"/>
    </w:rPr>
  </w:style>
  <w:style w:type="paragraph" w:customStyle="1" w:styleId="ja0">
    <w:name w:val="款（ja）"/>
    <w:basedOn w:val="a"/>
    <w:rsid w:val="00F76FBB"/>
    <w:pPr>
      <w:widowControl w:val="0"/>
      <w:ind w:left="1321" w:hanging="221"/>
    </w:pPr>
    <w:rPr>
      <w:rFonts w:ascii="ＭＳ 明朝" w:eastAsia="ＭＳ 明朝" w:hAnsi="ＭＳ 明朝" w:cs="ＭＳ 明朝"/>
      <w:b/>
    </w:rPr>
  </w:style>
  <w:style w:type="paragraph" w:customStyle="1" w:styleId="en0">
    <w:name w:val="款（en）"/>
    <w:basedOn w:val="ja0"/>
    <w:rsid w:val="00F76FBB"/>
    <w:rPr>
      <w:rFonts w:ascii="Century" w:eastAsia="Century" w:hAnsi="Century" w:cs="Century"/>
    </w:rPr>
  </w:style>
  <w:style w:type="paragraph" w:customStyle="1" w:styleId="ja1">
    <w:name w:val="前文（ja）"/>
    <w:basedOn w:val="a"/>
    <w:rsid w:val="00F76FBB"/>
    <w:pPr>
      <w:widowControl w:val="0"/>
      <w:ind w:firstLine="219"/>
    </w:pPr>
    <w:rPr>
      <w:rFonts w:ascii="ＭＳ 明朝" w:eastAsia="ＭＳ 明朝" w:hAnsi="ＭＳ 明朝" w:cs="ＭＳ 明朝"/>
    </w:rPr>
  </w:style>
  <w:style w:type="paragraph" w:customStyle="1" w:styleId="en1">
    <w:name w:val="前文（en）"/>
    <w:basedOn w:val="ja1"/>
    <w:rsid w:val="00F76FBB"/>
    <w:rPr>
      <w:rFonts w:ascii="Century" w:eastAsia="Century" w:hAnsi="Century" w:cs="Century"/>
    </w:rPr>
  </w:style>
  <w:style w:type="paragraph" w:customStyle="1" w:styleId="ja2">
    <w:name w:val="附則（ja）"/>
    <w:basedOn w:val="a"/>
    <w:rsid w:val="00F76FBB"/>
    <w:pPr>
      <w:widowControl w:val="0"/>
      <w:ind w:left="881" w:hanging="221"/>
    </w:pPr>
    <w:rPr>
      <w:rFonts w:ascii="ＭＳ 明朝" w:eastAsia="ＭＳ 明朝" w:hAnsi="ＭＳ 明朝" w:cs="ＭＳ 明朝"/>
      <w:b/>
    </w:rPr>
  </w:style>
  <w:style w:type="paragraph" w:customStyle="1" w:styleId="en2">
    <w:name w:val="附則（en）"/>
    <w:basedOn w:val="ja2"/>
    <w:rsid w:val="00F76FBB"/>
    <w:rPr>
      <w:rFonts w:ascii="Century" w:hAnsi="Century" w:cs="Century"/>
    </w:rPr>
  </w:style>
  <w:style w:type="paragraph" w:customStyle="1" w:styleId="ja3">
    <w:name w:val="章（ja）"/>
    <w:basedOn w:val="a"/>
    <w:rsid w:val="00F76FBB"/>
    <w:pPr>
      <w:widowControl w:val="0"/>
      <w:ind w:left="881" w:hanging="221"/>
    </w:pPr>
    <w:rPr>
      <w:rFonts w:ascii="ＭＳ 明朝" w:eastAsia="ＭＳ 明朝" w:hAnsi="ＭＳ 明朝" w:cs="ＭＳ 明朝"/>
      <w:b/>
    </w:rPr>
  </w:style>
  <w:style w:type="paragraph" w:customStyle="1" w:styleId="en3">
    <w:name w:val="章（en）"/>
    <w:basedOn w:val="ja3"/>
    <w:rsid w:val="00F76FBB"/>
    <w:rPr>
      <w:rFonts w:ascii="Century" w:eastAsia="Century" w:hAnsi="Century" w:cs="Century"/>
    </w:rPr>
  </w:style>
  <w:style w:type="paragraph" w:customStyle="1" w:styleId="ja4">
    <w:name w:val="目次編（ja）"/>
    <w:basedOn w:val="a"/>
    <w:rsid w:val="00F76FBB"/>
    <w:pPr>
      <w:widowControl w:val="0"/>
      <w:ind w:left="219" w:hanging="219"/>
    </w:pPr>
    <w:rPr>
      <w:rFonts w:ascii="ＭＳ 明朝" w:eastAsia="ＭＳ 明朝" w:hAnsi="ＭＳ 明朝"/>
    </w:rPr>
  </w:style>
  <w:style w:type="paragraph" w:customStyle="1" w:styleId="en4">
    <w:name w:val="目次編（en）"/>
    <w:basedOn w:val="ja4"/>
    <w:rsid w:val="00F76FBB"/>
    <w:rPr>
      <w:rFonts w:ascii="Century" w:eastAsia="Century" w:hAnsi="Century"/>
    </w:rPr>
  </w:style>
  <w:style w:type="paragraph" w:customStyle="1" w:styleId="ja5">
    <w:name w:val="目次章（ja）"/>
    <w:basedOn w:val="a"/>
    <w:rsid w:val="00F76FBB"/>
    <w:pPr>
      <w:widowControl w:val="0"/>
      <w:ind w:left="439" w:hanging="219"/>
    </w:pPr>
    <w:rPr>
      <w:rFonts w:ascii="ＭＳ 明朝" w:eastAsia="ＭＳ 明朝" w:hAnsi="ＭＳ 明朝"/>
    </w:rPr>
  </w:style>
  <w:style w:type="paragraph" w:customStyle="1" w:styleId="en5">
    <w:name w:val="目次章（en）"/>
    <w:basedOn w:val="ja5"/>
    <w:rsid w:val="00F76FBB"/>
    <w:rPr>
      <w:rFonts w:ascii="Century" w:eastAsia="Century" w:hAnsi="Century"/>
    </w:rPr>
  </w:style>
  <w:style w:type="paragraph" w:customStyle="1" w:styleId="ja6">
    <w:name w:val="目次節（ja）"/>
    <w:basedOn w:val="a"/>
    <w:rsid w:val="00F76FBB"/>
    <w:pPr>
      <w:widowControl w:val="0"/>
      <w:ind w:left="659" w:hanging="219"/>
    </w:pPr>
    <w:rPr>
      <w:rFonts w:ascii="ＭＳ 明朝" w:eastAsia="ＭＳ 明朝" w:hAnsi="ＭＳ 明朝"/>
    </w:rPr>
  </w:style>
  <w:style w:type="paragraph" w:customStyle="1" w:styleId="en6">
    <w:name w:val="目次節（en）"/>
    <w:basedOn w:val="ja6"/>
    <w:rsid w:val="00F76FBB"/>
    <w:rPr>
      <w:rFonts w:ascii="Century" w:eastAsia="Century" w:hAnsi="Century"/>
    </w:rPr>
  </w:style>
  <w:style w:type="paragraph" w:customStyle="1" w:styleId="ja7">
    <w:name w:val="目次款（ja）"/>
    <w:basedOn w:val="a"/>
    <w:rsid w:val="00F76FBB"/>
    <w:pPr>
      <w:widowControl w:val="0"/>
      <w:ind w:left="879" w:hanging="219"/>
    </w:pPr>
    <w:rPr>
      <w:rFonts w:ascii="ＭＳ 明朝" w:eastAsia="ＭＳ 明朝" w:hAnsi="ＭＳ 明朝" w:cs="Kochi Mincho"/>
    </w:rPr>
  </w:style>
  <w:style w:type="paragraph" w:customStyle="1" w:styleId="en7">
    <w:name w:val="目次款（en）"/>
    <w:basedOn w:val="ja7"/>
    <w:rsid w:val="00F76FBB"/>
    <w:rPr>
      <w:rFonts w:ascii="Century" w:eastAsia="Century" w:hAnsi="Century"/>
    </w:rPr>
  </w:style>
  <w:style w:type="paragraph" w:customStyle="1" w:styleId="ja8">
    <w:name w:val="別表名（ja）"/>
    <w:basedOn w:val="a"/>
    <w:rsid w:val="00F76F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6FBB"/>
    <w:rPr>
      <w:rFonts w:ascii="Century" w:eastAsia="Century" w:hAnsi="Century" w:cs="Century"/>
    </w:rPr>
  </w:style>
  <w:style w:type="paragraph" w:customStyle="1" w:styleId="ja9">
    <w:name w:val="目（ja）"/>
    <w:basedOn w:val="a"/>
    <w:rsid w:val="00F76FBB"/>
    <w:pPr>
      <w:widowControl w:val="0"/>
      <w:ind w:left="1541" w:hanging="221"/>
    </w:pPr>
    <w:rPr>
      <w:rFonts w:ascii="ＭＳ 明朝" w:eastAsia="ＭＳ 明朝" w:hAnsi="ＭＳ 明朝" w:cs="ＭＳ 明朝"/>
      <w:b/>
    </w:rPr>
  </w:style>
  <w:style w:type="paragraph" w:customStyle="1" w:styleId="en9">
    <w:name w:val="目（en）"/>
    <w:basedOn w:val="ja9"/>
    <w:rsid w:val="00F76FBB"/>
    <w:rPr>
      <w:rFonts w:ascii="Century" w:eastAsia="Century" w:hAnsi="Century" w:cs="Century"/>
    </w:rPr>
  </w:style>
  <w:style w:type="paragraph" w:customStyle="1" w:styleId="jaa">
    <w:name w:val="見出し（ja）"/>
    <w:basedOn w:val="a"/>
    <w:rsid w:val="00F76FBB"/>
    <w:pPr>
      <w:widowControl w:val="0"/>
      <w:ind w:left="439" w:hanging="219"/>
    </w:pPr>
    <w:rPr>
      <w:rFonts w:ascii="ＭＳ 明朝" w:eastAsia="ＭＳ 明朝" w:hAnsi="ＭＳ 明朝" w:cs="ＭＳ 明朝"/>
    </w:rPr>
  </w:style>
  <w:style w:type="paragraph" w:customStyle="1" w:styleId="ena">
    <w:name w:val="見出し（en）"/>
    <w:basedOn w:val="jaa"/>
    <w:rsid w:val="00F76FBB"/>
    <w:rPr>
      <w:rFonts w:ascii="Century" w:eastAsia="Century" w:hAnsi="Century" w:cs="Century"/>
    </w:rPr>
  </w:style>
  <w:style w:type="paragraph" w:styleId="a3">
    <w:name w:val="footer"/>
    <w:basedOn w:val="a"/>
    <w:rsid w:val="00F76F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6FBB"/>
    <w:pPr>
      <w:widowControl w:val="0"/>
      <w:ind w:left="1099" w:hanging="219"/>
    </w:pPr>
    <w:rPr>
      <w:rFonts w:ascii="ＭＳ 明朝" w:eastAsia="ＭＳ 明朝" w:hAnsi="ＭＳ 明朝" w:cs="Kochi Mincho"/>
    </w:rPr>
  </w:style>
  <w:style w:type="paragraph" w:customStyle="1" w:styleId="enb">
    <w:name w:val="目次目（en）"/>
    <w:basedOn w:val="jab"/>
    <w:rsid w:val="00F76FBB"/>
    <w:rPr>
      <w:rFonts w:ascii="Century" w:eastAsia="Century" w:hAnsi="Century"/>
    </w:rPr>
  </w:style>
  <w:style w:type="paragraph" w:customStyle="1" w:styleId="jac">
    <w:name w:val="目次附則（ja）"/>
    <w:basedOn w:val="a"/>
    <w:rsid w:val="00F76FBB"/>
    <w:pPr>
      <w:widowControl w:val="0"/>
      <w:ind w:left="439" w:hanging="219"/>
    </w:pPr>
    <w:rPr>
      <w:rFonts w:ascii="ＭＳ 明朝" w:eastAsia="ＭＳ 明朝" w:hAnsi="ＭＳ 明朝" w:cs="Kochi Mincho"/>
    </w:rPr>
  </w:style>
  <w:style w:type="paragraph" w:customStyle="1" w:styleId="enc">
    <w:name w:val="目次附則（en）"/>
    <w:basedOn w:val="jac"/>
    <w:rsid w:val="00F76FBB"/>
    <w:rPr>
      <w:rFonts w:ascii="Century" w:eastAsia="Century" w:hAnsi="Century" w:cs="Century"/>
    </w:rPr>
  </w:style>
  <w:style w:type="paragraph" w:customStyle="1" w:styleId="jad">
    <w:name w:val="目次前文（ja）"/>
    <w:basedOn w:val="jac"/>
    <w:rsid w:val="00F76FBB"/>
  </w:style>
  <w:style w:type="paragraph" w:customStyle="1" w:styleId="end">
    <w:name w:val="目次前文（en）"/>
    <w:basedOn w:val="enc"/>
    <w:rsid w:val="00F76FBB"/>
  </w:style>
  <w:style w:type="paragraph" w:customStyle="1" w:styleId="jae">
    <w:name w:val="制定文（ja）"/>
    <w:basedOn w:val="a"/>
    <w:rsid w:val="00F76FBB"/>
    <w:pPr>
      <w:widowControl w:val="0"/>
      <w:ind w:firstLine="219"/>
    </w:pPr>
    <w:rPr>
      <w:rFonts w:ascii="ＭＳ 明朝" w:eastAsia="ＭＳ 明朝" w:hAnsi="ＭＳ 明朝" w:cs="ＭＳ 明朝"/>
    </w:rPr>
  </w:style>
  <w:style w:type="paragraph" w:customStyle="1" w:styleId="ene">
    <w:name w:val="制定文（en）"/>
    <w:basedOn w:val="jae"/>
    <w:rsid w:val="00F76FBB"/>
    <w:rPr>
      <w:rFonts w:ascii="Century" w:eastAsia="Century" w:hAnsi="Century" w:cs="Century"/>
    </w:rPr>
  </w:style>
  <w:style w:type="paragraph" w:customStyle="1" w:styleId="jaf">
    <w:name w:val="法令番号（ja）"/>
    <w:basedOn w:val="a"/>
    <w:rsid w:val="00F76FBB"/>
    <w:pPr>
      <w:widowControl w:val="0"/>
      <w:jc w:val="right"/>
    </w:pPr>
    <w:rPr>
      <w:rFonts w:ascii="ＭＳ 明朝" w:eastAsia="ＭＳ 明朝" w:hAnsi="ＭＳ 明朝" w:cs="Kochi Mincho"/>
    </w:rPr>
  </w:style>
  <w:style w:type="paragraph" w:customStyle="1" w:styleId="enf">
    <w:name w:val="法令番号（en）"/>
    <w:basedOn w:val="jaf"/>
    <w:rsid w:val="00F76FBB"/>
    <w:rPr>
      <w:rFonts w:ascii="Century" w:eastAsia="Century" w:hAnsi="Century" w:cs="Century"/>
    </w:rPr>
  </w:style>
  <w:style w:type="paragraph" w:customStyle="1" w:styleId="jaf0">
    <w:name w:val="目次（ja）"/>
    <w:basedOn w:val="a"/>
    <w:rsid w:val="00F76FBB"/>
    <w:rPr>
      <w:rFonts w:ascii="ＭＳ 明朝" w:eastAsia="ＭＳ 明朝" w:hAnsi="ＭＳ 明朝"/>
    </w:rPr>
  </w:style>
  <w:style w:type="paragraph" w:customStyle="1" w:styleId="enf0">
    <w:name w:val="目次（en）"/>
    <w:basedOn w:val="jaf0"/>
    <w:rsid w:val="00F76FBB"/>
    <w:rPr>
      <w:rFonts w:ascii="Century" w:eastAsia="Century" w:hAnsi="Century"/>
    </w:rPr>
  </w:style>
  <w:style w:type="paragraph" w:customStyle="1" w:styleId="jaf1">
    <w:name w:val="編（ja）"/>
    <w:basedOn w:val="a"/>
    <w:rsid w:val="00F76FBB"/>
    <w:pPr>
      <w:widowControl w:val="0"/>
      <w:ind w:left="661" w:hanging="221"/>
    </w:pPr>
    <w:rPr>
      <w:rFonts w:ascii="ＭＳ 明朝" w:eastAsia="ＭＳ 明朝" w:hAnsi="ＭＳ 明朝" w:cs="ＭＳ 明朝"/>
      <w:b/>
    </w:rPr>
  </w:style>
  <w:style w:type="paragraph" w:customStyle="1" w:styleId="enf1">
    <w:name w:val="編（en）"/>
    <w:basedOn w:val="jaf1"/>
    <w:rsid w:val="00F76FBB"/>
    <w:rPr>
      <w:rFonts w:ascii="Century" w:eastAsia="Century" w:hAnsi="Century" w:cs="Century"/>
    </w:rPr>
  </w:style>
  <w:style w:type="paragraph" w:customStyle="1" w:styleId="jaf2">
    <w:name w:val="節（ja）"/>
    <w:basedOn w:val="a"/>
    <w:rsid w:val="00F76FBB"/>
    <w:pPr>
      <w:widowControl w:val="0"/>
      <w:ind w:left="1101" w:hanging="221"/>
    </w:pPr>
    <w:rPr>
      <w:rFonts w:ascii="ＭＳ 明朝" w:eastAsia="ＭＳ 明朝" w:hAnsi="ＭＳ 明朝" w:cs="ＭＳ 明朝"/>
      <w:b/>
    </w:rPr>
  </w:style>
  <w:style w:type="paragraph" w:customStyle="1" w:styleId="enf2">
    <w:name w:val="節（en）"/>
    <w:basedOn w:val="jaf2"/>
    <w:rsid w:val="00F76FBB"/>
    <w:rPr>
      <w:rFonts w:ascii="Century" w:eastAsia="Century" w:hAnsi="Century" w:cs="Century"/>
    </w:rPr>
  </w:style>
  <w:style w:type="paragraph" w:customStyle="1" w:styleId="jaf3">
    <w:name w:val="条（ja）"/>
    <w:basedOn w:val="a"/>
    <w:rsid w:val="00F76FBB"/>
    <w:pPr>
      <w:widowControl w:val="0"/>
      <w:ind w:left="219" w:hanging="219"/>
    </w:pPr>
    <w:rPr>
      <w:rFonts w:ascii="ＭＳ 明朝" w:eastAsia="ＭＳ 明朝" w:hAnsi="ＭＳ 明朝" w:cs="ＭＳ 明朝"/>
    </w:rPr>
  </w:style>
  <w:style w:type="paragraph" w:customStyle="1" w:styleId="enf3">
    <w:name w:val="条（en）"/>
    <w:basedOn w:val="jaf3"/>
    <w:rsid w:val="00F76FBB"/>
    <w:rPr>
      <w:rFonts w:ascii="Century" w:eastAsia="Century" w:hAnsi="Century" w:cs="Century"/>
    </w:rPr>
  </w:style>
  <w:style w:type="paragraph" w:customStyle="1" w:styleId="jaf4">
    <w:name w:val="項（ja）"/>
    <w:basedOn w:val="a"/>
    <w:rsid w:val="00F76FBB"/>
    <w:pPr>
      <w:widowControl w:val="0"/>
      <w:ind w:left="219" w:hanging="219"/>
    </w:pPr>
    <w:rPr>
      <w:rFonts w:ascii="ＭＳ 明朝" w:eastAsia="ＭＳ 明朝" w:hAnsi="ＭＳ 明朝" w:cs="ＭＳ 明朝"/>
    </w:rPr>
  </w:style>
  <w:style w:type="paragraph" w:customStyle="1" w:styleId="enf4">
    <w:name w:val="項（en）"/>
    <w:basedOn w:val="jaf4"/>
    <w:rsid w:val="00F76FBB"/>
    <w:rPr>
      <w:rFonts w:ascii="Century" w:eastAsia="Century" w:hAnsi="Century" w:cs="Century"/>
    </w:rPr>
  </w:style>
  <w:style w:type="paragraph" w:customStyle="1" w:styleId="jaf5">
    <w:name w:val="項　番号なし（ja）"/>
    <w:basedOn w:val="a"/>
    <w:rsid w:val="00F76FBB"/>
    <w:pPr>
      <w:widowControl w:val="0"/>
      <w:ind w:firstLine="221"/>
    </w:pPr>
    <w:rPr>
      <w:rFonts w:ascii="ＭＳ 明朝" w:eastAsia="ＭＳ 明朝" w:hAnsi="ＭＳ 明朝" w:cs="ＭＳ 明朝"/>
    </w:rPr>
  </w:style>
  <w:style w:type="paragraph" w:customStyle="1" w:styleId="enf5">
    <w:name w:val="項　番号なし（en）"/>
    <w:basedOn w:val="jaf5"/>
    <w:rsid w:val="00F76FBB"/>
    <w:rPr>
      <w:rFonts w:ascii="Century" w:eastAsia="Century" w:hAnsi="Century" w:cs="Century"/>
    </w:rPr>
  </w:style>
  <w:style w:type="paragraph" w:customStyle="1" w:styleId="jaf6">
    <w:name w:val="号（ja）"/>
    <w:basedOn w:val="a"/>
    <w:rsid w:val="00F76FBB"/>
    <w:pPr>
      <w:widowControl w:val="0"/>
      <w:ind w:left="439" w:hanging="219"/>
    </w:pPr>
    <w:rPr>
      <w:rFonts w:ascii="ＭＳ 明朝" w:eastAsia="ＭＳ 明朝" w:hAnsi="ＭＳ 明朝" w:cs="ＭＳ 明朝"/>
    </w:rPr>
  </w:style>
  <w:style w:type="paragraph" w:customStyle="1" w:styleId="enf6">
    <w:name w:val="号（en）"/>
    <w:basedOn w:val="jaf6"/>
    <w:rsid w:val="00F76FBB"/>
    <w:rPr>
      <w:rFonts w:ascii="Century" w:eastAsia="Century" w:hAnsi="Century" w:cs="Century"/>
    </w:rPr>
  </w:style>
  <w:style w:type="paragraph" w:customStyle="1" w:styleId="jaf7">
    <w:name w:val="号　番号なし（ja）"/>
    <w:basedOn w:val="a"/>
    <w:rsid w:val="00F76FBB"/>
    <w:pPr>
      <w:widowControl w:val="0"/>
      <w:ind w:left="221" w:firstLine="221"/>
    </w:pPr>
    <w:rPr>
      <w:rFonts w:ascii="ＭＳ 明朝" w:eastAsia="ＭＳ 明朝" w:hAnsi="ＭＳ 明朝" w:cs="ＭＳ 明朝"/>
    </w:rPr>
  </w:style>
  <w:style w:type="paragraph" w:customStyle="1" w:styleId="enf7">
    <w:name w:val="号　番号なし（en）"/>
    <w:basedOn w:val="jaf7"/>
    <w:rsid w:val="00F76FBB"/>
    <w:rPr>
      <w:rFonts w:ascii="Century" w:eastAsia="Century" w:hAnsi="Century" w:cs="Century"/>
    </w:rPr>
  </w:style>
  <w:style w:type="paragraph" w:customStyle="1" w:styleId="jaf8">
    <w:name w:val="備考号（ja）"/>
    <w:basedOn w:val="a"/>
    <w:rsid w:val="00F76FBB"/>
    <w:pPr>
      <w:widowControl w:val="0"/>
      <w:ind w:left="659" w:hanging="219"/>
    </w:pPr>
    <w:rPr>
      <w:rFonts w:ascii="ＭＳ 明朝" w:eastAsia="ＭＳ 明朝" w:hAnsi="ＭＳ 明朝" w:cs="ＭＳ 明朝"/>
    </w:rPr>
  </w:style>
  <w:style w:type="paragraph" w:customStyle="1" w:styleId="enf8">
    <w:name w:val="備考号（en）"/>
    <w:basedOn w:val="jaf8"/>
    <w:rsid w:val="00F76FBB"/>
    <w:rPr>
      <w:rFonts w:ascii="Century" w:eastAsia="Century" w:hAnsi="Century" w:cs="Century"/>
    </w:rPr>
  </w:style>
  <w:style w:type="paragraph" w:customStyle="1" w:styleId="jaf9">
    <w:name w:val="号細分（ja）"/>
    <w:basedOn w:val="a"/>
    <w:rsid w:val="00F76FBB"/>
    <w:pPr>
      <w:widowControl w:val="0"/>
      <w:ind w:left="659" w:hanging="219"/>
    </w:pPr>
    <w:rPr>
      <w:rFonts w:ascii="ＭＳ 明朝" w:eastAsia="ＭＳ 明朝" w:hAnsi="ＭＳ 明朝" w:cs="ＭＳ 明朝"/>
    </w:rPr>
  </w:style>
  <w:style w:type="paragraph" w:customStyle="1" w:styleId="enf9">
    <w:name w:val="号細分（en）"/>
    <w:basedOn w:val="jaf9"/>
    <w:rsid w:val="00F76FBB"/>
    <w:rPr>
      <w:rFonts w:ascii="Century" w:eastAsia="Century" w:hAnsi="Century" w:cs="Century"/>
    </w:rPr>
  </w:style>
  <w:style w:type="paragraph" w:customStyle="1" w:styleId="jafa">
    <w:name w:val="号細分　番号なし（ja）"/>
    <w:basedOn w:val="a"/>
    <w:rsid w:val="00F76FBB"/>
    <w:pPr>
      <w:widowControl w:val="0"/>
      <w:ind w:left="439"/>
    </w:pPr>
    <w:rPr>
      <w:rFonts w:ascii="ＭＳ 明朝" w:eastAsia="ＭＳ 明朝" w:hAnsi="ＭＳ 明朝" w:cs="ＭＳ 明朝"/>
    </w:rPr>
  </w:style>
  <w:style w:type="paragraph" w:customStyle="1" w:styleId="enfa">
    <w:name w:val="号細分　番号なし（en）"/>
    <w:basedOn w:val="jafa"/>
    <w:rsid w:val="00F76FBB"/>
    <w:rPr>
      <w:rFonts w:ascii="Century" w:eastAsia="Century" w:hAnsi="Century" w:cs="Century"/>
    </w:rPr>
  </w:style>
  <w:style w:type="paragraph" w:customStyle="1" w:styleId="jafb">
    <w:name w:val="備考号細分（ja）"/>
    <w:basedOn w:val="a"/>
    <w:rsid w:val="00F76FBB"/>
    <w:pPr>
      <w:widowControl w:val="0"/>
      <w:ind w:left="1099" w:hanging="439"/>
    </w:pPr>
    <w:rPr>
      <w:rFonts w:ascii="ＭＳ 明朝" w:eastAsia="ＭＳ 明朝" w:hAnsi="ＭＳ 明朝" w:cs="ＭＳ 明朝"/>
    </w:rPr>
  </w:style>
  <w:style w:type="paragraph" w:customStyle="1" w:styleId="enfb">
    <w:name w:val="備考号細分（en）"/>
    <w:basedOn w:val="jafb"/>
    <w:rsid w:val="00F76FBB"/>
    <w:rPr>
      <w:rFonts w:ascii="Century" w:eastAsia="Century" w:hAnsi="Century" w:cs="Century"/>
    </w:rPr>
  </w:style>
  <w:style w:type="paragraph" w:customStyle="1" w:styleId="jafc">
    <w:name w:val="号細細分（ja）"/>
    <w:basedOn w:val="a"/>
    <w:rsid w:val="00F76FBB"/>
    <w:pPr>
      <w:widowControl w:val="0"/>
      <w:ind w:left="1099" w:hanging="439"/>
    </w:pPr>
    <w:rPr>
      <w:rFonts w:ascii="ＭＳ 明朝" w:eastAsia="ＭＳ 明朝" w:hAnsi="ＭＳ 明朝" w:cs="ＭＳ 明朝"/>
    </w:rPr>
  </w:style>
  <w:style w:type="paragraph" w:customStyle="1" w:styleId="enfc">
    <w:name w:val="号細細分（en）"/>
    <w:basedOn w:val="jafc"/>
    <w:rsid w:val="00F76FBB"/>
    <w:rPr>
      <w:rFonts w:ascii="Century" w:eastAsia="Century" w:hAnsi="Century" w:cs="Century"/>
    </w:rPr>
  </w:style>
  <w:style w:type="paragraph" w:customStyle="1" w:styleId="jafd">
    <w:name w:val="号細細分　番号なし（ja）"/>
    <w:basedOn w:val="a"/>
    <w:rsid w:val="00F76FBB"/>
    <w:pPr>
      <w:widowControl w:val="0"/>
      <w:ind w:left="659"/>
    </w:pPr>
    <w:rPr>
      <w:rFonts w:ascii="ＭＳ 明朝" w:eastAsia="ＭＳ 明朝" w:hAnsi="ＭＳ 明朝" w:cs="ＭＳ 明朝"/>
    </w:rPr>
  </w:style>
  <w:style w:type="paragraph" w:customStyle="1" w:styleId="enfd">
    <w:name w:val="号細細分　番号なし（en）"/>
    <w:basedOn w:val="jafd"/>
    <w:rsid w:val="00F76FBB"/>
    <w:rPr>
      <w:rFonts w:ascii="Century" w:eastAsia="Century" w:hAnsi="Century" w:cs="Century"/>
    </w:rPr>
  </w:style>
  <w:style w:type="paragraph" w:customStyle="1" w:styleId="jafe">
    <w:name w:val="備考号細細分（ja）"/>
    <w:basedOn w:val="a"/>
    <w:rsid w:val="00F76FBB"/>
    <w:pPr>
      <w:widowControl w:val="0"/>
      <w:ind w:left="1319" w:hanging="439"/>
    </w:pPr>
    <w:rPr>
      <w:rFonts w:ascii="ＭＳ 明朝" w:eastAsia="ＭＳ 明朝" w:hAnsi="ＭＳ 明朝" w:cs="ＭＳ 明朝"/>
    </w:rPr>
  </w:style>
  <w:style w:type="paragraph" w:customStyle="1" w:styleId="enfe">
    <w:name w:val="備考号細細分（en）"/>
    <w:basedOn w:val="jafe"/>
    <w:rsid w:val="00F76FBB"/>
    <w:rPr>
      <w:rFonts w:ascii="Century" w:eastAsia="Century" w:hAnsi="Century" w:cs="Century"/>
    </w:rPr>
  </w:style>
  <w:style w:type="paragraph" w:customStyle="1" w:styleId="jaff">
    <w:name w:val="号細細細分（ja）"/>
    <w:basedOn w:val="a"/>
    <w:rsid w:val="00F76FBB"/>
    <w:pPr>
      <w:widowControl w:val="0"/>
      <w:ind w:left="1319" w:hanging="439"/>
    </w:pPr>
    <w:rPr>
      <w:rFonts w:ascii="ＭＳ 明朝" w:eastAsia="ＭＳ 明朝" w:hAnsi="ＭＳ 明朝" w:cs="ＭＳ 明朝"/>
    </w:rPr>
  </w:style>
  <w:style w:type="paragraph" w:customStyle="1" w:styleId="enff">
    <w:name w:val="号細細細分（en）"/>
    <w:basedOn w:val="jaff"/>
    <w:rsid w:val="00F76FBB"/>
    <w:rPr>
      <w:rFonts w:ascii="Century" w:eastAsia="Century" w:hAnsi="Century" w:cs="Century"/>
    </w:rPr>
  </w:style>
  <w:style w:type="paragraph" w:customStyle="1" w:styleId="jaff0">
    <w:name w:val="号細細細分　番号なし（ja）"/>
    <w:basedOn w:val="a"/>
    <w:rsid w:val="00F76FBB"/>
    <w:pPr>
      <w:widowControl w:val="0"/>
      <w:ind w:left="879"/>
    </w:pPr>
    <w:rPr>
      <w:rFonts w:ascii="ＭＳ 明朝" w:eastAsia="ＭＳ 明朝" w:hAnsi="ＭＳ 明朝" w:cs="ＭＳ 明朝"/>
    </w:rPr>
  </w:style>
  <w:style w:type="paragraph" w:customStyle="1" w:styleId="enff0">
    <w:name w:val="号細細細分　番号なし（en）"/>
    <w:basedOn w:val="jaff0"/>
    <w:rsid w:val="00F76FBB"/>
    <w:rPr>
      <w:rFonts w:ascii="Century" w:eastAsia="Century" w:hAnsi="Century" w:cs="Century"/>
    </w:rPr>
  </w:style>
  <w:style w:type="paragraph" w:customStyle="1" w:styleId="jaff1">
    <w:name w:val="備考号細細細分（ja）"/>
    <w:basedOn w:val="a"/>
    <w:rsid w:val="00F76F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6FBB"/>
    <w:rPr>
      <w:rFonts w:ascii="Century" w:eastAsia="Century" w:hAnsi="Century" w:cs="Century"/>
    </w:rPr>
  </w:style>
  <w:style w:type="paragraph" w:customStyle="1" w:styleId="jaff2">
    <w:name w:val="類（ja）"/>
    <w:basedOn w:val="a"/>
    <w:rsid w:val="00F76FBB"/>
    <w:pPr>
      <w:widowControl w:val="0"/>
      <w:ind w:left="439" w:hanging="219"/>
    </w:pPr>
    <w:rPr>
      <w:rFonts w:ascii="ＭＳ 明朝" w:eastAsia="ＭＳ 明朝" w:hAnsi="ＭＳ 明朝" w:cs="ＭＳ 明朝"/>
    </w:rPr>
  </w:style>
  <w:style w:type="paragraph" w:customStyle="1" w:styleId="enff2">
    <w:name w:val="類（en）"/>
    <w:basedOn w:val="jaff2"/>
    <w:rsid w:val="00F76FBB"/>
    <w:rPr>
      <w:rFonts w:ascii="Century" w:eastAsia="Century" w:hAnsi="Century" w:cs="Century"/>
    </w:rPr>
  </w:style>
  <w:style w:type="paragraph" w:customStyle="1" w:styleId="jaff3">
    <w:name w:val="公布文（ja）"/>
    <w:basedOn w:val="a"/>
    <w:rsid w:val="00F76FBB"/>
    <w:pPr>
      <w:widowControl w:val="0"/>
      <w:ind w:firstLine="219"/>
    </w:pPr>
    <w:rPr>
      <w:rFonts w:ascii="ＭＳ 明朝" w:eastAsia="ＭＳ 明朝" w:hAnsi="ＭＳ 明朝" w:cs="ＭＳ 明朝"/>
    </w:rPr>
  </w:style>
  <w:style w:type="paragraph" w:customStyle="1" w:styleId="enff3">
    <w:name w:val="公布文（en）"/>
    <w:basedOn w:val="jaff3"/>
    <w:rsid w:val="00F76FBB"/>
    <w:rPr>
      <w:rFonts w:ascii="Century" w:eastAsia="Century" w:hAnsi="Century" w:cs="Century"/>
    </w:rPr>
  </w:style>
  <w:style w:type="paragraph" w:customStyle="1" w:styleId="jaen">
    <w:name w:val="表（ja：en）"/>
    <w:basedOn w:val="a"/>
    <w:rsid w:val="00F76FBB"/>
    <w:pPr>
      <w:widowControl w:val="0"/>
      <w:snapToGrid w:val="0"/>
    </w:pPr>
    <w:rPr>
      <w:rFonts w:ascii="Century" w:eastAsia="ＭＳ 明朝" w:hAnsi="Century"/>
    </w:rPr>
  </w:style>
  <w:style w:type="paragraph" w:customStyle="1" w:styleId="jaff4">
    <w:name w:val="備考（ja）"/>
    <w:basedOn w:val="a"/>
    <w:rsid w:val="00F76FBB"/>
    <w:pPr>
      <w:widowControl w:val="0"/>
      <w:ind w:left="439" w:hanging="219"/>
    </w:pPr>
    <w:rPr>
      <w:rFonts w:ascii="ＭＳ 明朝" w:eastAsia="ＭＳ 明朝" w:hAnsi="ＭＳ 明朝" w:cs="ＭＳ 明朝"/>
    </w:rPr>
  </w:style>
  <w:style w:type="paragraph" w:customStyle="1" w:styleId="enff4">
    <w:name w:val="備考（en）"/>
    <w:basedOn w:val="jaff4"/>
    <w:rsid w:val="00F76FBB"/>
    <w:rPr>
      <w:rFonts w:ascii="Century" w:eastAsia="Century" w:hAnsi="Century" w:cs="Century"/>
    </w:rPr>
  </w:style>
  <w:style w:type="paragraph" w:customStyle="1" w:styleId="jaff5">
    <w:name w:val="表タイトル（ja）"/>
    <w:basedOn w:val="a"/>
    <w:rsid w:val="00F76FBB"/>
    <w:pPr>
      <w:widowControl w:val="0"/>
      <w:ind w:left="219"/>
    </w:pPr>
    <w:rPr>
      <w:rFonts w:ascii="ＭＳ 明朝" w:eastAsia="ＭＳ 明朝" w:hAnsi="ＭＳ 明朝" w:cs="ＭＳ 明朝"/>
    </w:rPr>
  </w:style>
  <w:style w:type="paragraph" w:customStyle="1" w:styleId="enff5">
    <w:name w:val="表タイトル（en）"/>
    <w:basedOn w:val="jaff5"/>
    <w:rsid w:val="00F76FBB"/>
    <w:rPr>
      <w:rFonts w:ascii="Century" w:eastAsia="Century" w:hAnsi="Century" w:cs="Century"/>
    </w:rPr>
  </w:style>
  <w:style w:type="paragraph" w:customStyle="1" w:styleId="jaff6">
    <w:name w:val="改正規定文（ja）"/>
    <w:basedOn w:val="a"/>
    <w:rsid w:val="00F76FBB"/>
    <w:pPr>
      <w:widowControl w:val="0"/>
      <w:ind w:left="219" w:firstLine="219"/>
    </w:pPr>
    <w:rPr>
      <w:rFonts w:ascii="ＭＳ 明朝" w:eastAsia="ＭＳ 明朝" w:hAnsi="ＭＳ 明朝" w:cs="ＭＳ 明朝"/>
    </w:rPr>
  </w:style>
  <w:style w:type="paragraph" w:customStyle="1" w:styleId="enff6">
    <w:name w:val="改正規定文（en）"/>
    <w:basedOn w:val="jaff6"/>
    <w:rsid w:val="00F76FBB"/>
    <w:rPr>
      <w:rFonts w:ascii="Century" w:eastAsia="Century" w:hAnsi="Century" w:cs="Century"/>
    </w:rPr>
  </w:style>
  <w:style w:type="paragraph" w:customStyle="1" w:styleId="jaff7">
    <w:name w:val="付記（ja）"/>
    <w:basedOn w:val="a"/>
    <w:rsid w:val="00F76FBB"/>
    <w:pPr>
      <w:widowControl w:val="0"/>
      <w:ind w:left="219" w:firstLine="219"/>
    </w:pPr>
    <w:rPr>
      <w:rFonts w:ascii="ＭＳ 明朝" w:eastAsia="ＭＳ 明朝" w:hAnsi="ＭＳ 明朝" w:cs="ＭＳ 明朝"/>
    </w:rPr>
  </w:style>
  <w:style w:type="paragraph" w:customStyle="1" w:styleId="enff7">
    <w:name w:val="付記（en）"/>
    <w:basedOn w:val="jaff7"/>
    <w:rsid w:val="00F76FBB"/>
    <w:rPr>
      <w:rFonts w:ascii="Century" w:eastAsia="Century" w:hAnsi="Century" w:cs="Century"/>
    </w:rPr>
  </w:style>
  <w:style w:type="paragraph" w:customStyle="1" w:styleId="jaff8">
    <w:name w:val="様式名（ja）"/>
    <w:basedOn w:val="a"/>
    <w:rsid w:val="00F76FBB"/>
    <w:pPr>
      <w:widowControl w:val="0"/>
      <w:ind w:left="439" w:hanging="219"/>
    </w:pPr>
    <w:rPr>
      <w:rFonts w:ascii="ＭＳ 明朝" w:eastAsia="ＭＳ 明朝" w:hAnsi="ＭＳ 明朝" w:cs="ＭＳ 明朝"/>
    </w:rPr>
  </w:style>
  <w:style w:type="paragraph" w:customStyle="1" w:styleId="enff8">
    <w:name w:val="様式名（en）"/>
    <w:basedOn w:val="jaff8"/>
    <w:rsid w:val="00F76FBB"/>
    <w:rPr>
      <w:rFonts w:ascii="Century" w:eastAsia="Century" w:hAnsi="Century" w:cs="Century"/>
    </w:rPr>
  </w:style>
  <w:style w:type="paragraph" w:customStyle="1" w:styleId="jaff9">
    <w:name w:val="様式項目（ja）"/>
    <w:basedOn w:val="a"/>
    <w:rsid w:val="00F76FBB"/>
    <w:pPr>
      <w:widowControl w:val="0"/>
      <w:ind w:left="221" w:firstLine="221"/>
    </w:pPr>
    <w:rPr>
      <w:rFonts w:ascii="ＭＳ 明朝" w:eastAsia="ＭＳ 明朝" w:hAnsi="ＭＳ 明朝" w:cs="ＭＳ 明朝"/>
    </w:rPr>
  </w:style>
  <w:style w:type="paragraph" w:customStyle="1" w:styleId="enff9">
    <w:name w:val="様式項目（en）"/>
    <w:basedOn w:val="jaff9"/>
    <w:rsid w:val="00F76FBB"/>
    <w:rPr>
      <w:rFonts w:ascii="Century" w:eastAsia="Century" w:hAnsi="Century" w:cs="Century"/>
    </w:rPr>
  </w:style>
  <w:style w:type="table" w:customStyle="1" w:styleId="1">
    <w:name w:val="表1"/>
    <w:rsid w:val="00F76FBB"/>
    <w:tblPr>
      <w:tblInd w:w="340" w:type="dxa"/>
      <w:tblCellMar>
        <w:top w:w="0" w:type="dxa"/>
        <w:left w:w="0" w:type="dxa"/>
        <w:bottom w:w="0" w:type="dxa"/>
        <w:right w:w="0" w:type="dxa"/>
      </w:tblCellMar>
    </w:tblPr>
  </w:style>
  <w:style w:type="numbering" w:customStyle="1" w:styleId="WW8Num1">
    <w:name w:val="WW8Num1"/>
    <w:rsid w:val="00F76FBB"/>
    <w:pPr>
      <w:numPr>
        <w:numId w:val="2"/>
      </w:numPr>
    </w:pPr>
  </w:style>
  <w:style w:type="numbering" w:customStyle="1" w:styleId="WW8Num2">
    <w:name w:val="WW8Num2"/>
    <w:rsid w:val="00F76FBB"/>
    <w:pPr>
      <w:numPr>
        <w:numId w:val="3"/>
      </w:numPr>
    </w:pPr>
  </w:style>
  <w:style w:type="numbering" w:customStyle="1" w:styleId="WW8Num3">
    <w:name w:val="WW8Num3"/>
    <w:rsid w:val="00F76FBB"/>
    <w:pPr>
      <w:numPr>
        <w:numId w:val="4"/>
      </w:numPr>
    </w:pPr>
  </w:style>
  <w:style w:type="numbering" w:customStyle="1" w:styleId="WW8Num4">
    <w:name w:val="WW8Num4"/>
    <w:rsid w:val="00F76FBB"/>
    <w:pPr>
      <w:numPr>
        <w:numId w:val="5"/>
      </w:numPr>
    </w:pPr>
  </w:style>
  <w:style w:type="numbering" w:customStyle="1" w:styleId="WW8Num5">
    <w:name w:val="WW8Num5"/>
    <w:rsid w:val="00F76FBB"/>
    <w:pPr>
      <w:numPr>
        <w:numId w:val="6"/>
      </w:numPr>
    </w:pPr>
  </w:style>
  <w:style w:type="numbering" w:customStyle="1" w:styleId="WW8Num6">
    <w:name w:val="WW8Num6"/>
    <w:rsid w:val="00F76FBB"/>
    <w:pPr>
      <w:numPr>
        <w:numId w:val="7"/>
      </w:numPr>
    </w:pPr>
  </w:style>
  <w:style w:type="numbering" w:customStyle="1" w:styleId="WW8Num7">
    <w:name w:val="WW8Num7"/>
    <w:rsid w:val="00F76FBB"/>
    <w:pPr>
      <w:numPr>
        <w:numId w:val="8"/>
      </w:numPr>
    </w:pPr>
  </w:style>
  <w:style w:type="numbering" w:customStyle="1" w:styleId="WW8Num8">
    <w:name w:val="WW8Num8"/>
    <w:rsid w:val="00F76FBB"/>
    <w:pPr>
      <w:numPr>
        <w:numId w:val="9"/>
      </w:numPr>
    </w:pPr>
  </w:style>
  <w:style w:type="numbering" w:customStyle="1" w:styleId="WW8Num9">
    <w:name w:val="WW8Num9"/>
    <w:rsid w:val="00F76FBB"/>
    <w:pPr>
      <w:numPr>
        <w:numId w:val="10"/>
      </w:numPr>
    </w:pPr>
  </w:style>
  <w:style w:type="numbering" w:customStyle="1" w:styleId="WW8Num10">
    <w:name w:val="WW8Num10"/>
    <w:rsid w:val="00F76FBB"/>
    <w:pPr>
      <w:numPr>
        <w:numId w:val="11"/>
      </w:numPr>
    </w:pPr>
  </w:style>
  <w:style w:type="numbering" w:customStyle="1" w:styleId="WW8Num11">
    <w:name w:val="WW8Num11"/>
    <w:rsid w:val="00F76FBB"/>
    <w:pPr>
      <w:numPr>
        <w:numId w:val="12"/>
      </w:numPr>
    </w:pPr>
  </w:style>
  <w:style w:type="numbering" w:customStyle="1" w:styleId="WW8Num12">
    <w:name w:val="WW8Num12"/>
    <w:rsid w:val="00F76FB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2025-02-13T04:46:00Z</dcterms:created>
  <dcterms:modified xsi:type="dcterms:W3CDTF">2025-02-13T04:46:00Z</dcterms:modified>
</cp:coreProperties>
</file>